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ind w:left="460" w:hanging="330"/>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2015</w:t>
      </w:r>
    </w:p>
    <w:p>
      <w:pPr>
        <w:spacing w:after="0" w:line="225" w:lineRule="exact"/>
        <w:rPr>
          <w:sz w:val="24"/>
          <w:szCs w:val="24"/>
          <w:color w:val="auto"/>
        </w:rPr>
      </w:pPr>
    </w:p>
    <w:p>
      <w:pPr>
        <w:ind w:left="460" w:hanging="330"/>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Exact name of registrant as specified in its</w:t>
            </w:r>
          </w:p>
        </w:tc>
        <w:tc>
          <w:tcPr>
            <w:tcW w:w="2280" w:type="dxa"/>
            <w:vAlign w:val="bottom"/>
          </w:tcPr>
          <w:p>
            <w:pPr>
              <w:spacing w:after="0"/>
              <w:rPr>
                <w:sz w:val="18"/>
                <w:szCs w:val="18"/>
                <w:color w:val="auto"/>
              </w:rPr>
            </w:pPr>
          </w:p>
        </w:tc>
      </w:tr>
      <w:tr>
        <w:trPr>
          <w:trHeight w:val="216"/>
        </w:trPr>
        <w:tc>
          <w:tcPr>
            <w:tcW w:w="2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Commission</w:t>
            </w:r>
          </w:p>
        </w:tc>
        <w:tc>
          <w:tcPr>
            <w:tcW w:w="6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charter, address of principal executive</w:t>
            </w:r>
          </w:p>
        </w:tc>
        <w:tc>
          <w:tcPr>
            <w:tcW w:w="2280" w:type="dxa"/>
            <w:vAlign w:val="bottom"/>
          </w:tcPr>
          <w:p>
            <w:pPr>
              <w:jc w:val="center"/>
              <w:ind w:left="30"/>
              <w:spacing w:after="0"/>
              <w:rPr>
                <w:sz w:val="20"/>
                <w:szCs w:val="20"/>
                <w:color w:val="auto"/>
              </w:rPr>
            </w:pPr>
            <w:r>
              <w:rPr>
                <w:rFonts w:ascii="Arial" w:cs="Arial" w:eastAsia="Arial" w:hAnsi="Arial"/>
                <w:sz w:val="18"/>
                <w:szCs w:val="18"/>
                <w:b w:val="1"/>
                <w:bCs w:val="1"/>
                <w:color w:val="auto"/>
                <w:w w:val="93"/>
              </w:rPr>
              <w:t>I.R.S. Employer</w:t>
            </w:r>
          </w:p>
        </w:tc>
      </w:tr>
      <w:tr>
        <w:trPr>
          <w:trHeight w:val="234"/>
        </w:trPr>
        <w:tc>
          <w:tcPr>
            <w:tcW w:w="2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File Number</w:t>
            </w:r>
          </w:p>
        </w:tc>
        <w:tc>
          <w:tcPr>
            <w:tcW w:w="6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office, telephone number and state of incorporation</w:t>
            </w:r>
          </w:p>
        </w:tc>
        <w:tc>
          <w:tcPr>
            <w:tcW w:w="2280" w:type="dxa"/>
            <w:vAlign w:val="bottom"/>
          </w:tcPr>
          <w:p>
            <w:pPr>
              <w:jc w:val="center"/>
              <w:ind w:left="30"/>
              <w:spacing w:after="0"/>
              <w:rPr>
                <w:sz w:val="20"/>
                <w:szCs w:val="20"/>
                <w:color w:val="auto"/>
              </w:rPr>
            </w:pPr>
            <w:r>
              <w:rPr>
                <w:rFonts w:ascii="Arial" w:cs="Arial" w:eastAsia="Arial" w:hAnsi="Arial"/>
                <w:sz w:val="18"/>
                <w:szCs w:val="18"/>
                <w:b w:val="1"/>
                <w:bCs w:val="1"/>
                <w:color w:val="auto"/>
                <w:w w:val="92"/>
              </w:rPr>
              <w:t>Identification Number</w:t>
            </w:r>
          </w:p>
        </w:tc>
      </w:tr>
      <w:tr>
        <w:trPr>
          <w:trHeight w:val="191"/>
        </w:trPr>
        <w:tc>
          <w:tcPr>
            <w:tcW w:w="23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814-01022</w:t>
            </w:r>
          </w:p>
        </w:tc>
        <w:tc>
          <w:tcPr>
            <w:tcW w:w="120" w:type="dxa"/>
            <w:vAlign w:val="bottom"/>
          </w:tcPr>
          <w:p>
            <w:pPr>
              <w:spacing w:after="0"/>
              <w:rPr>
                <w:sz w:val="16"/>
                <w:szCs w:val="16"/>
                <w:color w:val="auto"/>
              </w:rPr>
            </w:pPr>
          </w:p>
        </w:tc>
        <w:tc>
          <w:tcPr>
            <w:tcW w:w="66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Capitala Finance Corp.</w:t>
            </w:r>
          </w:p>
        </w:tc>
        <w:tc>
          <w:tcPr>
            <w:tcW w:w="120" w:type="dxa"/>
            <w:vAlign w:val="bottom"/>
          </w:tcPr>
          <w:p>
            <w:pPr>
              <w:spacing w:after="0"/>
              <w:rPr>
                <w:sz w:val="16"/>
                <w:szCs w:val="16"/>
                <w:color w:val="auto"/>
              </w:rPr>
            </w:pPr>
          </w:p>
        </w:tc>
        <w:tc>
          <w:tcPr>
            <w:tcW w:w="2280" w:type="dxa"/>
            <w:vAlign w:val="bottom"/>
            <w:tcBorders>
              <w:top w:val="single" w:sz="8" w:color="auto"/>
            </w:tcBorders>
          </w:tcPr>
          <w:p>
            <w:pPr>
              <w:jc w:val="right"/>
              <w:ind w:right="610"/>
              <w:spacing w:after="0" w:line="191" w:lineRule="exact"/>
              <w:rPr>
                <w:sz w:val="20"/>
                <w:szCs w:val="20"/>
                <w:color w:val="auto"/>
              </w:rPr>
            </w:pPr>
            <w:r>
              <w:rPr>
                <w:rFonts w:ascii="Arial" w:cs="Arial" w:eastAsia="Arial" w:hAnsi="Arial"/>
                <w:sz w:val="18"/>
                <w:szCs w:val="18"/>
                <w:b w:val="1"/>
                <w:bCs w:val="1"/>
                <w:color w:val="auto"/>
              </w:rPr>
              <w:t>90-0945675</w:t>
            </w: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4201 Congress St., Suite 360</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Charlotte, North Carolina</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Telephone: (704) 376-5502</w:t>
            </w:r>
          </w:p>
        </w:tc>
        <w:tc>
          <w:tcPr>
            <w:tcW w:w="2280" w:type="dxa"/>
            <w:vAlign w:val="bottom"/>
          </w:tcPr>
          <w:p>
            <w:pPr>
              <w:spacing w:after="0"/>
              <w:rPr>
                <w:sz w:val="18"/>
                <w:szCs w:val="18"/>
                <w:color w:val="auto"/>
              </w:rPr>
            </w:pPr>
          </w:p>
        </w:tc>
      </w:tr>
      <w:tr>
        <w:trPr>
          <w:trHeight w:val="234"/>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State of Incorporation: Maryland</w:t>
            </w:r>
          </w:p>
        </w:tc>
        <w:tc>
          <w:tcPr>
            <w:tcW w:w="2280" w:type="dxa"/>
            <w:vAlign w:val="bottom"/>
          </w:tcPr>
          <w:p>
            <w:pPr>
              <w:spacing w:after="0"/>
              <w:rPr>
                <w:sz w:val="20"/>
                <w:szCs w:val="20"/>
                <w:color w:val="auto"/>
              </w:rPr>
            </w:pPr>
          </w:p>
        </w:tc>
      </w:tr>
    </w:tbl>
    <w:p>
      <w:pPr>
        <w:spacing w:after="0" w:line="202" w:lineRule="exact"/>
        <w:rPr>
          <w:sz w:val="24"/>
          <w:szCs w:val="24"/>
          <w:color w:val="auto"/>
        </w:rPr>
      </w:pPr>
    </w:p>
    <w:p>
      <w:pPr>
        <w:ind w:right="80" w:firstLine="881"/>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9" w:lineRule="exact"/>
        <w:rPr>
          <w:sz w:val="24"/>
          <w:szCs w:val="24"/>
          <w:color w:val="auto"/>
        </w:rPr>
      </w:pPr>
    </w:p>
    <w:p>
      <w:pPr>
        <w:ind w:left="1300"/>
        <w:spacing w:after="0" w:line="207" w:lineRule="exact"/>
        <w:tabs>
          <w:tab w:leader="none" w:pos="6840" w:val="left"/>
          <w:tab w:leader="none" w:pos="7240" w:val="left"/>
          <w:tab w:leader="none" w:pos="7920" w:val="left"/>
          <w:tab w:leader="none" w:pos="8280" w:val="left"/>
        </w:tabs>
        <w:rPr>
          <w:sz w:val="20"/>
          <w:szCs w:val="20"/>
          <w:color w:val="auto"/>
        </w:rPr>
      </w:pPr>
      <w:r>
        <w:rPr>
          <w:rFonts w:ascii="Arial" w:cs="Arial" w:eastAsia="Arial" w:hAnsi="Arial"/>
          <w:sz w:val="18"/>
          <w:szCs w:val="18"/>
          <w:color w:val="auto"/>
        </w:rPr>
        <w:t>Capitala Finance Corp.</w:t>
      </w:r>
      <w:r>
        <w:rPr>
          <w:sz w:val="20"/>
          <w:szCs w:val="20"/>
          <w:color w:val="auto"/>
        </w:rPr>
        <w:tab/>
      </w:r>
      <w:r>
        <w:rPr>
          <w:rFonts w:ascii="Arial" w:cs="Arial" w:eastAsia="Arial" w:hAnsi="Arial"/>
          <w:sz w:val="18"/>
          <w:szCs w:val="18"/>
          <w:color w:val="auto"/>
        </w:rPr>
        <w:t>Yes</w:t>
        <w:tab/>
        <w:t>x</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jc w:val="both"/>
        <w:ind w:right="20" w:firstLine="881"/>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49" w:lineRule="exact"/>
        <w:rPr>
          <w:sz w:val="24"/>
          <w:szCs w:val="24"/>
          <w:color w:val="auto"/>
        </w:rPr>
      </w:pPr>
    </w:p>
    <w:p>
      <w:pPr>
        <w:ind w:left="1300"/>
        <w:spacing w:after="0" w:line="207" w:lineRule="exact"/>
        <w:tabs>
          <w:tab w:leader="none" w:pos="6840" w:val="left"/>
          <w:tab w:leader="none" w:pos="7240" w:val="left"/>
          <w:tab w:leader="none" w:pos="8000" w:val="left"/>
          <w:tab w:leader="none" w:pos="8340" w:val="left"/>
        </w:tabs>
        <w:rPr>
          <w:sz w:val="20"/>
          <w:szCs w:val="20"/>
          <w:color w:val="auto"/>
        </w:rPr>
      </w:pPr>
      <w:r>
        <w:rPr>
          <w:rFonts w:ascii="Arial" w:cs="Arial" w:eastAsia="Arial" w:hAnsi="Arial"/>
          <w:sz w:val="18"/>
          <w:szCs w:val="18"/>
          <w:color w:val="auto"/>
        </w:rPr>
        <w:t>Capitala Finance Corp.</w:t>
      </w:r>
      <w:r>
        <w:rPr>
          <w:sz w:val="20"/>
          <w:szCs w:val="20"/>
          <w:color w:val="auto"/>
        </w:rPr>
        <w:tab/>
      </w: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right="400" w:firstLine="881"/>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472" w:right="239" w:bottom="1440" w:gutter="0" w:footer="0" w:header="0"/>
        </w:sectPr>
      </w:pPr>
    </w:p>
    <w:p>
      <w:pPr>
        <w:spacing w:after="0" w:line="181" w:lineRule="exact"/>
        <w:rPr>
          <w:sz w:val="24"/>
          <w:szCs w:val="24"/>
          <w:color w:val="auto"/>
        </w:rPr>
      </w:pPr>
    </w:p>
    <w:p>
      <w:pPr>
        <w:spacing w:after="0"/>
        <w:rPr>
          <w:sz w:val="20"/>
          <w:szCs w:val="20"/>
          <w:color w:val="auto"/>
        </w:rPr>
      </w:pPr>
      <w:r>
        <w:rPr>
          <w:rFonts w:ascii="Arial" w:cs="Arial" w:eastAsia="Arial" w:hAnsi="Arial"/>
          <w:sz w:val="16"/>
          <w:szCs w:val="16"/>
          <w:color w:val="auto"/>
        </w:rPr>
        <w:t>Capitala Finance Corp.</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0" w:lineRule="exact"/>
        <w:rPr>
          <w:sz w:val="24"/>
          <w:szCs w:val="24"/>
          <w:color w:val="auto"/>
        </w:rPr>
      </w:pPr>
    </w:p>
    <w:p>
      <w:pPr>
        <w:sectPr>
          <w:pgSz w:w="11900" w:h="16838" w:orient="portrait"/>
          <w:cols w:equalWidth="0" w:num="5">
            <w:col w:w="2260" w:space="720"/>
            <w:col w:w="1920" w:space="720"/>
            <w:col w:w="160" w:space="400"/>
            <w:col w:w="3960" w:space="720"/>
            <w:col w:w="560"/>
          </w:cols>
          <w:pgMar w:left="240" w:top="472" w:right="239" w:bottom="1440" w:gutter="0" w:footer="0" w:header="0"/>
          <w:type w:val="continuous"/>
        </w:sectPr>
      </w:pPr>
    </w:p>
    <w:p>
      <w:pPr>
        <w:spacing w:after="0" w:line="48" w:lineRule="exact"/>
        <w:rPr>
          <w:sz w:val="24"/>
          <w:szCs w:val="24"/>
          <w:color w:val="auto"/>
        </w:rPr>
      </w:pPr>
    </w:p>
    <w:p>
      <w:pPr>
        <w:ind w:left="298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4">
            <w:col w:w="4900" w:space="720"/>
            <w:col w:w="160" w:space="400"/>
            <w:col w:w="3960" w:space="720"/>
            <w:col w:w="560"/>
          </w:cols>
          <w:pgMar w:left="240" w:top="472" w:right="239" w:bottom="1440" w:gutter="0" w:footer="0" w:header="0"/>
          <w:type w:val="continuous"/>
        </w:sectPr>
      </w:pPr>
    </w:p>
    <w:p>
      <w:pPr>
        <w:spacing w:after="0" w:line="48" w:lineRule="exact"/>
        <w:rPr>
          <w:sz w:val="24"/>
          <w:szCs w:val="24"/>
          <w:color w:val="auto"/>
        </w:rPr>
      </w:pPr>
    </w:p>
    <w:p>
      <w:pPr>
        <w:ind w:left="88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93" w:lineRule="exact"/>
        <w:rPr>
          <w:sz w:val="24"/>
          <w:szCs w:val="24"/>
          <w:color w:val="auto"/>
        </w:rPr>
      </w:pPr>
    </w:p>
    <w:p>
      <w:pPr>
        <w:ind w:left="1300"/>
        <w:spacing w:after="0" w:line="207" w:lineRule="exact"/>
        <w:tabs>
          <w:tab w:leader="none" w:pos="6840" w:val="left"/>
          <w:tab w:leader="none" w:pos="7760" w:val="left"/>
          <w:tab w:leader="none" w:pos="8120" w:val="left"/>
        </w:tabs>
        <w:rPr>
          <w:sz w:val="20"/>
          <w:szCs w:val="20"/>
          <w:color w:val="auto"/>
        </w:rPr>
      </w:pPr>
      <w:r>
        <w:rPr>
          <w:rFonts w:ascii="Arial" w:cs="Arial" w:eastAsia="Arial" w:hAnsi="Arial"/>
          <w:sz w:val="18"/>
          <w:szCs w:val="18"/>
          <w:color w:val="auto"/>
        </w:rPr>
        <w:t>Capitala Finance Corp.</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tab/>
        <w:t>x</w:t>
      </w:r>
    </w:p>
    <w:p>
      <w:pPr>
        <w:spacing w:after="0" w:line="258" w:lineRule="exact"/>
        <w:rPr>
          <w:sz w:val="24"/>
          <w:szCs w:val="24"/>
          <w:color w:val="auto"/>
        </w:rPr>
      </w:pPr>
    </w:p>
    <w:p>
      <w:pPr>
        <w:ind w:left="880"/>
        <w:spacing w:after="0"/>
        <w:rPr>
          <w:sz w:val="20"/>
          <w:szCs w:val="20"/>
          <w:color w:val="auto"/>
        </w:rPr>
      </w:pPr>
      <w:r>
        <w:rPr>
          <w:rFonts w:ascii="Arial" w:cs="Arial" w:eastAsia="Arial" w:hAnsi="Arial"/>
          <w:sz w:val="16"/>
          <w:szCs w:val="16"/>
          <w:color w:val="auto"/>
        </w:rPr>
        <w:t>The number of shares of Capitala Finance Corp.’s common stock, $0.01 par value, outstanding as of November 6, 2015 was 15,765,233.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458470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20" w:type="dxa"/>
            <w:vAlign w:val="bottom"/>
            <w:gridSpan w:val="10"/>
          </w:tcPr>
          <w:p>
            <w:pPr>
              <w:ind w:left="1100"/>
              <w:spacing w:after="0"/>
              <w:rPr>
                <w:sz w:val="20"/>
                <w:szCs w:val="20"/>
                <w:color w:val="auto"/>
              </w:rPr>
            </w:pPr>
            <w:r>
              <w:rPr>
                <w:rFonts w:ascii="Arial" w:cs="Arial" w:eastAsia="Arial" w:hAnsi="Arial"/>
                <w:sz w:val="18"/>
                <w:szCs w:val="18"/>
                <w:b w:val="1"/>
                <w:bCs w:val="1"/>
                <w:color w:val="auto"/>
              </w:rPr>
              <w:t>TABLE OF CONTENTS</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gridSpan w:val="2"/>
          </w:tcPr>
          <w:p>
            <w:pPr>
              <w:ind w:left="3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PART I</w:t>
            </w:r>
          </w:p>
        </w:tc>
        <w:tc>
          <w:tcPr>
            <w:tcW w:w="9120" w:type="dxa"/>
            <w:vAlign w:val="bottom"/>
            <w:gridSpan w:val="19"/>
            <w:shd w:val="clear" w:color="auto" w:fill="CCEEFF"/>
          </w:tcPr>
          <w:p>
            <w:pPr>
              <w:spacing w:after="0" w:line="17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Financial Statements</w:t>
              </w:r>
            </w:hyperlink>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Statements of Assets and Liabilities as of September 30, 2015 (unaudited) and December 31, 2014</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19"/>
            <w:shd w:val="clear" w:color="auto" w:fill="CCEEFF"/>
          </w:tcPr>
          <w:p>
            <w:pPr>
              <w:spacing w:after="0" w:line="176" w:lineRule="exact"/>
              <w:rPr>
                <w:rFonts w:ascii="Arial" w:cs="Arial" w:eastAsia="Arial" w:hAnsi="Arial"/>
                <w:sz w:val="18"/>
                <w:szCs w:val="18"/>
                <w:color w:val="0000EE"/>
                <w:w w:val="95"/>
              </w:rPr>
            </w:pPr>
            <w:hyperlink w:anchor="page4">
              <w:r>
                <w:rPr>
                  <w:rFonts w:ascii="Arial" w:cs="Arial" w:eastAsia="Arial" w:hAnsi="Arial"/>
                  <w:sz w:val="18"/>
                  <w:szCs w:val="18"/>
                  <w:color w:val="0000EE"/>
                  <w:w w:val="95"/>
                </w:rPr>
                <w:t>Consolidated Statements of Operations for the three and nine months ended September 30, 2015 and 2014 (unaudited)</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19"/>
            <w:shd w:val="clear" w:color="auto" w:fill="CCEEFF"/>
          </w:tcPr>
          <w:p>
            <w:pPr>
              <w:spacing w:after="0" w:line="176" w:lineRule="exact"/>
              <w:rPr>
                <w:rFonts w:ascii="Arial" w:cs="Arial" w:eastAsia="Arial" w:hAnsi="Arial"/>
                <w:sz w:val="18"/>
                <w:szCs w:val="18"/>
                <w:color w:val="0000EE"/>
                <w:w w:val="94"/>
              </w:rPr>
            </w:pPr>
            <w:hyperlink w:anchor="page5">
              <w:r>
                <w:rPr>
                  <w:rFonts w:ascii="Arial" w:cs="Arial" w:eastAsia="Arial" w:hAnsi="Arial"/>
                  <w:sz w:val="18"/>
                  <w:szCs w:val="18"/>
                  <w:color w:val="0000EE"/>
                  <w:w w:val="94"/>
                </w:rPr>
                <w:t>Consolidated Statements of Changes in Net Assets for the nine months ended September 30, 2015 and 2014 (unaudited)</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for the nine months ended September, 2015 and 2014 (unaudited)</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Schedules of Investments as of September 30, 2015 (unaudited) and December 31, 2014</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Notes to Consolidated Financial Statements as of September 30, 2015 (unaudited)</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Management’s Discussion and Analysis of Financial Condition and Results of Operations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Quantitative and Qualitative Disclosures About Market Risk</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Controls and Procedures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PART II</w:t>
            </w:r>
          </w:p>
        </w:tc>
        <w:tc>
          <w:tcPr>
            <w:tcW w:w="9120" w:type="dxa"/>
            <w:vAlign w:val="bottom"/>
            <w:gridSpan w:val="19"/>
            <w:shd w:val="clear" w:color="auto" w:fill="CCEEFF"/>
          </w:tcPr>
          <w:p>
            <w:pPr>
              <w:spacing w:after="0" w:line="176" w:lineRule="exact"/>
              <w:rPr>
                <w:rFonts w:ascii="Arial" w:cs="Arial" w:eastAsia="Arial" w:hAnsi="Arial"/>
                <w:sz w:val="18"/>
                <w:szCs w:val="18"/>
                <w:b w:val="1"/>
                <w:bCs w:val="1"/>
                <w:color w:val="0000EE"/>
              </w:rPr>
            </w:pPr>
            <w:hyperlink w:anchor="page57">
              <w:r>
                <w:rPr>
                  <w:rFonts w:ascii="Arial" w:cs="Arial" w:eastAsia="Arial" w:hAnsi="Arial"/>
                  <w:sz w:val="18"/>
                  <w:szCs w:val="18"/>
                  <w:b w:val="1"/>
                  <w:bCs w:val="1"/>
                  <w:color w:val="0000EE"/>
                </w:rPr>
                <w:t>OTHER INFORMATION</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Legal Proceedings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Risk Factors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Unregistered Sales of Equity Securities and Use of Proceeds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Defaults upon Senior Securities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Mine Safety Disclosures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Other Information</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Exhibits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2"/>
            <w:shd w:val="clear" w:color="auto" w:fill="CCEEFF"/>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Signatures</w:t>
              </w:r>
            </w:hyperlink>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020" w:type="dxa"/>
            <w:vAlign w:val="bottom"/>
          </w:tcPr>
          <w:p>
            <w:pPr>
              <w:jc w:val="center"/>
              <w:ind w:left="3270"/>
              <w:spacing w:after="0"/>
              <w:rPr>
                <w:sz w:val="20"/>
                <w:szCs w:val="20"/>
                <w:color w:val="auto"/>
              </w:rPr>
            </w:pPr>
            <w:r>
              <w:rPr>
                <w:rFonts w:ascii="Arial" w:cs="Arial" w:eastAsia="Arial" w:hAnsi="Arial"/>
                <w:sz w:val="18"/>
                <w:szCs w:val="18"/>
                <w:b w:val="1"/>
                <w:bCs w:val="1"/>
                <w:color w:val="auto"/>
              </w:rPr>
              <w:t>PART I. FINANCIAL INFORMATION</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40" w:type="dxa"/>
            <w:vAlign w:val="bottom"/>
            <w:gridSpan w:val="2"/>
          </w:tcPr>
          <w:p>
            <w:pPr>
              <w:spacing w:after="0"/>
              <w:rPr>
                <w:sz w:val="20"/>
                <w:szCs w:val="20"/>
                <w:color w:val="auto"/>
              </w:rPr>
            </w:pPr>
            <w:r>
              <w:rPr>
                <w:rFonts w:ascii="Arial" w:cs="Arial" w:eastAsia="Arial" w:hAnsi="Arial"/>
                <w:sz w:val="18"/>
                <w:szCs w:val="18"/>
                <w:b w:val="1"/>
                <w:bCs w:val="1"/>
                <w:color w:val="auto"/>
              </w:rPr>
              <w:t>Item 1. Consolidated Financial Statements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20" w:type="dxa"/>
            <w:vAlign w:val="bottom"/>
          </w:tcPr>
          <w:p>
            <w:pPr>
              <w:jc w:val="center"/>
              <w:ind w:left="3290"/>
              <w:spacing w:after="0"/>
              <w:rPr>
                <w:sz w:val="20"/>
                <w:szCs w:val="20"/>
                <w:color w:val="auto"/>
              </w:rPr>
            </w:pPr>
            <w:r>
              <w:rPr>
                <w:rFonts w:ascii="Arial" w:cs="Arial" w:eastAsia="Arial" w:hAnsi="Arial"/>
                <w:sz w:val="18"/>
                <w:szCs w:val="18"/>
                <w:b w:val="1"/>
                <w:bCs w:val="1"/>
                <w:color w:val="auto"/>
                <w:w w:val="92"/>
              </w:rPr>
              <w:t>Capitala Finance Corp.</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020" w:type="dxa"/>
            <w:vAlign w:val="bottom"/>
          </w:tcPr>
          <w:p>
            <w:pPr>
              <w:jc w:val="center"/>
              <w:ind w:left="3270"/>
              <w:spacing w:after="0"/>
              <w:rPr>
                <w:sz w:val="20"/>
                <w:szCs w:val="20"/>
                <w:color w:val="auto"/>
              </w:rPr>
            </w:pPr>
            <w:r>
              <w:rPr>
                <w:rFonts w:ascii="Arial" w:cs="Arial" w:eastAsia="Arial" w:hAnsi="Arial"/>
                <w:sz w:val="18"/>
                <w:szCs w:val="18"/>
                <w:b w:val="1"/>
                <w:bCs w:val="1"/>
                <w:color w:val="auto"/>
                <w:w w:val="88"/>
              </w:rPr>
              <w:t>Consolidated Statements of Assets and Liabilities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20" w:type="dxa"/>
            <w:vAlign w:val="bottom"/>
          </w:tcPr>
          <w:p>
            <w:pPr>
              <w:jc w:val="center"/>
              <w:ind w:left="327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ind w:left="1180"/>
              <w:spacing w:after="0"/>
              <w:rPr>
                <w:sz w:val="20"/>
                <w:szCs w:val="20"/>
                <w:color w:val="auto"/>
              </w:rPr>
            </w:pPr>
            <w:r>
              <w:rPr>
                <w:rFonts w:ascii="Arial" w:cs="Arial" w:eastAsia="Arial" w:hAnsi="Arial"/>
                <w:sz w:val="18"/>
                <w:szCs w:val="18"/>
                <w:b w:val="1"/>
                <w:bCs w:val="1"/>
                <w:color w:val="auto"/>
              </w:rPr>
              <w:t>As of</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3"/>
          </w:tcPr>
          <w:p>
            <w:pPr>
              <w:spacing w:after="0"/>
              <w:rPr>
                <w:sz w:val="20"/>
                <w:szCs w:val="20"/>
                <w:color w:val="auto"/>
              </w:rPr>
            </w:pPr>
            <w:r>
              <w:rPr>
                <w:rFonts w:ascii="Arial" w:cs="Arial" w:eastAsia="Arial" w:hAnsi="Arial"/>
                <w:sz w:val="18"/>
                <w:szCs w:val="18"/>
                <w:b w:val="1"/>
                <w:bCs w:val="1"/>
                <w:color w:val="auto"/>
                <w:w w:val="93"/>
              </w:rPr>
              <w:t>September 30, 2015</w:t>
            </w:r>
          </w:p>
        </w:tc>
        <w:tc>
          <w:tcPr>
            <w:tcW w:w="1560" w:type="dxa"/>
            <w:vAlign w:val="bottom"/>
            <w:gridSpan w:val="3"/>
          </w:tcPr>
          <w:p>
            <w:pPr>
              <w:ind w:left="100"/>
              <w:spacing w:after="0"/>
              <w:rPr>
                <w:sz w:val="20"/>
                <w:szCs w:val="20"/>
                <w:color w:val="auto"/>
              </w:rPr>
            </w:pPr>
            <w:r>
              <w:rPr>
                <w:rFonts w:ascii="Arial" w:cs="Arial" w:eastAsia="Arial" w:hAnsi="Arial"/>
                <w:sz w:val="18"/>
                <w:szCs w:val="18"/>
                <w:b w:val="1"/>
                <w:bCs w:val="1"/>
                <w:color w:val="auto"/>
                <w:w w:val="88"/>
              </w:rPr>
              <w:t>December 31, 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(unaudited)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Non-control/non-affiliate investments (amortized cost of $359,556 and $219,163, respectively)</w:t>
            </w:r>
          </w:p>
        </w:tc>
        <w:tc>
          <w:tcPr>
            <w:tcW w:w="3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379,329</w:t>
            </w: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236,804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Affiliate investments (amortized cost of $114,922 and $154,552, respectively)</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134,317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171,471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Control investments (amortized cost of $78,850 and $67,440, respectively)</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74,571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72,062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investments at fair value (amortized cost of $553,328 and $441,155, respectively)</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588,217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480,337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37,535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55,107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 receivable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5,923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Due from related parties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fees (net of accumulated amortization of $4,722 and $3,288, respectively)</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9,227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Prepaid expenses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642,317</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549,866</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SBA debentures</w:t>
            </w:r>
          </w:p>
        </w:tc>
        <w:tc>
          <w:tcPr>
            <w:tcW w:w="3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184,200</w:t>
            </w: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Notes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113,438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113,438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51,000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Distribution payable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2,384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Due to related parties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Management and incentive fee payable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3,246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Interest and financing fees payable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355,504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309,029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NET ASSETS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tcPr>
          <w:p>
            <w:pPr>
              <w:spacing w:after="0" w:line="201" w:lineRule="exact"/>
              <w:rPr>
                <w:sz w:val="20"/>
                <w:szCs w:val="20"/>
                <w:color w:val="auto"/>
              </w:rPr>
            </w:pPr>
            <w:r>
              <w:rPr>
                <w:rFonts w:ascii="Arial" w:cs="Arial" w:eastAsia="Arial" w:hAnsi="Arial"/>
                <w:sz w:val="18"/>
                <w:szCs w:val="18"/>
                <w:color w:val="auto"/>
                <w:w w:val="90"/>
              </w:rPr>
              <w:t>Common stock, par value $.01, 100,000,000 common shares authorized, 15,895,580 and 12,974,420 common</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ind w:left="120"/>
              <w:spacing w:after="0"/>
              <w:rPr>
                <w:sz w:val="20"/>
                <w:szCs w:val="20"/>
                <w:color w:val="auto"/>
              </w:rPr>
            </w:pPr>
            <w:r>
              <w:rPr>
                <w:rFonts w:ascii="Arial" w:cs="Arial" w:eastAsia="Arial" w:hAnsi="Arial"/>
                <w:sz w:val="18"/>
                <w:szCs w:val="18"/>
                <w:color w:val="auto"/>
              </w:rPr>
              <w:t>shares issued and outstanding, respectively</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240,808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Accumulated undistributed net investment income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8,902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Accumulated undistributed net realized gain from investments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Net unrealized appreciation on investments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34,889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39,182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net assets</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286,813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240,837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net assets</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642,317</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549,866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share</w:t>
            </w:r>
          </w:p>
        </w:tc>
        <w:tc>
          <w:tcPr>
            <w:tcW w:w="3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18.04</w:t>
            </w: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18.56</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20" w:type="dxa"/>
            <w:vAlign w:val="bottom"/>
          </w:tcPr>
          <w:p>
            <w:pPr>
              <w:jc w:val="center"/>
              <w:ind w:left="3290"/>
              <w:spacing w:after="0"/>
              <w:rPr>
                <w:sz w:val="20"/>
                <w:szCs w:val="20"/>
                <w:color w:val="auto"/>
              </w:rPr>
            </w:pPr>
            <w:r>
              <w:rPr>
                <w:rFonts w:ascii="Arial" w:cs="Arial" w:eastAsia="Arial" w:hAnsi="Arial"/>
                <w:sz w:val="18"/>
                <w:szCs w:val="18"/>
                <w:color w:val="auto"/>
                <w:w w:val="89"/>
              </w:rPr>
              <w:t>See accompanying notes to consolidated financial statements.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Capitala Finance Corp.</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800" w:type="dxa"/>
            <w:vAlign w:val="bottom"/>
            <w:gridSpan w:val="7"/>
          </w:tcPr>
          <w:p>
            <w:pPr>
              <w:jc w:val="center"/>
              <w:ind w:right="680"/>
              <w:spacing w:after="0"/>
              <w:rPr>
                <w:sz w:val="20"/>
                <w:szCs w:val="20"/>
                <w:color w:val="auto"/>
              </w:rPr>
            </w:pPr>
            <w:r>
              <w:rPr>
                <w:rFonts w:ascii="Arial" w:cs="Arial" w:eastAsia="Arial" w:hAnsi="Arial"/>
                <w:sz w:val="18"/>
                <w:szCs w:val="18"/>
                <w:b w:val="1"/>
                <w:bCs w:val="1"/>
                <w:color w:val="auto"/>
                <w:w w:val="88"/>
              </w:rPr>
              <w:t>Consolidated Statements of Operations</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8"/>
          </w:tcPr>
          <w:p>
            <w:pPr>
              <w:jc w:val="center"/>
              <w:ind w:left="331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jc w:val="center"/>
              <w:ind w:left="270"/>
              <w:spacing w:after="0"/>
              <w:rPr>
                <w:sz w:val="20"/>
                <w:szCs w:val="20"/>
                <w:color w:val="auto"/>
              </w:rPr>
            </w:pPr>
            <w:r>
              <w:rPr>
                <w:rFonts w:ascii="Arial" w:cs="Arial" w:eastAsia="Arial" w:hAnsi="Arial"/>
                <w:sz w:val="18"/>
                <w:szCs w:val="18"/>
                <w:b w:val="1"/>
                <w:bCs w:val="1"/>
                <w:color w:val="auto"/>
                <w:w w:val="91"/>
              </w:rPr>
              <w:t>(unaudited)</w:t>
            </w:r>
          </w:p>
        </w:tc>
        <w:tc>
          <w:tcPr>
            <w:tcW w:w="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60" w:type="dxa"/>
            <w:vAlign w:val="bottom"/>
            <w:gridSpan w:val="6"/>
          </w:tcPr>
          <w:p>
            <w:pPr>
              <w:spacing w:after="0"/>
              <w:rPr>
                <w:sz w:val="20"/>
                <w:szCs w:val="20"/>
                <w:color w:val="auto"/>
              </w:rPr>
            </w:pPr>
            <w:r>
              <w:rPr>
                <w:rFonts w:ascii="Arial" w:cs="Arial" w:eastAsia="Arial" w:hAnsi="Arial"/>
                <w:sz w:val="18"/>
                <w:szCs w:val="18"/>
                <w:b w:val="1"/>
                <w:bCs w:val="1"/>
                <w:color w:val="auto"/>
                <w:w w:val="93"/>
              </w:rPr>
              <w:t>For the Three Months Ended September 30</w:t>
            </w:r>
          </w:p>
        </w:tc>
        <w:tc>
          <w:tcPr>
            <w:tcW w:w="3420" w:type="dxa"/>
            <w:vAlign w:val="bottom"/>
            <w:gridSpan w:val="7"/>
          </w:tcPr>
          <w:p>
            <w:pPr>
              <w:ind w:left="80"/>
              <w:spacing w:after="0"/>
              <w:rPr>
                <w:sz w:val="20"/>
                <w:szCs w:val="20"/>
                <w:color w:val="auto"/>
              </w:rPr>
            </w:pPr>
            <w:r>
              <w:rPr>
                <w:rFonts w:ascii="Arial" w:cs="Arial" w:eastAsia="Arial" w:hAnsi="Arial"/>
                <w:sz w:val="18"/>
                <w:szCs w:val="18"/>
                <w:b w:val="1"/>
                <w:bCs w:val="1"/>
                <w:color w:val="auto"/>
                <w:w w:val="92"/>
              </w:rPr>
              <w:t>For the 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260" w:type="dxa"/>
            <w:vAlign w:val="bottom"/>
            <w:tcBorders>
              <w:top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26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Interest and fee income:</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Non-control/Non-affiliate investments</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11,948</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4,104</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29,139</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Affiliate investments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2,675</w:t>
            </w:r>
          </w:p>
        </w:tc>
        <w:tc>
          <w:tcPr>
            <w:tcW w:w="4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4,790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9,347</w:t>
            </w:r>
          </w:p>
        </w:tc>
        <w:tc>
          <w:tcPr>
            <w:tcW w:w="3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12,415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Control investments</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1,285</w:t>
            </w:r>
          </w:p>
        </w:tc>
        <w:tc>
          <w:tcPr>
            <w:tcW w:w="4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4,010</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interest and fee income</w:t>
            </w:r>
          </w:p>
        </w:tc>
        <w:tc>
          <w:tcPr>
            <w:tcW w:w="3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15,908</w:t>
            </w:r>
          </w:p>
        </w:tc>
        <w:tc>
          <w:tcPr>
            <w:tcW w:w="26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10,316</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42,496</w:t>
            </w:r>
          </w:p>
        </w:tc>
        <w:tc>
          <w:tcPr>
            <w:tcW w:w="26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26,844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Payment-in-kind interest and dividend income:</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Non-control/Non-affiliate investments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758</w:t>
            </w:r>
          </w:p>
        </w:tc>
        <w:tc>
          <w:tcPr>
            <w:tcW w:w="4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202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1,447</w:t>
            </w:r>
          </w:p>
        </w:tc>
        <w:tc>
          <w:tcPr>
            <w:tcW w:w="3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Affiliate investments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612</w:t>
            </w: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1,263</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Control investments</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227</w:t>
            </w:r>
          </w:p>
        </w:tc>
        <w:tc>
          <w:tcPr>
            <w:tcW w:w="44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192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848</w:t>
            </w:r>
          </w:p>
        </w:tc>
        <w:tc>
          <w:tcPr>
            <w:tcW w:w="34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8"/>
              </w:rPr>
              <w:t>Total payment-in-kind interest and dividend income</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2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3,558</w:t>
            </w: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Dividend income:</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Non-control/Non-affiliate investments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154</w:t>
            </w: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462</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Affiliate investments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29</w:t>
            </w: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Control investments</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615</w:t>
            </w:r>
          </w:p>
        </w:tc>
        <w:tc>
          <w:tcPr>
            <w:tcW w:w="4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823</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dividend income</w:t>
            </w:r>
          </w:p>
        </w:tc>
        <w:tc>
          <w:tcPr>
            <w:tcW w:w="3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798</w:t>
            </w:r>
          </w:p>
        </w:tc>
        <w:tc>
          <w:tcPr>
            <w:tcW w:w="26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1,371</w:t>
            </w:r>
          </w:p>
        </w:tc>
        <w:tc>
          <w:tcPr>
            <w:tcW w:w="26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7,145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from cash and cash equivalents</w:t>
            </w: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investment income</w:t>
            </w:r>
          </w:p>
        </w:tc>
        <w:tc>
          <w:tcPr>
            <w:tcW w:w="3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18,304</w:t>
            </w:r>
          </w:p>
        </w:tc>
        <w:tc>
          <w:tcPr>
            <w:tcW w:w="2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47,429</w:t>
            </w: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36,067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EXPENSES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Interest and financing expenses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4,809</w:t>
            </w: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4,268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14,126</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Base management fee</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2,781</w:t>
            </w:r>
          </w:p>
        </w:tc>
        <w:tc>
          <w:tcPr>
            <w:tcW w:w="4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2,536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7,778</w:t>
            </w:r>
          </w:p>
        </w:tc>
        <w:tc>
          <w:tcPr>
            <w:tcW w:w="3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1,946</w:t>
            </w: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4,457</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981</w:t>
            </w:r>
          </w:p>
        </w:tc>
        <w:tc>
          <w:tcPr>
            <w:tcW w:w="44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857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3,148</w:t>
            </w:r>
          </w:p>
        </w:tc>
        <w:tc>
          <w:tcPr>
            <w:tcW w:w="34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2,870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Expenses before management fee waiver</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10,517</w:t>
            </w:r>
          </w:p>
        </w:tc>
        <w:tc>
          <w:tcPr>
            <w:tcW w:w="2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29,509</w:t>
            </w: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Management fee waiver (See Note 5)</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expenses net of management fee waiver</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10,517</w:t>
            </w:r>
          </w:p>
        </w:tc>
        <w:tc>
          <w:tcPr>
            <w:tcW w:w="2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29,509</w:t>
            </w: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INVESTMENT INCOME</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7,787</w:t>
            </w:r>
          </w:p>
        </w:tc>
        <w:tc>
          <w:tcPr>
            <w:tcW w:w="4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3,544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17,920</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14,897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REALIZED AND UNREALIZED GAIN (LOSS) ON</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Net realized gain (loss) from investments: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Non-control/Non-affiliate investments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1,605</w:t>
            </w: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9,304</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Affiliate investments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(12,847)</w:t>
            </w:r>
          </w:p>
        </w:tc>
        <w:tc>
          <w:tcPr>
            <w:tcW w:w="4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(3,055)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(5,750)</w:t>
            </w:r>
          </w:p>
        </w:tc>
        <w:tc>
          <w:tcPr>
            <w:tcW w:w="3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(2,704)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Control investments</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(4,795)</w:t>
            </w:r>
          </w:p>
        </w:tc>
        <w:tc>
          <w:tcPr>
            <w:tcW w:w="4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5,586</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Total realized gain (loss) from investments</w:t>
            </w: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(16,037)</w:t>
            </w:r>
          </w:p>
        </w:tc>
        <w:tc>
          <w:tcPr>
            <w:tcW w:w="2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9,140</w:t>
            </w:r>
          </w:p>
        </w:tc>
        <w:tc>
          <w:tcPr>
            <w:tcW w:w="2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w w:val="90"/>
              </w:rPr>
              <w:t>Net unrealized appreciation/(depreciation) on investments</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16,208</w:t>
            </w:r>
          </w:p>
        </w:tc>
        <w:tc>
          <w:tcPr>
            <w:tcW w:w="4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(4,293)</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gain (loss) on investments</w:t>
            </w:r>
          </w:p>
        </w:tc>
        <w:tc>
          <w:tcPr>
            <w:tcW w:w="3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26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(3,233</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4,847</w:t>
            </w:r>
          </w:p>
        </w:tc>
        <w:tc>
          <w:tcPr>
            <w:tcW w:w="26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(7,157</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80" w:type="dxa"/>
            <w:vAlign w:val="bottom"/>
          </w:tcPr>
          <w:p>
            <w:pPr>
              <w:spacing w:after="0" w:line="201" w:lineRule="exact"/>
              <w:rPr>
                <w:sz w:val="20"/>
                <w:szCs w:val="20"/>
                <w:color w:val="auto"/>
              </w:rPr>
            </w:pPr>
            <w:r>
              <w:rPr>
                <w:rFonts w:ascii="Arial" w:cs="Arial" w:eastAsia="Arial" w:hAnsi="Arial"/>
                <w:sz w:val="18"/>
                <w:szCs w:val="18"/>
                <w:color w:val="auto"/>
                <w:w w:val="94"/>
              </w:rPr>
              <w:t>NET INCREASE IN NET ASSETS RESULTING FROM</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4200" w:type="dxa"/>
            <w:vAlign w:val="bottom"/>
            <w:gridSpan w:val="2"/>
          </w:tcPr>
          <w:p>
            <w:pPr>
              <w:spacing w:after="0"/>
              <w:rPr>
                <w:sz w:val="20"/>
                <w:szCs w:val="20"/>
                <w:color w:val="auto"/>
              </w:rPr>
            </w:pPr>
            <w:r>
              <w:rPr>
                <w:rFonts w:ascii="Arial" w:cs="Arial" w:eastAsia="Arial" w:hAnsi="Arial"/>
                <w:sz w:val="18"/>
                <w:szCs w:val="18"/>
                <w:color w:val="auto"/>
              </w:rPr>
              <w:t>OPERATIONS</w:t>
            </w: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7,958</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311</w:t>
            </w:r>
          </w:p>
        </w:tc>
        <w:tc>
          <w:tcPr>
            <w:tcW w:w="4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22,767</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7,740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1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80" w:type="dxa"/>
            <w:vAlign w:val="bottom"/>
          </w:tcPr>
          <w:p>
            <w:pPr>
              <w:spacing w:after="0" w:line="201" w:lineRule="exact"/>
              <w:rPr>
                <w:sz w:val="20"/>
                <w:szCs w:val="20"/>
                <w:color w:val="auto"/>
              </w:rPr>
            </w:pPr>
            <w:r>
              <w:rPr>
                <w:rFonts w:ascii="Arial" w:cs="Arial" w:eastAsia="Arial" w:hAnsi="Arial"/>
                <w:sz w:val="18"/>
                <w:szCs w:val="18"/>
                <w:color w:val="auto"/>
              </w:rPr>
              <w:t>NET INCREASE IN NET ASSETS PER SHARE</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RESULTING FROM OPERATIONS – BASIC AND</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0.49</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0.02</w:t>
            </w:r>
          </w:p>
        </w:tc>
        <w:tc>
          <w:tcPr>
            <w:tcW w:w="4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1.52</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80" w:type="dxa"/>
            <w:vAlign w:val="bottom"/>
          </w:tcPr>
          <w:p>
            <w:pPr>
              <w:spacing w:after="0" w:line="201" w:lineRule="exact"/>
              <w:rPr>
                <w:sz w:val="20"/>
                <w:szCs w:val="20"/>
                <w:color w:val="auto"/>
              </w:rPr>
            </w:pPr>
            <w:r>
              <w:rPr>
                <w:rFonts w:ascii="Arial" w:cs="Arial" w:eastAsia="Arial" w:hAnsi="Arial"/>
                <w:sz w:val="18"/>
                <w:szCs w:val="18"/>
                <w:color w:val="auto"/>
              </w:rPr>
              <w:t>WEIGHTED AVERAGE COMMON STOCK</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0" w:type="dxa"/>
            <w:vAlign w:val="bottom"/>
            <w:gridSpan w:val="2"/>
          </w:tcPr>
          <w:p>
            <w:pPr>
              <w:spacing w:after="0"/>
              <w:rPr>
                <w:sz w:val="20"/>
                <w:szCs w:val="20"/>
                <w:color w:val="auto"/>
              </w:rPr>
            </w:pPr>
            <w:r>
              <w:rPr>
                <w:rFonts w:ascii="Arial" w:cs="Arial" w:eastAsia="Arial" w:hAnsi="Arial"/>
                <w:sz w:val="18"/>
                <w:szCs w:val="18"/>
                <w:color w:val="auto"/>
              </w:rPr>
              <w:t>OUTSTANDING - BASIC AND DILUTED</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16,088,979</w:t>
            </w:r>
          </w:p>
        </w:tc>
        <w:tc>
          <w:tcPr>
            <w:tcW w:w="44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12,974,420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15,018,537</w:t>
            </w:r>
          </w:p>
        </w:tc>
        <w:tc>
          <w:tcPr>
            <w:tcW w:w="34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12,974,420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DISTRIBUTIONS PAID PER SHARE</w:t>
            </w: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0.62</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0.47</w:t>
            </w:r>
          </w:p>
        </w:tc>
        <w:tc>
          <w:tcPr>
            <w:tcW w:w="4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1.76</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DISTRIBUTIONS PAYABLE PER SHARE</w:t>
            </w: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0.15</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0.15</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425"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80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Common Stock</w:t>
            </w:r>
          </w:p>
        </w:tc>
        <w:tc>
          <w:tcPr>
            <w:tcW w:w="8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6"/>
              </w:rPr>
              <w:t>Additional</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5"/>
              </w:rPr>
              <w:t>Accumulated</w:t>
            </w:r>
          </w:p>
        </w:tc>
        <w:tc>
          <w:tcPr>
            <w:tcW w:w="80" w:type="dxa"/>
            <w:vAlign w:val="bottom"/>
          </w:tcPr>
          <w:p>
            <w:pPr>
              <w:spacing w:after="0"/>
              <w:rPr>
                <w:sz w:val="14"/>
                <w:szCs w:val="14"/>
                <w:color w:val="auto"/>
              </w:rPr>
            </w:pPr>
          </w:p>
        </w:tc>
        <w:tc>
          <w:tcPr>
            <w:tcW w:w="1160" w:type="dxa"/>
            <w:vAlign w:val="bottom"/>
            <w:gridSpan w:val="2"/>
          </w:tcPr>
          <w:p>
            <w:pPr>
              <w:jc w:val="right"/>
              <w:ind w:right="219"/>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Net Unrealized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gridSpan w:val="4"/>
            <w:vMerge w:val="restart"/>
          </w:tcPr>
          <w:p>
            <w:pPr>
              <w:ind w:left="60"/>
              <w:spacing w:after="0" w:line="149" w:lineRule="exact"/>
              <w:rPr>
                <w:sz w:val="20"/>
                <w:szCs w:val="20"/>
                <w:color w:val="auto"/>
              </w:rPr>
            </w:pPr>
            <w:r>
              <w:rPr>
                <w:rFonts w:ascii="Arial" w:cs="Arial" w:eastAsia="Arial" w:hAnsi="Arial"/>
                <w:sz w:val="14"/>
                <w:szCs w:val="14"/>
                <w:b w:val="1"/>
                <w:bCs w:val="1"/>
                <w:color w:val="auto"/>
                <w:w w:val="99"/>
              </w:rPr>
              <w:t>Appreciation (Depreciation)</w:t>
            </w: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280" w:type="dxa"/>
            <w:vAlign w:val="bottom"/>
          </w:tcPr>
          <w:p>
            <w:pPr>
              <w:spacing w:after="0"/>
              <w:rPr>
                <w:sz w:val="9"/>
                <w:szCs w:val="9"/>
                <w:color w:val="auto"/>
              </w:rPr>
            </w:pP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9"/>
              </w:rPr>
              <w:t>Number of</w:t>
            </w:r>
          </w:p>
        </w:tc>
        <w:tc>
          <w:tcPr>
            <w:tcW w:w="120" w:type="dxa"/>
            <w:vAlign w:val="bottom"/>
          </w:tcPr>
          <w:p>
            <w:pPr>
              <w:spacing w:after="0"/>
              <w:rPr>
                <w:sz w:val="9"/>
                <w:szCs w:val="9"/>
                <w:color w:val="auto"/>
              </w:rPr>
            </w:pPr>
          </w:p>
        </w:tc>
        <w:tc>
          <w:tcPr>
            <w:tcW w:w="7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Par</w:t>
            </w:r>
          </w:p>
        </w:tc>
        <w:tc>
          <w:tcPr>
            <w:tcW w:w="120" w:type="dxa"/>
            <w:vAlign w:val="bottom"/>
          </w:tcPr>
          <w:p>
            <w:pPr>
              <w:spacing w:after="0"/>
              <w:rPr>
                <w:sz w:val="9"/>
                <w:szCs w:val="9"/>
                <w:color w:val="auto"/>
              </w:rPr>
            </w:pPr>
          </w:p>
        </w:tc>
        <w:tc>
          <w:tcPr>
            <w:tcW w:w="7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Paid in</w:t>
            </w:r>
          </w:p>
        </w:tc>
        <w:tc>
          <w:tcPr>
            <w:tcW w:w="60" w:type="dxa"/>
            <w:vAlign w:val="bottom"/>
          </w:tcPr>
          <w:p>
            <w:pPr>
              <w:spacing w:after="0"/>
              <w:rPr>
                <w:sz w:val="9"/>
                <w:szCs w:val="9"/>
                <w:color w:val="auto"/>
              </w:rPr>
            </w:pPr>
          </w:p>
        </w:tc>
        <w:tc>
          <w:tcPr>
            <w:tcW w:w="136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7"/>
              </w:rPr>
              <w:t>Undistributed Net</w:t>
            </w:r>
          </w:p>
        </w:tc>
        <w:tc>
          <w:tcPr>
            <w:tcW w:w="1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Undistributed Net</w:t>
            </w:r>
          </w:p>
        </w:tc>
        <w:tc>
          <w:tcPr>
            <w:tcW w:w="1900" w:type="dxa"/>
            <w:vAlign w:val="bottom"/>
            <w:gridSpan w:val="4"/>
            <w:vMerge w:val="continue"/>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on</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9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7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2"/>
                <w:szCs w:val="12"/>
                <w:color w:val="auto"/>
              </w:rPr>
            </w:pPr>
          </w:p>
        </w:tc>
        <w:tc>
          <w:tcPr>
            <w:tcW w:w="7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42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Investment Income</w:t>
            </w:r>
          </w:p>
        </w:tc>
        <w:tc>
          <w:tcPr>
            <w:tcW w:w="80" w:type="dxa"/>
            <w:vAlign w:val="bottom"/>
          </w:tcPr>
          <w:p>
            <w:pPr>
              <w:spacing w:after="0"/>
              <w:rPr>
                <w:sz w:val="12"/>
                <w:szCs w:val="12"/>
                <w:color w:val="auto"/>
              </w:rPr>
            </w:pPr>
          </w:p>
        </w:tc>
        <w:tc>
          <w:tcPr>
            <w:tcW w:w="1160" w:type="dxa"/>
            <w:vAlign w:val="bottom"/>
            <w:gridSpan w:val="2"/>
          </w:tcPr>
          <w:p>
            <w:pPr>
              <w:jc w:val="right"/>
              <w:ind w:right="199"/>
              <w:spacing w:after="0" w:line="149" w:lineRule="exact"/>
              <w:rPr>
                <w:sz w:val="20"/>
                <w:szCs w:val="20"/>
                <w:color w:val="auto"/>
              </w:rPr>
            </w:pPr>
            <w:r>
              <w:rPr>
                <w:rFonts w:ascii="Arial" w:cs="Arial" w:eastAsia="Arial" w:hAnsi="Arial"/>
                <w:sz w:val="14"/>
                <w:szCs w:val="14"/>
                <w:b w:val="1"/>
                <w:bCs w:val="1"/>
                <w:color w:val="auto"/>
                <w:w w:val="90"/>
              </w:rPr>
              <w:t>Realized Gains</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Investments</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42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379"/>
              <w:spacing w:after="0"/>
              <w:rPr>
                <w:sz w:val="20"/>
                <w:szCs w:val="20"/>
                <w:color w:val="auto"/>
              </w:rPr>
            </w:pPr>
            <w:r>
              <w:rPr>
                <w:rFonts w:ascii="Arial" w:cs="Arial" w:eastAsia="Arial" w:hAnsi="Arial"/>
                <w:sz w:val="14"/>
                <w:szCs w:val="14"/>
                <w:b w:val="1"/>
                <w:bCs w:val="1"/>
                <w:color w:val="auto"/>
              </w:rPr>
              <w:t>(Losses)</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2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2013</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12,974,420</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188,408</w:t>
            </w:r>
          </w:p>
        </w:tc>
        <w:tc>
          <w:tcPr>
            <w:tcW w:w="2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16,760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(48)</w:t>
            </w:r>
          </w:p>
        </w:tc>
        <w:tc>
          <w:tcPr>
            <w:tcW w:w="3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1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63,420</w:t>
            </w:r>
          </w:p>
        </w:tc>
        <w:tc>
          <w:tcPr>
            <w:tcW w:w="22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268,670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ind w:left="160"/>
              <w:spacing w:after="0" w:line="149" w:lineRule="exact"/>
              <w:rPr>
                <w:sz w:val="20"/>
                <w:szCs w:val="20"/>
                <w:color w:val="auto"/>
              </w:rPr>
            </w:pPr>
            <w:r>
              <w:rPr>
                <w:rFonts w:ascii="Arial" w:cs="Arial" w:eastAsia="Arial" w:hAnsi="Arial"/>
                <w:sz w:val="14"/>
                <w:szCs w:val="14"/>
                <w:color w:val="auto"/>
              </w:rPr>
              <w:t>Net investment income</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14,897</w:t>
            </w:r>
          </w:p>
        </w:tc>
        <w:tc>
          <w:tcPr>
            <w:tcW w:w="80" w:type="dxa"/>
            <w:vAlign w:val="bottom"/>
          </w:tcPr>
          <w:p>
            <w:pPr>
              <w:spacing w:after="0"/>
              <w:rPr>
                <w:sz w:val="12"/>
                <w:szCs w:val="12"/>
                <w:color w:val="auto"/>
              </w:rPr>
            </w:pPr>
          </w:p>
        </w:tc>
        <w:tc>
          <w:tcPr>
            <w:tcW w:w="116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14,897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Net realized loss on portfolio investments</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(1,373)</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(1,373)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80" w:type="dxa"/>
            <w:vAlign w:val="bottom"/>
          </w:tcPr>
          <w:p>
            <w:pPr>
              <w:ind w:left="160"/>
              <w:spacing w:after="0" w:line="130" w:lineRule="exact"/>
              <w:rPr>
                <w:sz w:val="20"/>
                <w:szCs w:val="20"/>
                <w:color w:val="auto"/>
              </w:rPr>
            </w:pPr>
            <w:r>
              <w:rPr>
                <w:rFonts w:ascii="Arial" w:cs="Arial" w:eastAsia="Arial" w:hAnsi="Arial"/>
                <w:sz w:val="14"/>
                <w:szCs w:val="14"/>
                <w:color w:val="auto"/>
                <w:w w:val="95"/>
              </w:rPr>
              <w:t>Net change in unrealized appreciation/(depreciation)</w:t>
            </w: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80" w:type="dxa"/>
            <w:vAlign w:val="bottom"/>
          </w:tcPr>
          <w:p>
            <w:pPr>
              <w:ind w:left="160"/>
              <w:spacing w:after="0"/>
              <w:rPr>
                <w:sz w:val="20"/>
                <w:szCs w:val="20"/>
                <w:color w:val="auto"/>
              </w:rPr>
            </w:pPr>
            <w:r>
              <w:rPr>
                <w:rFonts w:ascii="Arial" w:cs="Arial" w:eastAsia="Arial" w:hAnsi="Arial"/>
                <w:sz w:val="14"/>
                <w:szCs w:val="14"/>
                <w:color w:val="auto"/>
              </w:rPr>
              <w:t>on portfolio investments</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4"/>
                <w:szCs w:val="14"/>
                <w:color w:val="auto"/>
              </w:rPr>
              <w:t>(5,784)</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(5,784)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Distributions declared</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(18,294)</w:t>
            </w: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(18,294)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8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BALANCE, September 30, 2014</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12,974,420</w:t>
            </w:r>
          </w:p>
        </w:tc>
        <w:tc>
          <w:tcPr>
            <w:tcW w:w="1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130</w:t>
            </w:r>
          </w:p>
        </w:tc>
        <w:tc>
          <w:tcPr>
            <w:tcW w:w="1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188,408</w:t>
            </w:r>
          </w:p>
        </w:tc>
        <w:tc>
          <w:tcPr>
            <w:tcW w:w="1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13,363</w:t>
            </w:r>
          </w:p>
        </w:tc>
        <w:tc>
          <w:tcPr>
            <w:tcW w:w="18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(1,421</w:t>
            </w:r>
          </w:p>
        </w:tc>
        <w:tc>
          <w:tcPr>
            <w:tcW w:w="120" w:type="dxa"/>
            <w:vAlign w:val="bottom"/>
            <w:tcBorders>
              <w:bottom w:val="single" w:sz="8" w:color="CCEEFF"/>
            </w:tcBorders>
          </w:tcPr>
          <w:p>
            <w:pPr>
              <w:jc w:val="right"/>
              <w:ind w:right="39"/>
              <w:spacing w:after="0"/>
              <w:rPr>
                <w:sz w:val="20"/>
                <w:szCs w:val="20"/>
                <w:color w:val="auto"/>
              </w:rPr>
            </w:pPr>
            <w:r>
              <w:rPr>
                <w:rFonts w:ascii="Arial" w:cs="Arial" w:eastAsia="Arial" w:hAnsi="Arial"/>
                <w:sz w:val="8"/>
                <w:szCs w:val="8"/>
                <w:color w:val="auto"/>
                <w:w w:val="73"/>
              </w:rPr>
              <w:t>)</w:t>
            </w:r>
          </w:p>
        </w:tc>
        <w:tc>
          <w:tcPr>
            <w:tcW w:w="6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1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57,636</w:t>
            </w:r>
          </w:p>
        </w:tc>
        <w:tc>
          <w:tcPr>
            <w:tcW w:w="1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258,116</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2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80" w:type="dxa"/>
            <w:vAlign w:val="bottom"/>
          </w:tcPr>
          <w:p>
            <w:pPr>
              <w:spacing w:after="0" w:line="149" w:lineRule="exact"/>
              <w:rPr>
                <w:sz w:val="20"/>
                <w:szCs w:val="20"/>
                <w:color w:val="auto"/>
              </w:rPr>
            </w:pPr>
            <w:r>
              <w:rPr>
                <w:rFonts w:ascii="Arial" w:cs="Arial" w:eastAsia="Arial" w:hAnsi="Arial"/>
                <w:sz w:val="14"/>
                <w:szCs w:val="14"/>
                <w:color w:val="auto"/>
              </w:rPr>
              <w:t>BALANCE, December 31, 2014</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12,974,420</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130</w:t>
            </w:r>
          </w:p>
        </w:tc>
        <w:tc>
          <w:tcPr>
            <w:tcW w:w="18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188,408</w:t>
            </w:r>
          </w:p>
        </w:tc>
        <w:tc>
          <w:tcPr>
            <w:tcW w:w="2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12,314</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803</w:t>
            </w:r>
          </w:p>
        </w:tc>
        <w:tc>
          <w:tcPr>
            <w:tcW w:w="3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39,182</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240,837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Net investment income</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17,920</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17,920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ind w:left="160"/>
              <w:spacing w:after="0" w:line="149" w:lineRule="exact"/>
              <w:rPr>
                <w:sz w:val="20"/>
                <w:szCs w:val="20"/>
                <w:color w:val="auto"/>
              </w:rPr>
            </w:pPr>
            <w:r>
              <w:rPr>
                <w:rFonts w:ascii="Arial" w:cs="Arial" w:eastAsia="Arial" w:hAnsi="Arial"/>
                <w:sz w:val="14"/>
                <w:szCs w:val="14"/>
                <w:color w:val="auto"/>
              </w:rPr>
              <w:t>Net realized gain from investments</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9,140</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9,140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8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w w:val="95"/>
              </w:rPr>
              <w:t>Net change in unrealized appreciation/(depreciation)</w:t>
            </w: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on portfolio investments</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(4,293)</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(4,293)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80" w:type="dxa"/>
            <w:vAlign w:val="bottom"/>
          </w:tcPr>
          <w:p>
            <w:pPr>
              <w:ind w:left="160"/>
              <w:spacing w:after="0" w:line="130" w:lineRule="exact"/>
              <w:rPr>
                <w:sz w:val="20"/>
                <w:szCs w:val="20"/>
                <w:color w:val="auto"/>
              </w:rPr>
            </w:pPr>
            <w:r>
              <w:rPr>
                <w:rFonts w:ascii="Arial" w:cs="Arial" w:eastAsia="Arial" w:hAnsi="Arial"/>
                <w:sz w:val="14"/>
                <w:szCs w:val="14"/>
                <w:color w:val="auto"/>
              </w:rPr>
              <w:t>Issuance of common stock, net of offering and</w:t>
            </w: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80" w:type="dxa"/>
            <w:vAlign w:val="bottom"/>
          </w:tcPr>
          <w:p>
            <w:pPr>
              <w:ind w:left="160"/>
              <w:spacing w:after="0"/>
              <w:rPr>
                <w:sz w:val="20"/>
                <w:szCs w:val="20"/>
                <w:color w:val="auto"/>
              </w:rPr>
            </w:pPr>
            <w:r>
              <w:rPr>
                <w:rFonts w:ascii="Arial" w:cs="Arial" w:eastAsia="Arial" w:hAnsi="Arial"/>
                <w:sz w:val="14"/>
                <w:szCs w:val="14"/>
                <w:color w:val="auto"/>
              </w:rPr>
              <w:t>underwriting costs</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3,500,000</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61,665</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61,700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8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w w:val="97"/>
              </w:rPr>
              <w:t>Repurchase and retirement of common stock under</w:t>
            </w: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stock repurchase program</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(624,050)</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(9,882)</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(9,888)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ind w:left="160"/>
              <w:spacing w:after="0" w:line="149" w:lineRule="exact"/>
              <w:rPr>
                <w:sz w:val="20"/>
                <w:szCs w:val="20"/>
                <w:color w:val="auto"/>
              </w:rPr>
            </w:pPr>
            <w:r>
              <w:rPr>
                <w:rFonts w:ascii="Arial" w:cs="Arial" w:eastAsia="Arial" w:hAnsi="Arial"/>
                <w:sz w:val="14"/>
                <w:szCs w:val="14"/>
                <w:color w:val="auto"/>
              </w:rPr>
              <w:t>Distributions to shareholders:</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Stock issued under dividend reinvestment plan</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45,210</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617</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80" w:type="dxa"/>
            <w:vAlign w:val="bottom"/>
          </w:tcPr>
          <w:p>
            <w:pPr>
              <w:ind w:left="480"/>
              <w:spacing w:after="0"/>
              <w:rPr>
                <w:sz w:val="20"/>
                <w:szCs w:val="20"/>
                <w:color w:val="auto"/>
              </w:rPr>
            </w:pPr>
            <w:r>
              <w:rPr>
                <w:rFonts w:ascii="Arial" w:cs="Arial" w:eastAsia="Arial" w:hAnsi="Arial"/>
                <w:sz w:val="14"/>
                <w:szCs w:val="14"/>
                <w:color w:val="auto"/>
              </w:rPr>
              <w:t>Distributions declared</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(21,332)</w:t>
            </w:r>
          </w:p>
        </w:tc>
        <w:tc>
          <w:tcPr>
            <w:tcW w:w="80" w:type="dxa"/>
            <w:vAlign w:val="bottom"/>
          </w:tcPr>
          <w:p>
            <w:pPr>
              <w:spacing w:after="0"/>
              <w:rPr>
                <w:sz w:val="14"/>
                <w:szCs w:val="14"/>
                <w:color w:val="auto"/>
              </w:rPr>
            </w:pPr>
          </w:p>
        </w:tc>
        <w:tc>
          <w:tcPr>
            <w:tcW w:w="1160" w:type="dxa"/>
            <w:vAlign w:val="bottom"/>
            <w:gridSpan w:val="2"/>
          </w:tcPr>
          <w:p>
            <w:pPr>
              <w:jc w:val="right"/>
              <w:ind w:right="39"/>
              <w:spacing w:after="0"/>
              <w:rPr>
                <w:sz w:val="20"/>
                <w:szCs w:val="20"/>
                <w:color w:val="auto"/>
              </w:rPr>
            </w:pPr>
            <w:r>
              <w:rPr>
                <w:rFonts w:ascii="Arial" w:cs="Arial" w:eastAsia="Arial" w:hAnsi="Arial"/>
                <w:sz w:val="14"/>
                <w:szCs w:val="14"/>
                <w:color w:val="auto"/>
              </w:rPr>
              <w:t>(7,888)</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(29,220)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8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BALANCE, September 30, 2015</w:t>
            </w: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15,895,580</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159</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240,808</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8,902</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2,055</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14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34,889</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286,813</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880" w:type="dxa"/>
            <w:vAlign w:val="bottom"/>
          </w:tcPr>
          <w:p>
            <w:pPr>
              <w:jc w:val="center"/>
              <w:ind w:left="3430"/>
              <w:spacing w:after="0"/>
              <w:rPr>
                <w:sz w:val="20"/>
                <w:szCs w:val="20"/>
                <w:color w:val="auto"/>
              </w:rPr>
            </w:pPr>
            <w:r>
              <w:rPr>
                <w:rFonts w:ascii="Arial" w:cs="Arial" w:eastAsia="Arial" w:hAnsi="Arial"/>
                <w:sz w:val="18"/>
                <w:szCs w:val="18"/>
                <w:b w:val="1"/>
                <w:bCs w:val="1"/>
                <w:color w:val="auto"/>
                <w:w w:val="92"/>
              </w:rPr>
              <w:t>Capitala Finance Corp.</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880" w:type="dxa"/>
            <w:vAlign w:val="bottom"/>
          </w:tcPr>
          <w:p>
            <w:pPr>
              <w:jc w:val="center"/>
              <w:ind w:left="3410"/>
              <w:spacing w:after="0"/>
              <w:rPr>
                <w:sz w:val="20"/>
                <w:szCs w:val="20"/>
                <w:color w:val="auto"/>
              </w:rPr>
            </w:pPr>
            <w:r>
              <w:rPr>
                <w:rFonts w:ascii="Arial" w:cs="Arial" w:eastAsia="Arial" w:hAnsi="Arial"/>
                <w:sz w:val="18"/>
                <w:szCs w:val="18"/>
                <w:b w:val="1"/>
                <w:bCs w:val="1"/>
                <w:color w:val="auto"/>
                <w:w w:val="88"/>
              </w:rPr>
              <w:t>Consolidated Statements of Cash Flows</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jc w:val="center"/>
              <w:ind w:left="3410"/>
              <w:spacing w:after="0"/>
              <w:rPr>
                <w:sz w:val="20"/>
                <w:szCs w:val="20"/>
                <w:color w:val="auto"/>
              </w:rPr>
            </w:pPr>
            <w:r>
              <w:rPr>
                <w:rFonts w:ascii="Arial" w:cs="Arial" w:eastAsia="Arial" w:hAnsi="Arial"/>
                <w:sz w:val="18"/>
                <w:szCs w:val="18"/>
                <w:b w:val="1"/>
                <w:bCs w:val="1"/>
                <w:color w:val="auto"/>
                <w:w w:val="88"/>
              </w:rPr>
              <w:t>(in thousands)</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80" w:type="dxa"/>
            <w:vAlign w:val="bottom"/>
          </w:tcPr>
          <w:p>
            <w:pPr>
              <w:jc w:val="center"/>
              <w:ind w:left="3410"/>
              <w:spacing w:after="0"/>
              <w:rPr>
                <w:sz w:val="20"/>
                <w:szCs w:val="20"/>
                <w:color w:val="auto"/>
              </w:rPr>
            </w:pPr>
            <w:r>
              <w:rPr>
                <w:rFonts w:ascii="Arial" w:cs="Arial" w:eastAsia="Arial" w:hAnsi="Arial"/>
                <w:sz w:val="18"/>
                <w:szCs w:val="18"/>
                <w:b w:val="1"/>
                <w:bCs w:val="1"/>
                <w:color w:val="auto"/>
                <w:w w:val="91"/>
              </w:rPr>
              <w:t>(unaudited)</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3520" w:type="dxa"/>
            <w:vAlign w:val="bottom"/>
            <w:gridSpan w:val="7"/>
          </w:tcPr>
          <w:p>
            <w:pPr>
              <w:jc w:val="right"/>
              <w:ind w:right="20"/>
              <w:spacing w:after="0"/>
              <w:rPr>
                <w:sz w:val="20"/>
                <w:szCs w:val="20"/>
                <w:color w:val="auto"/>
              </w:rPr>
            </w:pPr>
            <w:r>
              <w:rPr>
                <w:rFonts w:ascii="Arial" w:cs="Arial" w:eastAsia="Arial" w:hAnsi="Arial"/>
                <w:sz w:val="18"/>
                <w:szCs w:val="18"/>
                <w:b w:val="1"/>
                <w:bCs w:val="1"/>
                <w:color w:val="auto"/>
                <w:w w:val="95"/>
              </w:rPr>
              <w:t>For the 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26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Net increase in net assets resulting from operations</w:t>
            </w:r>
          </w:p>
        </w:tc>
        <w:tc>
          <w:tcPr>
            <w:tcW w:w="5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22,767</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7,740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1"/>
              </w:rPr>
              <w:t>Adjustments to reconcile net increase in net assets resulting from operations to net cash used in operating</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activities:</w:t>
            </w:r>
          </w:p>
        </w:tc>
        <w:tc>
          <w:tcPr>
            <w:tcW w:w="1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20"/>
              <w:spacing w:after="0"/>
              <w:rPr>
                <w:sz w:val="20"/>
                <w:szCs w:val="20"/>
                <w:color w:val="auto"/>
              </w:rPr>
            </w:pPr>
            <w:r>
              <w:rPr>
                <w:rFonts w:ascii="Arial" w:cs="Arial" w:eastAsia="Arial" w:hAnsi="Arial"/>
                <w:sz w:val="18"/>
                <w:szCs w:val="18"/>
                <w:color w:val="auto"/>
              </w:rPr>
              <w:t>Purchase of portfolio investments</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(225,604)</w:t>
            </w:r>
          </w:p>
        </w:tc>
        <w:tc>
          <w:tcPr>
            <w:tcW w:w="3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(150,304)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Repayments of portfolio investments</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126,594</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20"/>
              <w:spacing w:after="0"/>
              <w:rPr>
                <w:sz w:val="20"/>
                <w:szCs w:val="20"/>
                <w:color w:val="auto"/>
              </w:rPr>
            </w:pPr>
            <w:r>
              <w:rPr>
                <w:rFonts w:ascii="Arial" w:cs="Arial" w:eastAsia="Arial" w:hAnsi="Arial"/>
                <w:sz w:val="18"/>
                <w:szCs w:val="18"/>
                <w:color w:val="auto"/>
              </w:rPr>
              <w:t>Net realized (gain)/loss on portfolio investments</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(9,140)</w:t>
            </w:r>
          </w:p>
        </w:tc>
        <w:tc>
          <w:tcPr>
            <w:tcW w:w="3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unrealized depreciation on portfolio investments</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4,293</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20"/>
              <w:spacing w:after="0"/>
              <w:rPr>
                <w:sz w:val="20"/>
                <w:szCs w:val="20"/>
                <w:color w:val="auto"/>
              </w:rPr>
            </w:pPr>
            <w:r>
              <w:rPr>
                <w:rFonts w:ascii="Arial" w:cs="Arial" w:eastAsia="Arial" w:hAnsi="Arial"/>
                <w:sz w:val="18"/>
                <w:szCs w:val="18"/>
                <w:color w:val="auto"/>
              </w:rPr>
              <w:t>Payment-in-kind interest and dividends</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(3,558)</w:t>
            </w:r>
          </w:p>
        </w:tc>
        <w:tc>
          <w:tcPr>
            <w:tcW w:w="3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Accretion of original issue discount on portfolio investments</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(465)</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20"/>
              <w:spacing w:after="0"/>
              <w:rPr>
                <w:sz w:val="20"/>
                <w:szCs w:val="20"/>
                <w:color w:val="auto"/>
              </w:rPr>
            </w:pPr>
            <w:r>
              <w:rPr>
                <w:rFonts w:ascii="Arial" w:cs="Arial" w:eastAsia="Arial" w:hAnsi="Arial"/>
                <w:sz w:val="18"/>
                <w:szCs w:val="18"/>
                <w:color w:val="auto"/>
              </w:rPr>
              <w:t>Amortization of deferred financing fees</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1,433</w:t>
            </w:r>
          </w:p>
        </w:tc>
        <w:tc>
          <w:tcPr>
            <w:tcW w:w="3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assets and liabilities:</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80"/>
              <w:spacing w:after="0"/>
              <w:rPr>
                <w:sz w:val="20"/>
                <w:szCs w:val="20"/>
                <w:color w:val="auto"/>
              </w:rPr>
            </w:pPr>
            <w:r>
              <w:rPr>
                <w:rFonts w:ascii="Arial" w:cs="Arial" w:eastAsia="Arial" w:hAnsi="Arial"/>
                <w:sz w:val="18"/>
                <w:szCs w:val="18"/>
                <w:color w:val="auto"/>
              </w:rPr>
              <w:t>Interest and dividend receivable</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(2,810)</w:t>
            </w:r>
          </w:p>
        </w:tc>
        <w:tc>
          <w:tcPr>
            <w:tcW w:w="3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Due from related parties</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262</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80"/>
              <w:spacing w:after="0"/>
              <w:rPr>
                <w:sz w:val="20"/>
                <w:szCs w:val="20"/>
                <w:color w:val="auto"/>
              </w:rPr>
            </w:pPr>
            <w:r>
              <w:rPr>
                <w:rFonts w:ascii="Arial" w:cs="Arial" w:eastAsia="Arial" w:hAnsi="Arial"/>
                <w:sz w:val="18"/>
                <w:szCs w:val="18"/>
                <w:color w:val="auto"/>
              </w:rPr>
              <w:t>Prepaid expenses</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(122)</w:t>
            </w:r>
          </w:p>
        </w:tc>
        <w:tc>
          <w:tcPr>
            <w:tcW w:w="3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(248)</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80"/>
              <w:spacing w:after="0"/>
              <w:rPr>
                <w:sz w:val="20"/>
                <w:szCs w:val="20"/>
                <w:color w:val="auto"/>
              </w:rPr>
            </w:pPr>
            <w:r>
              <w:rPr>
                <w:rFonts w:ascii="Arial" w:cs="Arial" w:eastAsia="Arial" w:hAnsi="Arial"/>
                <w:sz w:val="18"/>
                <w:szCs w:val="18"/>
                <w:color w:val="auto"/>
              </w:rPr>
              <w:t>Due to related parties</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Management and incentive fee payable</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3,087</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80"/>
              <w:spacing w:after="0"/>
              <w:rPr>
                <w:sz w:val="20"/>
                <w:szCs w:val="20"/>
                <w:color w:val="auto"/>
              </w:rPr>
            </w:pPr>
            <w:r>
              <w:rPr>
                <w:rFonts w:ascii="Arial" w:cs="Arial" w:eastAsia="Arial" w:hAnsi="Arial"/>
                <w:sz w:val="18"/>
                <w:szCs w:val="18"/>
                <w:color w:val="auto"/>
              </w:rPr>
              <w:t>Interest and financing fees payable</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(1,750)</w:t>
            </w:r>
          </w:p>
        </w:tc>
        <w:tc>
          <w:tcPr>
            <w:tcW w:w="3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(1,755)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(85,507</w:t>
            </w:r>
          </w:p>
        </w:tc>
        <w:tc>
          <w:tcPr>
            <w:tcW w:w="260" w:type="dxa"/>
            <w:vAlign w:val="bottom"/>
            <w:tcBorders>
              <w:bottom w:val="single" w:sz="8" w:color="CCEEFF"/>
            </w:tcBorders>
          </w:tcPr>
          <w:p>
            <w:pPr>
              <w:jc w:val="right"/>
              <w:ind w:right="120"/>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(74,824</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Paydowns on SBA-guaranteed debentures</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(8,000)</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Proceeds from Revolving Credit Facility</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76,000</w:t>
            </w:r>
          </w:p>
        </w:tc>
        <w:tc>
          <w:tcPr>
            <w:tcW w:w="3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to Revolving Credit Facility</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(25,000)</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Issuance of Notes</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113,438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of common stock, net of offering and underwriting costs</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61,700</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Distributions paid to shareholders</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(26,219)</w:t>
            </w:r>
          </w:p>
        </w:tc>
        <w:tc>
          <w:tcPr>
            <w:tcW w:w="3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(18,294)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Repurchases of common stock under stock repurchase program</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(9,888)</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Deferred financing fees paid</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(658)</w:t>
            </w:r>
          </w:p>
        </w:tc>
        <w:tc>
          <w:tcPr>
            <w:tcW w:w="34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(4,366)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67,935</w:t>
            </w: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80,778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NET INCREASE/(DECREASE) IN CASH AND CASH EQUIVALENTS</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(17,572)</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1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55,107</w:t>
            </w:r>
          </w:p>
        </w:tc>
        <w:tc>
          <w:tcPr>
            <w:tcW w:w="26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101,622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37,535</w:t>
            </w:r>
          </w:p>
        </w:tc>
        <w:tc>
          <w:tcPr>
            <w:tcW w:w="2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107,576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Cash paid for interest</w:t>
            </w:r>
          </w:p>
        </w:tc>
        <w:tc>
          <w:tcPr>
            <w:tcW w:w="5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13,033</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9,964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w w:val="99"/>
              </w:rPr>
              <w:t>SUPPLEMENTAL DISCLOSURE OF NON-CASH INVESTING AND FINANCING TRANSACTIONS</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declared and payable</w:t>
            </w:r>
          </w:p>
        </w:tc>
        <w:tc>
          <w:tcPr>
            <w:tcW w:w="5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2,384</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Distribution paid through DRIP share issuances</w:t>
            </w:r>
          </w:p>
        </w:tc>
        <w:tc>
          <w:tcPr>
            <w:tcW w:w="5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617</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2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23"/>
                <w:szCs w:val="23"/>
                <w:b w:val="1"/>
                <w:bCs w:val="1"/>
                <w:color w:val="auto"/>
                <w:vertAlign w:val="superscript"/>
              </w:rPr>
              <w:t>(4, 5)</w:t>
            </w:r>
          </w:p>
        </w:tc>
        <w:tc>
          <w:tcPr>
            <w:tcW w:w="206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Industry</w:t>
            </w:r>
          </w:p>
        </w:tc>
        <w:tc>
          <w:tcPr>
            <w:tcW w:w="120" w:type="dxa"/>
            <w:vAlign w:val="bottom"/>
          </w:tcPr>
          <w:p>
            <w:pPr>
              <w:spacing w:after="0"/>
              <w:rPr>
                <w:sz w:val="14"/>
                <w:szCs w:val="14"/>
                <w:color w:val="auto"/>
              </w:rPr>
            </w:pPr>
          </w:p>
        </w:tc>
        <w:tc>
          <w:tcPr>
            <w:tcW w:w="218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Type of Investment</w:t>
            </w:r>
          </w:p>
        </w:tc>
        <w:tc>
          <w:tcPr>
            <w:tcW w:w="120" w:type="dxa"/>
            <w:vAlign w:val="bottom"/>
          </w:tcPr>
          <w:p>
            <w:pPr>
              <w:spacing w:after="0"/>
              <w:rPr>
                <w:sz w:val="14"/>
                <w:szCs w:val="1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7"/>
              </w:rPr>
              <w:t>Principal</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gridSpan w:val="2"/>
            <w:vMerge w:val="continue"/>
          </w:tcPr>
          <w:p>
            <w:pPr>
              <w:spacing w:after="0"/>
              <w:rPr>
                <w:sz w:val="14"/>
                <w:szCs w:val="14"/>
                <w:color w:val="auto"/>
              </w:rPr>
            </w:pPr>
          </w:p>
        </w:tc>
        <w:tc>
          <w:tcPr>
            <w:tcW w:w="2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Net Assets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62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w w:val="97"/>
              </w:rPr>
              <w:t>Non-control/Non-affiliated investments -</w:t>
            </w:r>
          </w:p>
        </w:tc>
        <w:tc>
          <w:tcPr>
            <w:tcW w:w="20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132.4%</w:t>
            </w: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300" w:type="dxa"/>
            <w:vAlign w:val="bottom"/>
            <w:gridSpan w:val="3"/>
            <w:shd w:val="clear" w:color="auto" w:fill="CCEEFF"/>
          </w:tcPr>
          <w:p>
            <w:pPr>
              <w:ind w:left="120"/>
              <w:spacing w:after="0" w:line="140" w:lineRule="exact"/>
              <w:rPr>
                <w:sz w:val="20"/>
                <w:szCs w:val="20"/>
                <w:color w:val="auto"/>
              </w:rPr>
            </w:pPr>
            <w:r>
              <w:rPr>
                <w:rFonts w:ascii="Arial" w:cs="Arial" w:eastAsia="Arial" w:hAnsi="Arial"/>
                <w:sz w:val="14"/>
                <w:szCs w:val="14"/>
                <w:color w:val="auto"/>
              </w:rPr>
              <w:t>Senior Secured Term Debt (12%</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AAE Acquisition, LLC</w:t>
            </w: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Industrial Equipment Rental</w:t>
            </w:r>
          </w:p>
        </w:tc>
        <w:tc>
          <w:tcPr>
            <w:tcW w:w="2300" w:type="dxa"/>
            <w:vAlign w:val="bottom"/>
            <w:gridSpan w:val="3"/>
            <w:shd w:val="clear" w:color="auto" w:fill="CCEEFF"/>
          </w:tcPr>
          <w:p>
            <w:pPr>
              <w:ind w:left="120"/>
              <w:spacing w:after="0" w:line="198" w:lineRule="exact"/>
              <w:rPr>
                <w:sz w:val="20"/>
                <w:szCs w:val="20"/>
                <w:color w:val="auto"/>
              </w:rPr>
            </w:pPr>
            <w:r>
              <w:rPr>
                <w:rFonts w:ascii="Arial" w:cs="Arial" w:eastAsia="Arial" w:hAnsi="Arial"/>
                <w:sz w:val="14"/>
                <w:szCs w:val="14"/>
                <w:color w:val="auto"/>
              </w:rPr>
              <w:t xml:space="preserve">Cash, Due 3/31/18) </w:t>
            </w:r>
            <w:r>
              <w:rPr>
                <w:rFonts w:ascii="Arial" w:cs="Arial" w:eastAsia="Arial" w:hAnsi="Arial"/>
                <w:sz w:val="22"/>
                <w:szCs w:val="22"/>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11,000</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11,000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11,000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230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Membership Units (14% fully</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AAE Acquisition, LLC</w:t>
            </w: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Industrial Equipment Rental</w:t>
            </w:r>
          </w:p>
        </w:tc>
        <w:tc>
          <w:tcPr>
            <w:tcW w:w="23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diluted)</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2,271</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11,017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13,271</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230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Senior Secured Debt (L+9.5%</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American Clinical Solutions, LLC</w:t>
            </w: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Healthcare</w:t>
            </w:r>
          </w:p>
        </w:tc>
        <w:tc>
          <w:tcPr>
            <w:tcW w:w="23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Cash, 1% Floor, Due 6/11/20)</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9,875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9,875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9,875</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9,875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9,875</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Replacement Window</w:t>
            </w:r>
          </w:p>
        </w:tc>
        <w:tc>
          <w:tcPr>
            <w:tcW w:w="23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Senior Secured Debt (14% Cash,</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American Exteriors, LLC</w:t>
            </w: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Manufacturer</w:t>
            </w:r>
          </w:p>
        </w:tc>
        <w:tc>
          <w:tcPr>
            <w:tcW w:w="2300" w:type="dxa"/>
            <w:vAlign w:val="bottom"/>
            <w:gridSpan w:val="3"/>
            <w:shd w:val="clear" w:color="auto" w:fill="CCEEFF"/>
          </w:tcPr>
          <w:p>
            <w:pPr>
              <w:ind w:left="120"/>
              <w:spacing w:after="0" w:line="176" w:lineRule="exact"/>
              <w:rPr>
                <w:sz w:val="20"/>
                <w:szCs w:val="20"/>
                <w:color w:val="auto"/>
              </w:rPr>
            </w:pPr>
            <w:r>
              <w:rPr>
                <w:rFonts w:ascii="Arial" w:cs="Arial" w:eastAsia="Arial" w:hAnsi="Arial"/>
                <w:sz w:val="13"/>
                <w:szCs w:val="13"/>
                <w:color w:val="auto"/>
              </w:rPr>
              <w:t xml:space="preserve">Due 1/15/16) </w:t>
            </w:r>
            <w:r>
              <w:rPr>
                <w:rFonts w:ascii="Arial" w:cs="Arial" w:eastAsia="Arial" w:hAnsi="Arial"/>
                <w:sz w:val="20"/>
                <w:szCs w:val="20"/>
                <w:color w:val="auto"/>
                <w:vertAlign w:val="superscript"/>
              </w:rPr>
              <w:t>(1)</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4,879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3,679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4,391</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Replacement Window</w:t>
            </w:r>
          </w:p>
        </w:tc>
        <w:tc>
          <w:tcPr>
            <w:tcW w:w="23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Jr. Convertible Note (10% Cash,</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American Exteriors, LLC</w:t>
            </w: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Manufacturer</w:t>
            </w:r>
          </w:p>
        </w:tc>
        <w:tc>
          <w:tcPr>
            <w:tcW w:w="2300" w:type="dxa"/>
            <w:vAlign w:val="bottom"/>
            <w:gridSpan w:val="3"/>
            <w:shd w:val="clear" w:color="auto" w:fill="CCEEFF"/>
          </w:tcPr>
          <w:p>
            <w:pPr>
              <w:ind w:left="120"/>
              <w:spacing w:after="0" w:line="176" w:lineRule="exact"/>
              <w:rPr>
                <w:sz w:val="20"/>
                <w:szCs w:val="20"/>
                <w:color w:val="auto"/>
              </w:rPr>
            </w:pPr>
            <w:r>
              <w:rPr>
                <w:rFonts w:ascii="Arial" w:cs="Arial" w:eastAsia="Arial" w:hAnsi="Arial"/>
                <w:sz w:val="13"/>
                <w:szCs w:val="13"/>
                <w:color w:val="auto"/>
              </w:rPr>
              <w:t xml:space="preserve">Due 12/31/16) </w:t>
            </w:r>
            <w:r>
              <w:rPr>
                <w:rFonts w:ascii="Arial" w:cs="Arial" w:eastAsia="Arial" w:hAnsi="Arial"/>
                <w:sz w:val="20"/>
                <w:szCs w:val="20"/>
                <w:color w:val="auto"/>
                <w:vertAlign w:val="superscript"/>
              </w:rPr>
              <w:t>(1) (2)</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500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415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Replacement Window</w:t>
            </w:r>
          </w:p>
        </w:tc>
        <w:tc>
          <w:tcPr>
            <w:tcW w:w="230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Common Stock Warrants (15%</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American Exteriors, LLC</w:t>
            </w: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Manufacturer</w:t>
            </w:r>
          </w:p>
        </w:tc>
        <w:tc>
          <w:tcPr>
            <w:tcW w:w="23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fully diluted)</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4,094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4,391</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230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w w:val="96"/>
              </w:rPr>
              <w:t>Subordinated Debt (14% Cash, Due</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B&amp;W Quality Growers, LLC</w:t>
            </w: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Farming</w:t>
            </w:r>
          </w:p>
        </w:tc>
        <w:tc>
          <w:tcPr>
            <w:tcW w:w="22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7/23/20)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9,991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10,000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230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w w:val="99"/>
              </w:rPr>
              <w:t>Membership Unit Warrants (91,739</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B&amp;W Quality Growers, LLC</w:t>
            </w: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Farming</w:t>
            </w:r>
          </w:p>
        </w:tc>
        <w:tc>
          <w:tcPr>
            <w:tcW w:w="23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Units)</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5,594</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10,011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15,594</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230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Senior Secured Term Debt</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3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(L+7.5% Cash, 1% Floor, Due</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Bluestem Brands, Inc.</w:t>
            </w: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Online Merchandise Retailer</w:t>
            </w:r>
          </w:p>
        </w:tc>
        <w:tc>
          <w:tcPr>
            <w:tcW w:w="22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11/7/20)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4,592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4,435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4,435</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4,435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4,435</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Boot Barn Holdings, Inc</w:t>
            </w: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Western Wear Retail</w:t>
            </w:r>
          </w:p>
        </w:tc>
        <w:tc>
          <w:tcPr>
            <w:tcW w:w="230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4"/>
                <w:szCs w:val="14"/>
                <w:color w:val="auto"/>
                <w:w w:val="98"/>
              </w:rPr>
              <w:t xml:space="preserve">Common Stock (95,252 shares) </w:t>
            </w:r>
            <w:r>
              <w:rPr>
                <w:rFonts w:ascii="Arial" w:cs="Arial" w:eastAsia="Arial" w:hAnsi="Arial"/>
                <w:sz w:val="23"/>
                <w:szCs w:val="23"/>
                <w:color w:val="auto"/>
                <w:w w:val="98"/>
                <w:vertAlign w:val="superscript"/>
              </w:rPr>
              <w:t>(8)</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381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1,755</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381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1,755</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230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Subordinated Debt (L+8.25%</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Brock Holdings III, Inc.</w:t>
            </w: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Industrial Specialty Services</w:t>
            </w:r>
          </w:p>
        </w:tc>
        <w:tc>
          <w:tcPr>
            <w:tcW w:w="23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Cash, 1.75% Floor, Due 3/16/18)</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5,000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4,868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4,868</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4,868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4,868</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230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Senior Secured Term Debt</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3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(L+6.0% Cash, 2% Floor, Due</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Brunswick Bowling Products, Inc.</w:t>
            </w: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Bowling Products</w:t>
            </w:r>
          </w:p>
        </w:tc>
        <w:tc>
          <w:tcPr>
            <w:tcW w:w="22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5/22/20)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2,000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2,000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230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Subordinated Debt (L+14.25%</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Brunswick Bowling Products, Inc.</w:t>
            </w: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Bowling Products</w:t>
            </w:r>
          </w:p>
        </w:tc>
        <w:tc>
          <w:tcPr>
            <w:tcW w:w="23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Cash, 2% Floor, Due 5/22/20)</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6,983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6,983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6,983</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300" w:type="dxa"/>
            <w:vAlign w:val="bottom"/>
            <w:gridSpan w:val="3"/>
            <w:shd w:val="clear" w:color="auto" w:fill="CCEEFF"/>
          </w:tcPr>
          <w:p>
            <w:pPr>
              <w:ind w:left="120"/>
              <w:spacing w:after="0" w:line="140" w:lineRule="exact"/>
              <w:rPr>
                <w:sz w:val="20"/>
                <w:szCs w:val="20"/>
                <w:color w:val="auto"/>
              </w:rPr>
            </w:pPr>
            <w:r>
              <w:rPr>
                <w:rFonts w:ascii="Arial" w:cs="Arial" w:eastAsia="Arial" w:hAnsi="Arial"/>
                <w:sz w:val="14"/>
                <w:szCs w:val="14"/>
                <w:color w:val="auto"/>
                <w:w w:val="96"/>
              </w:rPr>
              <w:t>Preferred Shares (2,966 shares, 8%</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Brunswick Bowling Products, Inc.</w:t>
            </w: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Bowling Products</w:t>
            </w:r>
          </w:p>
        </w:tc>
        <w:tc>
          <w:tcPr>
            <w:tcW w:w="2300" w:type="dxa"/>
            <w:vAlign w:val="bottom"/>
            <w:gridSpan w:val="3"/>
            <w:shd w:val="clear" w:color="auto" w:fill="CCEEFF"/>
          </w:tcPr>
          <w:p>
            <w:pPr>
              <w:ind w:left="120"/>
              <w:spacing w:after="0" w:line="211" w:lineRule="exact"/>
              <w:rPr>
                <w:sz w:val="20"/>
                <w:szCs w:val="20"/>
                <w:color w:val="auto"/>
              </w:rPr>
            </w:pPr>
            <w:r>
              <w:rPr>
                <w:rFonts w:ascii="Arial" w:cs="Arial" w:eastAsia="Arial" w:hAnsi="Arial"/>
                <w:sz w:val="14"/>
                <w:szCs w:val="14"/>
                <w:color w:val="auto"/>
              </w:rPr>
              <w:t xml:space="preserve">PIK) </w:t>
            </w:r>
            <w:r>
              <w:rPr>
                <w:rFonts w:ascii="Arial" w:cs="Arial" w:eastAsia="Arial" w:hAnsi="Arial"/>
                <w:sz w:val="23"/>
                <w:szCs w:val="23"/>
                <w:color w:val="auto"/>
                <w:vertAlign w:val="superscript"/>
              </w:rPr>
              <w:t>(6)</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3,055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3,055</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12,038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12,038</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230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Senior Secured Term Debt (9.5%</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Burke America Parts Group, LLC</w:t>
            </w: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w w:val="99"/>
              </w:rPr>
              <w:t>Home Repair Parts Manufacturer</w:t>
            </w:r>
          </w:p>
        </w:tc>
        <w:tc>
          <w:tcPr>
            <w:tcW w:w="23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Cash, Due 4/30/20)</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5,000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4,860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4,860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Burke America Parts Group, LLC</w:t>
            </w: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w w:val="99"/>
              </w:rPr>
              <w:t>Home Repair Parts Manufacturer</w:t>
            </w:r>
          </w:p>
        </w:tc>
        <w:tc>
          <w:tcPr>
            <w:tcW w:w="23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Warrants (14 units)</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w:t>
            </w: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4,865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5,216</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Caregiver Services, Inc.</w:t>
            </w:r>
          </w:p>
        </w:tc>
        <w:tc>
          <w:tcPr>
            <w:tcW w:w="2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In-Home Healthcare Services</w:t>
            </w:r>
          </w:p>
        </w:tc>
        <w:tc>
          <w:tcPr>
            <w:tcW w:w="23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Common Stock (293,186 shares)</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300" w:type="dxa"/>
            <w:vAlign w:val="bottom"/>
            <w:gridSpan w:val="3"/>
            <w:shd w:val="clear" w:color="auto" w:fill="CCEEFF"/>
          </w:tcPr>
          <w:p>
            <w:pPr>
              <w:ind w:left="120"/>
              <w:spacing w:after="0" w:line="140" w:lineRule="exact"/>
              <w:rPr>
                <w:sz w:val="20"/>
                <w:szCs w:val="20"/>
                <w:color w:val="auto"/>
              </w:rPr>
            </w:pPr>
            <w:r>
              <w:rPr>
                <w:rFonts w:ascii="Arial" w:cs="Arial" w:eastAsia="Arial" w:hAnsi="Arial"/>
                <w:sz w:val="14"/>
                <w:szCs w:val="14"/>
                <w:color w:val="auto"/>
              </w:rPr>
              <w:t>Common Stock Warrants (655,908</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Caregiver Services, Inc.</w:t>
            </w: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In-Home Healthcare Services</w:t>
            </w:r>
          </w:p>
        </w:tc>
        <w:tc>
          <w:tcPr>
            <w:tcW w:w="2300" w:type="dxa"/>
            <w:vAlign w:val="bottom"/>
            <w:gridSpan w:val="3"/>
            <w:shd w:val="clear" w:color="auto" w:fill="CCEEFF"/>
          </w:tcPr>
          <w:p>
            <w:pPr>
              <w:ind w:left="120"/>
              <w:spacing w:after="0" w:line="211" w:lineRule="exact"/>
              <w:rPr>
                <w:sz w:val="20"/>
                <w:szCs w:val="20"/>
                <w:color w:val="auto"/>
              </w:rPr>
            </w:pPr>
            <w:r>
              <w:rPr>
                <w:rFonts w:ascii="Arial" w:cs="Arial" w:eastAsia="Arial" w:hAnsi="Arial"/>
                <w:sz w:val="14"/>
                <w:szCs w:val="14"/>
                <w:color w:val="auto"/>
              </w:rPr>
              <w:t xml:space="preserve">units) </w:t>
            </w:r>
            <w:r>
              <w:rPr>
                <w:rFonts w:ascii="Arial" w:cs="Arial" w:eastAsia="Arial" w:hAnsi="Arial"/>
                <w:sz w:val="23"/>
                <w:szCs w:val="23"/>
                <w:color w:val="auto"/>
                <w:vertAlign w:val="superscript"/>
              </w:rPr>
              <w:t>(7)</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696</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522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1,008</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230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Subordinated Debt (12% Cash,</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Cedar Electronics Holding Corp.</w:t>
            </w: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Consumer Electronics</w:t>
            </w:r>
          </w:p>
        </w:tc>
        <w:tc>
          <w:tcPr>
            <w:tcW w:w="23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Matures 12/26/20)</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28,300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28,300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28,300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28,300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28,300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230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Senior Secured Revolving Debt</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2300" w:type="dxa"/>
            <w:vAlign w:val="bottom"/>
            <w:gridSpan w:val="3"/>
            <w:shd w:val="clear" w:color="auto" w:fill="CCEEFF"/>
          </w:tcPr>
          <w:p>
            <w:pPr>
              <w:ind w:left="120"/>
              <w:spacing w:after="0" w:line="159" w:lineRule="exact"/>
              <w:rPr>
                <w:sz w:val="20"/>
                <w:szCs w:val="20"/>
                <w:color w:val="auto"/>
              </w:rPr>
            </w:pPr>
            <w:r>
              <w:rPr>
                <w:rFonts w:ascii="Arial" w:cs="Arial" w:eastAsia="Arial" w:hAnsi="Arial"/>
                <w:sz w:val="14"/>
                <w:szCs w:val="14"/>
                <w:color w:val="auto"/>
              </w:rPr>
              <w:t>(L+13.0% Cash, 1% Floor, Due</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Community Choice Financial, Inc.</w:t>
            </w: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Financial Services</w:t>
            </w:r>
          </w:p>
        </w:tc>
        <w:tc>
          <w:tcPr>
            <w:tcW w:w="2200" w:type="dxa"/>
            <w:vAlign w:val="bottom"/>
            <w:gridSpan w:val="2"/>
            <w:shd w:val="clear" w:color="auto" w:fill="CCEEFF"/>
          </w:tcPr>
          <w:p>
            <w:pPr>
              <w:ind w:left="120"/>
              <w:spacing w:after="0" w:line="211" w:lineRule="exact"/>
              <w:rPr>
                <w:sz w:val="20"/>
                <w:szCs w:val="20"/>
                <w:color w:val="auto"/>
              </w:rPr>
            </w:pPr>
            <w:r>
              <w:rPr>
                <w:rFonts w:ascii="Arial" w:cs="Arial" w:eastAsia="Arial" w:hAnsi="Arial"/>
                <w:sz w:val="14"/>
                <w:szCs w:val="14"/>
                <w:color w:val="auto"/>
              </w:rPr>
              <w:t xml:space="preserve">3/27/17) </w:t>
            </w:r>
            <w:r>
              <w:rPr>
                <w:rFonts w:ascii="Arial" w:cs="Arial" w:eastAsia="Arial" w:hAnsi="Arial"/>
                <w:sz w:val="23"/>
                <w:szCs w:val="23"/>
                <w:color w:val="auto"/>
                <w:vertAlign w:val="superscript"/>
              </w:rPr>
              <w:t>(8) (12)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17,161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17,161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17,161</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17,161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17,161</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904" w:right="239" w:bottom="0" w:gutter="0" w:footer="0" w:header="0"/>
        </w:sectPr>
      </w:pPr>
    </w:p>
    <w:bookmarkStart w:id="7" w:name="page8"/>
    <w:bookmarkEnd w:id="7"/>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500" w:type="dxa"/>
            <w:vAlign w:val="bottom"/>
          </w:tcPr>
          <w:p>
            <w:pPr>
              <w:ind w:left="120"/>
              <w:spacing w:after="0"/>
              <w:rPr>
                <w:sz w:val="20"/>
                <w:szCs w:val="20"/>
                <w:color w:val="auto"/>
              </w:rPr>
            </w:pPr>
            <w:r>
              <w:rPr>
                <w:rFonts w:ascii="Arial" w:cs="Arial" w:eastAsia="Arial" w:hAnsi="Arial"/>
                <w:sz w:val="14"/>
                <w:szCs w:val="14"/>
                <w:color w:val="auto"/>
              </w:rPr>
              <w:t>Subordinated Debt (11.5% Cash,</w:t>
            </w:r>
          </w:p>
        </w:tc>
        <w:tc>
          <w:tcPr>
            <w:tcW w:w="700" w:type="dxa"/>
            <w:vAlign w:val="bottom"/>
          </w:tcPr>
          <w:p>
            <w:pPr>
              <w:spacing w:after="0"/>
              <w:rPr>
                <w:sz w:val="14"/>
                <w:szCs w:val="14"/>
                <w:color w:val="auto"/>
              </w:rPr>
            </w:pPr>
          </w:p>
        </w:tc>
      </w:tr>
      <w:tr>
        <w:trPr>
          <w:trHeight w:val="182"/>
        </w:trPr>
        <w:tc>
          <w:tcPr>
            <w:tcW w:w="2540" w:type="dxa"/>
            <w:vAlign w:val="bottom"/>
          </w:tcPr>
          <w:p>
            <w:pPr>
              <w:spacing w:after="0"/>
              <w:rPr>
                <w:sz w:val="20"/>
                <w:szCs w:val="20"/>
                <w:color w:val="auto"/>
              </w:rPr>
            </w:pPr>
            <w:r>
              <w:rPr>
                <w:rFonts w:ascii="Arial" w:cs="Arial" w:eastAsia="Arial" w:hAnsi="Arial"/>
                <w:sz w:val="14"/>
                <w:szCs w:val="14"/>
                <w:color w:val="auto"/>
              </w:rPr>
              <w:t>Construction Partners, Inc.</w:t>
            </w:r>
          </w:p>
        </w:tc>
        <w:tc>
          <w:tcPr>
            <w:tcW w:w="2160" w:type="dxa"/>
            <w:vAlign w:val="bottom"/>
          </w:tcPr>
          <w:p>
            <w:pPr>
              <w:ind w:left="100"/>
              <w:spacing w:after="0"/>
              <w:rPr>
                <w:sz w:val="20"/>
                <w:szCs w:val="20"/>
                <w:color w:val="auto"/>
              </w:rPr>
            </w:pPr>
            <w:r>
              <w:rPr>
                <w:rFonts w:ascii="Arial" w:cs="Arial" w:eastAsia="Arial" w:hAnsi="Arial"/>
                <w:sz w:val="14"/>
                <w:szCs w:val="14"/>
                <w:color w:val="auto"/>
              </w:rPr>
              <w:t>Construction Services</w:t>
            </w:r>
          </w:p>
        </w:tc>
        <w:tc>
          <w:tcPr>
            <w:tcW w:w="2500" w:type="dxa"/>
            <w:vAlign w:val="bottom"/>
          </w:tcPr>
          <w:p>
            <w:pPr>
              <w:ind w:left="120"/>
              <w:spacing w:after="0"/>
              <w:rPr>
                <w:sz w:val="20"/>
                <w:szCs w:val="20"/>
                <w:color w:val="auto"/>
              </w:rPr>
            </w:pPr>
            <w:r>
              <w:rPr>
                <w:rFonts w:ascii="Arial" w:cs="Arial" w:eastAsia="Arial" w:hAnsi="Arial"/>
                <w:sz w:val="14"/>
                <w:szCs w:val="14"/>
                <w:color w:val="auto"/>
              </w:rPr>
              <w:t>Due 6/12/20)</w:t>
            </w:r>
          </w:p>
        </w:tc>
        <w:tc>
          <w:tcPr>
            <w:tcW w:w="700" w:type="dxa"/>
            <w:vAlign w:val="bottom"/>
          </w:tcPr>
          <w:p>
            <w:pPr>
              <w:jc w:val="right"/>
              <w:spacing w:after="0"/>
              <w:rPr>
                <w:sz w:val="20"/>
                <w:szCs w:val="20"/>
                <w:color w:val="auto"/>
              </w:rPr>
            </w:pPr>
            <w:r>
              <w:rPr>
                <w:rFonts w:ascii="Arial" w:cs="Arial" w:eastAsia="Arial" w:hAnsi="Arial"/>
                <w:sz w:val="14"/>
                <w:szCs w:val="14"/>
                <w:color w:val="auto"/>
              </w:rPr>
              <w:t>12,500</w:t>
            </w:r>
          </w:p>
        </w:tc>
      </w:tr>
      <w:tr>
        <w:trPr>
          <w:trHeight w:val="615"/>
        </w:trPr>
        <w:tc>
          <w:tcPr>
            <w:tcW w:w="25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500" w:type="dxa"/>
            <w:vAlign w:val="bottom"/>
          </w:tcPr>
          <w:p>
            <w:pPr>
              <w:ind w:left="120"/>
              <w:spacing w:after="0"/>
              <w:rPr>
                <w:sz w:val="20"/>
                <w:szCs w:val="20"/>
                <w:color w:val="auto"/>
              </w:rPr>
            </w:pPr>
            <w:r>
              <w:rPr>
                <w:rFonts w:ascii="Arial" w:cs="Arial" w:eastAsia="Arial" w:hAnsi="Arial"/>
                <w:sz w:val="14"/>
                <w:szCs w:val="14"/>
                <w:color w:val="auto"/>
              </w:rPr>
              <w:t>Subordinated Debt (9% Cash, 2%</w:t>
            </w:r>
          </w:p>
        </w:tc>
        <w:tc>
          <w:tcPr>
            <w:tcW w:w="700" w:type="dxa"/>
            <w:vAlign w:val="bottom"/>
          </w:tcPr>
          <w:p>
            <w:pPr>
              <w:spacing w:after="0"/>
              <w:rPr>
                <w:sz w:val="24"/>
                <w:szCs w:val="24"/>
                <w:color w:val="auto"/>
              </w:rPr>
            </w:pPr>
          </w:p>
        </w:tc>
      </w:tr>
      <w:tr>
        <w:trPr>
          <w:trHeight w:val="182"/>
        </w:trPr>
        <w:tc>
          <w:tcPr>
            <w:tcW w:w="2540" w:type="dxa"/>
            <w:vAlign w:val="bottom"/>
          </w:tcPr>
          <w:p>
            <w:pPr>
              <w:spacing w:after="0"/>
              <w:rPr>
                <w:sz w:val="20"/>
                <w:szCs w:val="20"/>
                <w:color w:val="auto"/>
              </w:rPr>
            </w:pPr>
            <w:r>
              <w:rPr>
                <w:rFonts w:ascii="Arial" w:cs="Arial" w:eastAsia="Arial" w:hAnsi="Arial"/>
                <w:sz w:val="14"/>
                <w:szCs w:val="14"/>
                <w:color w:val="auto"/>
              </w:rPr>
              <w:t>Corporate Visions, Inc.</w:t>
            </w:r>
          </w:p>
        </w:tc>
        <w:tc>
          <w:tcPr>
            <w:tcW w:w="2160" w:type="dxa"/>
            <w:vAlign w:val="bottom"/>
          </w:tcPr>
          <w:p>
            <w:pPr>
              <w:ind w:left="100"/>
              <w:spacing w:after="0"/>
              <w:rPr>
                <w:sz w:val="20"/>
                <w:szCs w:val="20"/>
                <w:color w:val="auto"/>
              </w:rPr>
            </w:pPr>
            <w:r>
              <w:rPr>
                <w:rFonts w:ascii="Arial" w:cs="Arial" w:eastAsia="Arial" w:hAnsi="Arial"/>
                <w:sz w:val="14"/>
                <w:szCs w:val="14"/>
                <w:color w:val="auto"/>
              </w:rPr>
              <w:t>Sales &amp; Marketing Services</w:t>
            </w:r>
          </w:p>
        </w:tc>
        <w:tc>
          <w:tcPr>
            <w:tcW w:w="2500" w:type="dxa"/>
            <w:vAlign w:val="bottom"/>
          </w:tcPr>
          <w:p>
            <w:pPr>
              <w:ind w:left="120"/>
              <w:spacing w:after="0"/>
              <w:rPr>
                <w:sz w:val="20"/>
                <w:szCs w:val="20"/>
                <w:color w:val="auto"/>
              </w:rPr>
            </w:pPr>
            <w:r>
              <w:rPr>
                <w:rFonts w:ascii="Arial" w:cs="Arial" w:eastAsia="Arial" w:hAnsi="Arial"/>
                <w:sz w:val="14"/>
                <w:szCs w:val="14"/>
                <w:color w:val="auto"/>
              </w:rPr>
              <w:t>PIK, Due 11/29/21)</w:t>
            </w:r>
          </w:p>
        </w:tc>
        <w:tc>
          <w:tcPr>
            <w:tcW w:w="700" w:type="dxa"/>
            <w:vAlign w:val="bottom"/>
          </w:tcPr>
          <w:p>
            <w:pPr>
              <w:jc w:val="right"/>
              <w:spacing w:after="0"/>
              <w:rPr>
                <w:sz w:val="20"/>
                <w:szCs w:val="20"/>
                <w:color w:val="auto"/>
              </w:rPr>
            </w:pPr>
            <w:r>
              <w:rPr>
                <w:rFonts w:ascii="Arial" w:cs="Arial" w:eastAsia="Arial" w:hAnsi="Arial"/>
                <w:sz w:val="14"/>
                <w:szCs w:val="14"/>
                <w:color w:val="auto"/>
              </w:rPr>
              <w:t>15,860</w:t>
            </w:r>
          </w:p>
        </w:tc>
      </w:tr>
      <w:tr>
        <w:trPr>
          <w:trHeight w:val="297"/>
        </w:trPr>
        <w:tc>
          <w:tcPr>
            <w:tcW w:w="2540" w:type="dxa"/>
            <w:vAlign w:val="bottom"/>
          </w:tcPr>
          <w:p>
            <w:pPr>
              <w:spacing w:after="0"/>
              <w:rPr>
                <w:sz w:val="20"/>
                <w:szCs w:val="20"/>
                <w:color w:val="auto"/>
              </w:rPr>
            </w:pPr>
            <w:r>
              <w:rPr>
                <w:rFonts w:ascii="Arial" w:cs="Arial" w:eastAsia="Arial" w:hAnsi="Arial"/>
                <w:sz w:val="14"/>
                <w:szCs w:val="14"/>
                <w:color w:val="auto"/>
              </w:rPr>
              <w:t>Corporate Visions, Inc.</w:t>
            </w:r>
          </w:p>
        </w:tc>
        <w:tc>
          <w:tcPr>
            <w:tcW w:w="2160" w:type="dxa"/>
            <w:vAlign w:val="bottom"/>
          </w:tcPr>
          <w:p>
            <w:pPr>
              <w:ind w:left="100"/>
              <w:spacing w:after="0"/>
              <w:rPr>
                <w:sz w:val="20"/>
                <w:szCs w:val="20"/>
                <w:color w:val="auto"/>
              </w:rPr>
            </w:pPr>
            <w:r>
              <w:rPr>
                <w:rFonts w:ascii="Arial" w:cs="Arial" w:eastAsia="Arial" w:hAnsi="Arial"/>
                <w:sz w:val="14"/>
                <w:szCs w:val="14"/>
                <w:color w:val="auto"/>
              </w:rPr>
              <w:t>Sales &amp; Marketing Services</w:t>
            </w:r>
          </w:p>
        </w:tc>
        <w:tc>
          <w:tcPr>
            <w:tcW w:w="2500" w:type="dxa"/>
            <w:vAlign w:val="bottom"/>
          </w:tcPr>
          <w:p>
            <w:pPr>
              <w:ind w:left="120"/>
              <w:spacing w:after="0"/>
              <w:rPr>
                <w:sz w:val="20"/>
                <w:szCs w:val="20"/>
                <w:color w:val="auto"/>
              </w:rPr>
            </w:pPr>
            <w:r>
              <w:rPr>
                <w:rFonts w:ascii="Arial" w:cs="Arial" w:eastAsia="Arial" w:hAnsi="Arial"/>
                <w:sz w:val="14"/>
                <w:szCs w:val="14"/>
                <w:color w:val="auto"/>
              </w:rPr>
              <w:t>Common Stock (15,750 shares)</w:t>
            </w:r>
          </w:p>
        </w:tc>
        <w:tc>
          <w:tcPr>
            <w:tcW w:w="700" w:type="dxa"/>
            <w:vAlign w:val="bottom"/>
          </w:tcPr>
          <w:p>
            <w:pPr>
              <w:spacing w:after="0"/>
              <w:rPr>
                <w:sz w:val="24"/>
                <w:szCs w:val="24"/>
                <w:color w:val="auto"/>
              </w:rPr>
            </w:pPr>
          </w:p>
        </w:tc>
      </w:tr>
      <w:tr>
        <w:trPr>
          <w:trHeight w:val="615"/>
        </w:trPr>
        <w:tc>
          <w:tcPr>
            <w:tcW w:w="25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500" w:type="dxa"/>
            <w:vAlign w:val="bottom"/>
          </w:tcPr>
          <w:p>
            <w:pPr>
              <w:ind w:left="120"/>
              <w:spacing w:after="0"/>
              <w:rPr>
                <w:sz w:val="20"/>
                <w:szCs w:val="20"/>
                <w:color w:val="auto"/>
              </w:rPr>
            </w:pPr>
            <w:r>
              <w:rPr>
                <w:rFonts w:ascii="Arial" w:cs="Arial" w:eastAsia="Arial" w:hAnsi="Arial"/>
                <w:sz w:val="14"/>
                <w:szCs w:val="14"/>
                <w:color w:val="auto"/>
              </w:rPr>
              <w:t>Series A Income Preferred Shares</w:t>
            </w:r>
          </w:p>
        </w:tc>
        <w:tc>
          <w:tcPr>
            <w:tcW w:w="700" w:type="dxa"/>
            <w:vAlign w:val="bottom"/>
          </w:tcPr>
          <w:p>
            <w:pPr>
              <w:spacing w:after="0"/>
              <w:rPr>
                <w:sz w:val="24"/>
                <w:szCs w:val="24"/>
                <w:color w:val="auto"/>
              </w:rPr>
            </w:pPr>
          </w:p>
        </w:tc>
      </w:tr>
      <w:tr>
        <w:trPr>
          <w:trHeight w:val="158"/>
        </w:trPr>
        <w:tc>
          <w:tcPr>
            <w:tcW w:w="25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500" w:type="dxa"/>
            <w:vAlign w:val="bottom"/>
          </w:tcPr>
          <w:p>
            <w:pPr>
              <w:ind w:left="120"/>
              <w:spacing w:after="0" w:line="159" w:lineRule="exact"/>
              <w:rPr>
                <w:sz w:val="20"/>
                <w:szCs w:val="20"/>
                <w:color w:val="auto"/>
              </w:rPr>
            </w:pPr>
            <w:r>
              <w:rPr>
                <w:rFonts w:ascii="Arial" w:cs="Arial" w:eastAsia="Arial" w:hAnsi="Arial"/>
                <w:sz w:val="14"/>
                <w:szCs w:val="14"/>
                <w:color w:val="auto"/>
              </w:rPr>
              <w:t>(6,000 shares, 10% Cash, 2% PIK</w:t>
            </w:r>
          </w:p>
        </w:tc>
        <w:tc>
          <w:tcPr>
            <w:tcW w:w="700" w:type="dxa"/>
            <w:vAlign w:val="bottom"/>
          </w:tcPr>
          <w:p>
            <w:pPr>
              <w:spacing w:after="0"/>
              <w:rPr>
                <w:sz w:val="13"/>
                <w:szCs w:val="13"/>
                <w:color w:val="auto"/>
              </w:rPr>
            </w:pPr>
          </w:p>
        </w:tc>
      </w:tr>
      <w:tr>
        <w:trPr>
          <w:trHeight w:val="313"/>
        </w:trPr>
        <w:tc>
          <w:tcPr>
            <w:tcW w:w="2540" w:type="dxa"/>
            <w:vAlign w:val="bottom"/>
          </w:tcPr>
          <w:p>
            <w:pPr>
              <w:spacing w:after="0"/>
              <w:rPr>
                <w:sz w:val="20"/>
                <w:szCs w:val="20"/>
                <w:color w:val="auto"/>
              </w:rPr>
            </w:pPr>
            <w:r>
              <w:rPr>
                <w:rFonts w:ascii="Arial" w:cs="Arial" w:eastAsia="Arial" w:hAnsi="Arial"/>
                <w:sz w:val="14"/>
                <w:szCs w:val="14"/>
                <w:color w:val="auto"/>
              </w:rPr>
              <w:t>Crowley Holdings, Inc.</w:t>
            </w:r>
          </w:p>
        </w:tc>
        <w:tc>
          <w:tcPr>
            <w:tcW w:w="2160" w:type="dxa"/>
            <w:vAlign w:val="bottom"/>
          </w:tcPr>
          <w:p>
            <w:pPr>
              <w:ind w:left="100"/>
              <w:spacing w:after="0"/>
              <w:rPr>
                <w:sz w:val="20"/>
                <w:szCs w:val="20"/>
                <w:color w:val="auto"/>
              </w:rPr>
            </w:pPr>
            <w:r>
              <w:rPr>
                <w:rFonts w:ascii="Arial" w:cs="Arial" w:eastAsia="Arial" w:hAnsi="Arial"/>
                <w:sz w:val="14"/>
                <w:szCs w:val="14"/>
                <w:color w:val="auto"/>
              </w:rPr>
              <w:t>Transportation</w:t>
            </w:r>
          </w:p>
        </w:tc>
        <w:tc>
          <w:tcPr>
            <w:tcW w:w="2500" w:type="dxa"/>
            <w:vAlign w:val="bottom"/>
          </w:tcPr>
          <w:p>
            <w:pPr>
              <w:ind w:left="120"/>
              <w:spacing w:after="0"/>
              <w:rPr>
                <w:sz w:val="20"/>
                <w:szCs w:val="20"/>
                <w:color w:val="auto"/>
              </w:rPr>
            </w:pPr>
            <w:r>
              <w:rPr>
                <w:rFonts w:ascii="Arial" w:cs="Arial" w:eastAsia="Arial" w:hAnsi="Arial"/>
                <w:sz w:val="14"/>
                <w:szCs w:val="14"/>
                <w:color w:val="auto"/>
              </w:rPr>
              <w:t xml:space="preserve">dividend) </w:t>
            </w:r>
            <w:r>
              <w:rPr>
                <w:rFonts w:ascii="Arial" w:cs="Arial" w:eastAsia="Arial" w:hAnsi="Arial"/>
                <w:sz w:val="23"/>
                <w:szCs w:val="23"/>
                <w:color w:val="auto"/>
                <w:vertAlign w:val="superscript"/>
              </w:rPr>
              <w:t>(6)</w:t>
            </w:r>
          </w:p>
        </w:tc>
        <w:tc>
          <w:tcPr>
            <w:tcW w:w="700" w:type="dxa"/>
            <w:vAlign w:val="bottom"/>
          </w:tcPr>
          <w:p>
            <w:pPr>
              <w:spacing w:after="0"/>
              <w:rPr>
                <w:sz w:val="24"/>
                <w:szCs w:val="24"/>
                <w:color w:val="auto"/>
              </w:rPr>
            </w:pPr>
          </w:p>
        </w:tc>
      </w:tr>
      <w:tr>
        <w:trPr>
          <w:trHeight w:val="514"/>
        </w:trPr>
        <w:tc>
          <w:tcPr>
            <w:tcW w:w="25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500" w:type="dxa"/>
            <w:vAlign w:val="bottom"/>
          </w:tcPr>
          <w:p>
            <w:pPr>
              <w:ind w:left="120"/>
              <w:spacing w:after="0"/>
              <w:rPr>
                <w:sz w:val="20"/>
                <w:szCs w:val="20"/>
                <w:color w:val="auto"/>
              </w:rPr>
            </w:pPr>
            <w:r>
              <w:rPr>
                <w:rFonts w:ascii="Arial" w:cs="Arial" w:eastAsia="Arial" w:hAnsi="Arial"/>
                <w:sz w:val="14"/>
                <w:szCs w:val="14"/>
                <w:color w:val="auto"/>
              </w:rPr>
              <w:t>Subordinated Debt (L+7.75%</w:t>
            </w:r>
          </w:p>
        </w:tc>
        <w:tc>
          <w:tcPr>
            <w:tcW w:w="700" w:type="dxa"/>
            <w:vAlign w:val="bottom"/>
          </w:tcPr>
          <w:p>
            <w:pPr>
              <w:spacing w:after="0"/>
              <w:rPr>
                <w:sz w:val="24"/>
                <w:szCs w:val="24"/>
                <w:color w:val="auto"/>
              </w:rPr>
            </w:pPr>
          </w:p>
        </w:tc>
      </w:tr>
      <w:tr>
        <w:trPr>
          <w:trHeight w:val="182"/>
        </w:trPr>
        <w:tc>
          <w:tcPr>
            <w:tcW w:w="2540" w:type="dxa"/>
            <w:vAlign w:val="bottom"/>
          </w:tcPr>
          <w:p>
            <w:pPr>
              <w:spacing w:after="0"/>
              <w:rPr>
                <w:sz w:val="20"/>
                <w:szCs w:val="20"/>
                <w:color w:val="auto"/>
              </w:rPr>
            </w:pPr>
            <w:r>
              <w:rPr>
                <w:rFonts w:ascii="Arial" w:cs="Arial" w:eastAsia="Arial" w:hAnsi="Arial"/>
                <w:sz w:val="14"/>
                <w:szCs w:val="14"/>
                <w:color w:val="auto"/>
              </w:rPr>
              <w:t>CSM Bakery Solutions, LLC</w:t>
            </w:r>
          </w:p>
        </w:tc>
        <w:tc>
          <w:tcPr>
            <w:tcW w:w="2160" w:type="dxa"/>
            <w:vAlign w:val="bottom"/>
          </w:tcPr>
          <w:p>
            <w:pPr>
              <w:ind w:left="100"/>
              <w:spacing w:after="0"/>
              <w:rPr>
                <w:sz w:val="20"/>
                <w:szCs w:val="20"/>
                <w:color w:val="auto"/>
              </w:rPr>
            </w:pPr>
            <w:r>
              <w:rPr>
                <w:rFonts w:ascii="Arial" w:cs="Arial" w:eastAsia="Arial" w:hAnsi="Arial"/>
                <w:sz w:val="14"/>
                <w:szCs w:val="14"/>
                <w:color w:val="auto"/>
              </w:rPr>
              <w:t>Bakery Supplies Distributor</w:t>
            </w:r>
          </w:p>
        </w:tc>
        <w:tc>
          <w:tcPr>
            <w:tcW w:w="2500" w:type="dxa"/>
            <w:vAlign w:val="bottom"/>
          </w:tcPr>
          <w:p>
            <w:pPr>
              <w:ind w:left="120"/>
              <w:spacing w:after="0"/>
              <w:rPr>
                <w:sz w:val="20"/>
                <w:szCs w:val="20"/>
                <w:color w:val="auto"/>
              </w:rPr>
            </w:pPr>
            <w:r>
              <w:rPr>
                <w:rFonts w:ascii="Arial" w:cs="Arial" w:eastAsia="Arial" w:hAnsi="Arial"/>
                <w:sz w:val="14"/>
                <w:szCs w:val="14"/>
                <w:color w:val="auto"/>
              </w:rPr>
              <w:t>Cash, 1% Floor, Due 8/7/22)</w:t>
            </w:r>
          </w:p>
        </w:tc>
        <w:tc>
          <w:tcPr>
            <w:tcW w:w="700" w:type="dxa"/>
            <w:vAlign w:val="bottom"/>
          </w:tcPr>
          <w:p>
            <w:pPr>
              <w:jc w:val="right"/>
              <w:spacing w:after="0"/>
              <w:rPr>
                <w:sz w:val="20"/>
                <w:szCs w:val="20"/>
                <w:color w:val="auto"/>
              </w:rPr>
            </w:pPr>
            <w:r>
              <w:rPr>
                <w:rFonts w:ascii="Arial" w:cs="Arial" w:eastAsia="Arial" w:hAnsi="Arial"/>
                <w:sz w:val="14"/>
                <w:szCs w:val="14"/>
                <w:color w:val="auto"/>
              </w:rPr>
              <w:t>17,000</w:t>
            </w:r>
          </w:p>
        </w:tc>
      </w:tr>
      <w:tr>
        <w:trPr>
          <w:trHeight w:val="615"/>
        </w:trPr>
        <w:tc>
          <w:tcPr>
            <w:tcW w:w="25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500" w:type="dxa"/>
            <w:vAlign w:val="bottom"/>
          </w:tcPr>
          <w:p>
            <w:pPr>
              <w:ind w:left="120"/>
              <w:spacing w:after="0"/>
              <w:rPr>
                <w:sz w:val="20"/>
                <w:szCs w:val="20"/>
                <w:color w:val="auto"/>
              </w:rPr>
            </w:pPr>
            <w:r>
              <w:rPr>
                <w:rFonts w:ascii="Arial" w:cs="Arial" w:eastAsia="Arial" w:hAnsi="Arial"/>
                <w:sz w:val="14"/>
                <w:szCs w:val="14"/>
                <w:color w:val="auto"/>
              </w:rPr>
              <w:t>Subordinated Debt (L+ 12%, Due</w:t>
            </w:r>
          </w:p>
        </w:tc>
        <w:tc>
          <w:tcPr>
            <w:tcW w:w="700" w:type="dxa"/>
            <w:vAlign w:val="bottom"/>
          </w:tcPr>
          <w:p>
            <w:pPr>
              <w:spacing w:after="0"/>
              <w:rPr>
                <w:sz w:val="24"/>
                <w:szCs w:val="24"/>
                <w:color w:val="auto"/>
              </w:rPr>
            </w:pPr>
          </w:p>
        </w:tc>
      </w:tr>
      <w:tr>
        <w:trPr>
          <w:trHeight w:val="182"/>
        </w:trPr>
        <w:tc>
          <w:tcPr>
            <w:tcW w:w="2540" w:type="dxa"/>
            <w:vAlign w:val="bottom"/>
          </w:tcPr>
          <w:p>
            <w:pPr>
              <w:spacing w:after="0"/>
              <w:rPr>
                <w:sz w:val="20"/>
                <w:szCs w:val="20"/>
                <w:color w:val="auto"/>
              </w:rPr>
            </w:pPr>
            <w:r>
              <w:rPr>
                <w:rFonts w:ascii="Arial" w:cs="Arial" w:eastAsia="Arial" w:hAnsi="Arial"/>
                <w:sz w:val="14"/>
                <w:szCs w:val="14"/>
                <w:color w:val="auto"/>
              </w:rPr>
              <w:t>DSW Homes, LLC</w:t>
            </w:r>
          </w:p>
        </w:tc>
        <w:tc>
          <w:tcPr>
            <w:tcW w:w="2160" w:type="dxa"/>
            <w:vAlign w:val="bottom"/>
          </w:tcPr>
          <w:p>
            <w:pPr>
              <w:ind w:left="100"/>
              <w:spacing w:after="0"/>
              <w:rPr>
                <w:sz w:val="20"/>
                <w:szCs w:val="20"/>
                <w:color w:val="auto"/>
              </w:rPr>
            </w:pPr>
            <w:r>
              <w:rPr>
                <w:rFonts w:ascii="Arial" w:cs="Arial" w:eastAsia="Arial" w:hAnsi="Arial"/>
                <w:sz w:val="14"/>
                <w:szCs w:val="14"/>
                <w:color w:val="auto"/>
              </w:rPr>
              <w:t>Disaster Recovery Homebuilding</w:t>
            </w:r>
          </w:p>
        </w:tc>
        <w:tc>
          <w:tcPr>
            <w:tcW w:w="2500" w:type="dxa"/>
            <w:vAlign w:val="bottom"/>
          </w:tcPr>
          <w:p>
            <w:pPr>
              <w:ind w:left="120"/>
              <w:spacing w:after="0"/>
              <w:rPr>
                <w:sz w:val="20"/>
                <w:szCs w:val="20"/>
                <w:color w:val="auto"/>
              </w:rPr>
            </w:pPr>
            <w:r>
              <w:rPr>
                <w:rFonts w:ascii="Arial" w:cs="Arial" w:eastAsia="Arial" w:hAnsi="Arial"/>
                <w:sz w:val="14"/>
                <w:szCs w:val="14"/>
                <w:color w:val="auto"/>
              </w:rPr>
              <w:t>9/24/18)</w:t>
            </w:r>
          </w:p>
        </w:tc>
        <w:tc>
          <w:tcPr>
            <w:tcW w:w="700" w:type="dxa"/>
            <w:vAlign w:val="bottom"/>
          </w:tcPr>
          <w:p>
            <w:pPr>
              <w:jc w:val="right"/>
              <w:spacing w:after="0"/>
              <w:rPr>
                <w:sz w:val="20"/>
                <w:szCs w:val="20"/>
                <w:color w:val="auto"/>
              </w:rPr>
            </w:pPr>
            <w:r>
              <w:rPr>
                <w:rFonts w:ascii="Arial" w:cs="Arial" w:eastAsia="Arial" w:hAnsi="Arial"/>
                <w:sz w:val="14"/>
                <w:szCs w:val="14"/>
                <w:color w:val="auto"/>
              </w:rPr>
              <w:t>2,000</w:t>
            </w:r>
          </w:p>
        </w:tc>
      </w:tr>
      <w:tr>
        <w:trPr>
          <w:trHeight w:val="615"/>
        </w:trPr>
        <w:tc>
          <w:tcPr>
            <w:tcW w:w="25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500" w:type="dxa"/>
            <w:vAlign w:val="bottom"/>
          </w:tcPr>
          <w:p>
            <w:pPr>
              <w:ind w:left="120"/>
              <w:spacing w:after="0"/>
              <w:rPr>
                <w:sz w:val="20"/>
                <w:szCs w:val="20"/>
                <w:color w:val="auto"/>
              </w:rPr>
            </w:pPr>
            <w:r>
              <w:rPr>
                <w:rFonts w:ascii="Arial" w:cs="Arial" w:eastAsia="Arial" w:hAnsi="Arial"/>
                <w:sz w:val="14"/>
                <w:szCs w:val="14"/>
                <w:color w:val="auto"/>
              </w:rPr>
              <w:t>Subordinated Debt (L+9.625%</w:t>
            </w:r>
          </w:p>
        </w:tc>
        <w:tc>
          <w:tcPr>
            <w:tcW w:w="700" w:type="dxa"/>
            <w:vAlign w:val="bottom"/>
          </w:tcPr>
          <w:p>
            <w:pPr>
              <w:spacing w:after="0"/>
              <w:rPr>
                <w:sz w:val="24"/>
                <w:szCs w:val="24"/>
                <w:color w:val="auto"/>
              </w:rPr>
            </w:pPr>
          </w:p>
        </w:tc>
      </w:tr>
      <w:tr>
        <w:trPr>
          <w:trHeight w:val="182"/>
        </w:trPr>
        <w:tc>
          <w:tcPr>
            <w:tcW w:w="2540" w:type="dxa"/>
            <w:vAlign w:val="bottom"/>
          </w:tcPr>
          <w:p>
            <w:pPr>
              <w:spacing w:after="0"/>
              <w:rPr>
                <w:sz w:val="20"/>
                <w:szCs w:val="20"/>
                <w:color w:val="auto"/>
              </w:rPr>
            </w:pPr>
            <w:r>
              <w:rPr>
                <w:rFonts w:ascii="Arial" w:cs="Arial" w:eastAsia="Arial" w:hAnsi="Arial"/>
                <w:sz w:val="14"/>
                <w:szCs w:val="14"/>
                <w:color w:val="auto"/>
                <w:w w:val="98"/>
              </w:rPr>
              <w:t>Emerging Markets Communications, LLC</w:t>
            </w:r>
          </w:p>
        </w:tc>
        <w:tc>
          <w:tcPr>
            <w:tcW w:w="2160" w:type="dxa"/>
            <w:vAlign w:val="bottom"/>
          </w:tcPr>
          <w:p>
            <w:pPr>
              <w:ind w:left="100"/>
              <w:spacing w:after="0"/>
              <w:rPr>
                <w:sz w:val="20"/>
                <w:szCs w:val="20"/>
                <w:color w:val="auto"/>
              </w:rPr>
            </w:pPr>
            <w:r>
              <w:rPr>
                <w:rFonts w:ascii="Arial" w:cs="Arial" w:eastAsia="Arial" w:hAnsi="Arial"/>
                <w:sz w:val="14"/>
                <w:szCs w:val="14"/>
                <w:color w:val="auto"/>
              </w:rPr>
              <w:t>Satellite Communications</w:t>
            </w:r>
          </w:p>
        </w:tc>
        <w:tc>
          <w:tcPr>
            <w:tcW w:w="2500" w:type="dxa"/>
            <w:vAlign w:val="bottom"/>
          </w:tcPr>
          <w:p>
            <w:pPr>
              <w:ind w:left="120"/>
              <w:spacing w:after="0"/>
              <w:rPr>
                <w:sz w:val="20"/>
                <w:szCs w:val="20"/>
                <w:color w:val="auto"/>
              </w:rPr>
            </w:pPr>
            <w:r>
              <w:rPr>
                <w:rFonts w:ascii="Arial" w:cs="Arial" w:eastAsia="Arial" w:hAnsi="Arial"/>
                <w:sz w:val="14"/>
                <w:szCs w:val="14"/>
                <w:color w:val="auto"/>
              </w:rPr>
              <w:t>Cash, 1% Floor, Due 7/16/23)</w:t>
            </w:r>
          </w:p>
        </w:tc>
        <w:tc>
          <w:tcPr>
            <w:tcW w:w="700" w:type="dxa"/>
            <w:vAlign w:val="bottom"/>
          </w:tcPr>
          <w:p>
            <w:pPr>
              <w:jc w:val="right"/>
              <w:spacing w:after="0"/>
              <w:rPr>
                <w:sz w:val="20"/>
                <w:szCs w:val="20"/>
                <w:color w:val="auto"/>
              </w:rPr>
            </w:pPr>
            <w:r>
              <w:rPr>
                <w:rFonts w:ascii="Arial" w:cs="Arial" w:eastAsia="Arial" w:hAnsi="Arial"/>
                <w:sz w:val="14"/>
                <w:szCs w:val="14"/>
                <w:color w:val="auto"/>
              </w:rPr>
              <w:t>5,000</w:t>
            </w:r>
          </w:p>
        </w:tc>
      </w:tr>
      <w:tr>
        <w:trPr>
          <w:trHeight w:val="615"/>
        </w:trPr>
        <w:tc>
          <w:tcPr>
            <w:tcW w:w="25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500" w:type="dxa"/>
            <w:vAlign w:val="bottom"/>
          </w:tcPr>
          <w:p>
            <w:pPr>
              <w:ind w:left="120"/>
              <w:spacing w:after="0"/>
              <w:rPr>
                <w:sz w:val="20"/>
                <w:szCs w:val="20"/>
                <w:color w:val="auto"/>
              </w:rPr>
            </w:pPr>
            <w:r>
              <w:rPr>
                <w:rFonts w:ascii="Arial" w:cs="Arial" w:eastAsia="Arial" w:hAnsi="Arial"/>
                <w:sz w:val="14"/>
                <w:szCs w:val="14"/>
                <w:color w:val="auto"/>
              </w:rPr>
              <w:t>Senior Secured Term Debt</w:t>
            </w:r>
          </w:p>
        </w:tc>
        <w:tc>
          <w:tcPr>
            <w:tcW w:w="700" w:type="dxa"/>
            <w:vAlign w:val="bottom"/>
          </w:tcPr>
          <w:p>
            <w:pPr>
              <w:spacing w:after="0"/>
              <w:rPr>
                <w:sz w:val="24"/>
                <w:szCs w:val="24"/>
                <w:color w:val="auto"/>
              </w:rPr>
            </w:pPr>
          </w:p>
        </w:tc>
      </w:tr>
      <w:tr>
        <w:trPr>
          <w:trHeight w:val="149"/>
        </w:trPr>
        <w:tc>
          <w:tcPr>
            <w:tcW w:w="25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500" w:type="dxa"/>
            <w:vAlign w:val="bottom"/>
          </w:tcPr>
          <w:p>
            <w:pPr>
              <w:ind w:left="120"/>
              <w:spacing w:after="0" w:line="149" w:lineRule="exact"/>
              <w:rPr>
                <w:sz w:val="20"/>
                <w:szCs w:val="20"/>
                <w:color w:val="auto"/>
              </w:rPr>
            </w:pPr>
            <w:r>
              <w:rPr>
                <w:rFonts w:ascii="Arial" w:cs="Arial" w:eastAsia="Arial" w:hAnsi="Arial"/>
                <w:sz w:val="14"/>
                <w:szCs w:val="14"/>
                <w:color w:val="auto"/>
              </w:rPr>
              <w:t>(L+5.75% Cash, 1% Floor, Due</w:t>
            </w:r>
          </w:p>
        </w:tc>
        <w:tc>
          <w:tcPr>
            <w:tcW w:w="700" w:type="dxa"/>
            <w:vAlign w:val="bottom"/>
          </w:tcPr>
          <w:p>
            <w:pPr>
              <w:spacing w:after="0"/>
              <w:rPr>
                <w:sz w:val="12"/>
                <w:szCs w:val="12"/>
                <w:color w:val="auto"/>
              </w:rPr>
            </w:pPr>
          </w:p>
        </w:tc>
      </w:tr>
      <w:tr>
        <w:trPr>
          <w:trHeight w:val="182"/>
        </w:trPr>
        <w:tc>
          <w:tcPr>
            <w:tcW w:w="2540" w:type="dxa"/>
            <w:vAlign w:val="bottom"/>
          </w:tcPr>
          <w:p>
            <w:pPr>
              <w:spacing w:after="0"/>
              <w:rPr>
                <w:sz w:val="20"/>
                <w:szCs w:val="20"/>
                <w:color w:val="auto"/>
              </w:rPr>
            </w:pPr>
            <w:r>
              <w:rPr>
                <w:rFonts w:ascii="Arial" w:cs="Arial" w:eastAsia="Arial" w:hAnsi="Arial"/>
                <w:sz w:val="14"/>
                <w:szCs w:val="14"/>
                <w:color w:val="auto"/>
              </w:rPr>
              <w:t>Flavors Holdings, Inc.</w:t>
            </w:r>
          </w:p>
        </w:tc>
        <w:tc>
          <w:tcPr>
            <w:tcW w:w="2160" w:type="dxa"/>
            <w:vAlign w:val="bottom"/>
          </w:tcPr>
          <w:p>
            <w:pPr>
              <w:ind w:left="100"/>
              <w:spacing w:after="0"/>
              <w:rPr>
                <w:sz w:val="20"/>
                <w:szCs w:val="20"/>
                <w:color w:val="auto"/>
              </w:rPr>
            </w:pPr>
            <w:r>
              <w:rPr>
                <w:rFonts w:ascii="Arial" w:cs="Arial" w:eastAsia="Arial" w:hAnsi="Arial"/>
                <w:sz w:val="14"/>
                <w:szCs w:val="14"/>
                <w:color w:val="auto"/>
              </w:rPr>
              <w:t>Food Product Manufacturer</w:t>
            </w:r>
          </w:p>
        </w:tc>
        <w:tc>
          <w:tcPr>
            <w:tcW w:w="2500" w:type="dxa"/>
            <w:vAlign w:val="bottom"/>
          </w:tcPr>
          <w:p>
            <w:pPr>
              <w:ind w:left="120"/>
              <w:spacing w:after="0"/>
              <w:rPr>
                <w:sz w:val="20"/>
                <w:szCs w:val="20"/>
                <w:color w:val="auto"/>
              </w:rPr>
            </w:pPr>
            <w:r>
              <w:rPr>
                <w:rFonts w:ascii="Arial" w:cs="Arial" w:eastAsia="Arial" w:hAnsi="Arial"/>
                <w:sz w:val="14"/>
                <w:szCs w:val="14"/>
                <w:color w:val="auto"/>
              </w:rPr>
              <w:t>4/3/20)</w:t>
            </w:r>
          </w:p>
        </w:tc>
        <w:tc>
          <w:tcPr>
            <w:tcW w:w="700" w:type="dxa"/>
            <w:vAlign w:val="bottom"/>
          </w:tcPr>
          <w:p>
            <w:pPr>
              <w:jc w:val="right"/>
              <w:spacing w:after="0"/>
              <w:rPr>
                <w:sz w:val="20"/>
                <w:szCs w:val="20"/>
                <w:color w:val="auto"/>
              </w:rPr>
            </w:pPr>
            <w:r>
              <w:rPr>
                <w:rFonts w:ascii="Arial" w:cs="Arial" w:eastAsia="Arial" w:hAnsi="Arial"/>
                <w:sz w:val="14"/>
                <w:szCs w:val="14"/>
                <w:color w:val="auto"/>
              </w:rPr>
              <w:t>7,600</w:t>
            </w:r>
          </w:p>
        </w:tc>
      </w:tr>
      <w:tr>
        <w:trPr>
          <w:trHeight w:val="263"/>
        </w:trPr>
        <w:tc>
          <w:tcPr>
            <w:tcW w:w="254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2500" w:type="dxa"/>
            <w:vAlign w:val="bottom"/>
          </w:tcPr>
          <w:p>
            <w:pPr>
              <w:ind w:left="120"/>
              <w:spacing w:after="0"/>
              <w:rPr>
                <w:sz w:val="20"/>
                <w:szCs w:val="20"/>
                <w:color w:val="auto"/>
              </w:rPr>
            </w:pPr>
            <w:r>
              <w:rPr>
                <w:rFonts w:ascii="Arial" w:cs="Arial" w:eastAsia="Arial" w:hAnsi="Arial"/>
                <w:sz w:val="14"/>
                <w:szCs w:val="14"/>
                <w:color w:val="auto"/>
              </w:rPr>
              <w:t>Subordinated Debt (L+10% Cash,</w:t>
            </w:r>
          </w:p>
        </w:tc>
        <w:tc>
          <w:tcPr>
            <w:tcW w:w="700" w:type="dxa"/>
            <w:vAlign w:val="bottom"/>
          </w:tcPr>
          <w:p>
            <w:pPr>
              <w:spacing w:after="0"/>
              <w:rPr>
                <w:sz w:val="22"/>
                <w:szCs w:val="22"/>
                <w:color w:val="auto"/>
              </w:rPr>
            </w:pPr>
          </w:p>
        </w:tc>
      </w:tr>
      <w:tr>
        <w:trPr>
          <w:trHeight w:val="182"/>
        </w:trPr>
        <w:tc>
          <w:tcPr>
            <w:tcW w:w="2540" w:type="dxa"/>
            <w:vAlign w:val="bottom"/>
          </w:tcPr>
          <w:p>
            <w:pPr>
              <w:spacing w:after="0"/>
              <w:rPr>
                <w:sz w:val="20"/>
                <w:szCs w:val="20"/>
                <w:color w:val="auto"/>
              </w:rPr>
            </w:pPr>
            <w:r>
              <w:rPr>
                <w:rFonts w:ascii="Arial" w:cs="Arial" w:eastAsia="Arial" w:hAnsi="Arial"/>
                <w:sz w:val="14"/>
                <w:szCs w:val="14"/>
                <w:color w:val="auto"/>
              </w:rPr>
              <w:t>Flavors Holdings, Inc.</w:t>
            </w:r>
          </w:p>
        </w:tc>
        <w:tc>
          <w:tcPr>
            <w:tcW w:w="2160" w:type="dxa"/>
            <w:vAlign w:val="bottom"/>
          </w:tcPr>
          <w:p>
            <w:pPr>
              <w:ind w:left="100"/>
              <w:spacing w:after="0"/>
              <w:rPr>
                <w:sz w:val="20"/>
                <w:szCs w:val="20"/>
                <w:color w:val="auto"/>
              </w:rPr>
            </w:pPr>
            <w:r>
              <w:rPr>
                <w:rFonts w:ascii="Arial" w:cs="Arial" w:eastAsia="Arial" w:hAnsi="Arial"/>
                <w:sz w:val="14"/>
                <w:szCs w:val="14"/>
                <w:color w:val="auto"/>
              </w:rPr>
              <w:t>Food Product Manufacturer</w:t>
            </w:r>
          </w:p>
        </w:tc>
        <w:tc>
          <w:tcPr>
            <w:tcW w:w="2500" w:type="dxa"/>
            <w:vAlign w:val="bottom"/>
          </w:tcPr>
          <w:p>
            <w:pPr>
              <w:ind w:left="120"/>
              <w:spacing w:after="0"/>
              <w:rPr>
                <w:sz w:val="20"/>
                <w:szCs w:val="20"/>
                <w:color w:val="auto"/>
              </w:rPr>
            </w:pPr>
            <w:r>
              <w:rPr>
                <w:rFonts w:ascii="Arial" w:cs="Arial" w:eastAsia="Arial" w:hAnsi="Arial"/>
                <w:sz w:val="14"/>
                <w:szCs w:val="14"/>
                <w:color w:val="auto"/>
              </w:rPr>
              <w:t>1% Floor, Due 10/3/21)</w:t>
            </w:r>
          </w:p>
        </w:tc>
        <w:tc>
          <w:tcPr>
            <w:tcW w:w="700" w:type="dxa"/>
            <w:vAlign w:val="bottom"/>
          </w:tcPr>
          <w:p>
            <w:pPr>
              <w:jc w:val="right"/>
              <w:spacing w:after="0"/>
              <w:rPr>
                <w:sz w:val="20"/>
                <w:szCs w:val="20"/>
                <w:color w:val="auto"/>
              </w:rPr>
            </w:pPr>
            <w:r>
              <w:rPr>
                <w:rFonts w:ascii="Arial" w:cs="Arial" w:eastAsia="Arial" w:hAnsi="Arial"/>
                <w:sz w:val="14"/>
                <w:szCs w:val="14"/>
                <w:color w:val="auto"/>
              </w:rPr>
              <w:t>12,000</w:t>
            </w:r>
          </w:p>
        </w:tc>
      </w:tr>
      <w:tr>
        <w:trPr>
          <w:trHeight w:val="624"/>
        </w:trPr>
        <w:tc>
          <w:tcPr>
            <w:tcW w:w="25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500" w:type="dxa"/>
            <w:vAlign w:val="bottom"/>
          </w:tcPr>
          <w:p>
            <w:pPr>
              <w:ind w:left="120"/>
              <w:spacing w:after="0"/>
              <w:rPr>
                <w:sz w:val="20"/>
                <w:szCs w:val="20"/>
                <w:color w:val="auto"/>
              </w:rPr>
            </w:pPr>
            <w:r>
              <w:rPr>
                <w:rFonts w:ascii="Arial" w:cs="Arial" w:eastAsia="Arial" w:hAnsi="Arial"/>
                <w:sz w:val="14"/>
                <w:szCs w:val="14"/>
                <w:color w:val="auto"/>
              </w:rPr>
              <w:t>Subordinated Debt (L+8.25%</w:t>
            </w:r>
          </w:p>
        </w:tc>
        <w:tc>
          <w:tcPr>
            <w:tcW w:w="700" w:type="dxa"/>
            <w:vAlign w:val="bottom"/>
          </w:tcPr>
          <w:p>
            <w:pPr>
              <w:spacing w:after="0"/>
              <w:rPr>
                <w:sz w:val="24"/>
                <w:szCs w:val="24"/>
                <w:color w:val="auto"/>
              </w:rPr>
            </w:pPr>
          </w:p>
        </w:tc>
      </w:tr>
      <w:tr>
        <w:trPr>
          <w:trHeight w:val="313"/>
        </w:trPr>
        <w:tc>
          <w:tcPr>
            <w:tcW w:w="2540" w:type="dxa"/>
            <w:vAlign w:val="bottom"/>
          </w:tcPr>
          <w:p>
            <w:pPr>
              <w:spacing w:after="0"/>
              <w:rPr>
                <w:sz w:val="20"/>
                <w:szCs w:val="20"/>
                <w:color w:val="auto"/>
              </w:rPr>
            </w:pPr>
            <w:r>
              <w:rPr>
                <w:rFonts w:ascii="Arial" w:cs="Arial" w:eastAsia="Arial" w:hAnsi="Arial"/>
                <w:sz w:val="14"/>
                <w:szCs w:val="14"/>
                <w:color w:val="auto"/>
              </w:rPr>
              <w:t>Group Cirque du Soleil, Inc.</w:t>
            </w:r>
          </w:p>
        </w:tc>
        <w:tc>
          <w:tcPr>
            <w:tcW w:w="2160" w:type="dxa"/>
            <w:vAlign w:val="bottom"/>
          </w:tcPr>
          <w:p>
            <w:pPr>
              <w:ind w:left="100"/>
              <w:spacing w:after="0"/>
              <w:rPr>
                <w:sz w:val="20"/>
                <w:szCs w:val="20"/>
                <w:color w:val="auto"/>
              </w:rPr>
            </w:pPr>
            <w:r>
              <w:rPr>
                <w:rFonts w:ascii="Arial" w:cs="Arial" w:eastAsia="Arial" w:hAnsi="Arial"/>
                <w:sz w:val="14"/>
                <w:szCs w:val="14"/>
                <w:color w:val="auto"/>
              </w:rPr>
              <w:t>Entertainment</w:t>
            </w:r>
          </w:p>
        </w:tc>
        <w:tc>
          <w:tcPr>
            <w:tcW w:w="2500" w:type="dxa"/>
            <w:vAlign w:val="bottom"/>
          </w:tcPr>
          <w:p>
            <w:pPr>
              <w:ind w:left="120"/>
              <w:spacing w:after="0"/>
              <w:rPr>
                <w:sz w:val="20"/>
                <w:szCs w:val="20"/>
                <w:color w:val="auto"/>
              </w:rPr>
            </w:pPr>
            <w:r>
              <w:rPr>
                <w:rFonts w:ascii="Arial" w:cs="Arial" w:eastAsia="Arial" w:hAnsi="Arial"/>
                <w:sz w:val="14"/>
                <w:szCs w:val="14"/>
                <w:color w:val="auto"/>
              </w:rPr>
              <w:t xml:space="preserve">Cash, 1% Floor, Due 7/8/23) </w:t>
            </w:r>
            <w:r>
              <w:rPr>
                <w:rFonts w:ascii="Arial" w:cs="Arial" w:eastAsia="Arial" w:hAnsi="Arial"/>
                <w:sz w:val="23"/>
                <w:szCs w:val="23"/>
                <w:color w:val="auto"/>
                <w:vertAlign w:val="superscript"/>
              </w:rPr>
              <w:t>(8)</w:t>
            </w:r>
          </w:p>
        </w:tc>
        <w:tc>
          <w:tcPr>
            <w:tcW w:w="700" w:type="dxa"/>
            <w:vAlign w:val="bottom"/>
          </w:tcPr>
          <w:p>
            <w:pPr>
              <w:jc w:val="right"/>
              <w:spacing w:after="0"/>
              <w:rPr>
                <w:sz w:val="20"/>
                <w:szCs w:val="20"/>
                <w:color w:val="auto"/>
              </w:rPr>
            </w:pPr>
            <w:r>
              <w:rPr>
                <w:rFonts w:ascii="Arial" w:cs="Arial" w:eastAsia="Arial" w:hAnsi="Arial"/>
                <w:sz w:val="14"/>
                <w:szCs w:val="14"/>
                <w:color w:val="auto"/>
              </w:rPr>
              <w:t>1,000</w:t>
            </w:r>
          </w:p>
        </w:tc>
      </w:tr>
      <w:tr>
        <w:trPr>
          <w:trHeight w:val="514"/>
        </w:trPr>
        <w:tc>
          <w:tcPr>
            <w:tcW w:w="25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500" w:type="dxa"/>
            <w:vAlign w:val="bottom"/>
          </w:tcPr>
          <w:p>
            <w:pPr>
              <w:ind w:left="120"/>
              <w:spacing w:after="0"/>
              <w:rPr>
                <w:sz w:val="20"/>
                <w:szCs w:val="20"/>
                <w:color w:val="auto"/>
              </w:rPr>
            </w:pPr>
            <w:r>
              <w:rPr>
                <w:rFonts w:ascii="Arial" w:cs="Arial" w:eastAsia="Arial" w:hAnsi="Arial"/>
                <w:sz w:val="14"/>
                <w:szCs w:val="14"/>
                <w:color w:val="auto"/>
              </w:rPr>
              <w:t>Senior Secured Term Debt (13%</w:t>
            </w:r>
          </w:p>
        </w:tc>
        <w:tc>
          <w:tcPr>
            <w:tcW w:w="700" w:type="dxa"/>
            <w:vAlign w:val="bottom"/>
          </w:tcPr>
          <w:p>
            <w:pPr>
              <w:spacing w:after="0"/>
              <w:rPr>
                <w:sz w:val="24"/>
                <w:szCs w:val="24"/>
                <w:color w:val="auto"/>
              </w:rPr>
            </w:pPr>
          </w:p>
        </w:tc>
      </w:tr>
      <w:tr>
        <w:trPr>
          <w:trHeight w:val="182"/>
        </w:trPr>
        <w:tc>
          <w:tcPr>
            <w:tcW w:w="2540" w:type="dxa"/>
            <w:vAlign w:val="bottom"/>
          </w:tcPr>
          <w:p>
            <w:pPr>
              <w:spacing w:after="0"/>
              <w:rPr>
                <w:sz w:val="20"/>
                <w:szCs w:val="20"/>
                <w:color w:val="auto"/>
              </w:rPr>
            </w:pPr>
            <w:r>
              <w:rPr>
                <w:rFonts w:ascii="Arial" w:cs="Arial" w:eastAsia="Arial" w:hAnsi="Arial"/>
                <w:sz w:val="14"/>
                <w:szCs w:val="14"/>
                <w:color w:val="auto"/>
                <w:w w:val="99"/>
              </w:rPr>
              <w:t>Immersive Media Tactical Solutions, LLC</w:t>
            </w:r>
          </w:p>
        </w:tc>
        <w:tc>
          <w:tcPr>
            <w:tcW w:w="2160" w:type="dxa"/>
            <w:vAlign w:val="bottom"/>
          </w:tcPr>
          <w:p>
            <w:pPr>
              <w:ind w:left="100"/>
              <w:spacing w:after="0"/>
              <w:rPr>
                <w:sz w:val="20"/>
                <w:szCs w:val="20"/>
                <w:color w:val="auto"/>
              </w:rPr>
            </w:pPr>
            <w:r>
              <w:rPr>
                <w:rFonts w:ascii="Arial" w:cs="Arial" w:eastAsia="Arial" w:hAnsi="Arial"/>
                <w:sz w:val="14"/>
                <w:szCs w:val="14"/>
                <w:color w:val="auto"/>
              </w:rPr>
              <w:t>Specialty Defense Contractor</w:t>
            </w:r>
          </w:p>
        </w:tc>
        <w:tc>
          <w:tcPr>
            <w:tcW w:w="2500" w:type="dxa"/>
            <w:vAlign w:val="bottom"/>
          </w:tcPr>
          <w:p>
            <w:pPr>
              <w:ind w:left="120"/>
              <w:spacing w:after="0"/>
              <w:rPr>
                <w:sz w:val="20"/>
                <w:szCs w:val="20"/>
                <w:color w:val="auto"/>
              </w:rPr>
            </w:pPr>
            <w:r>
              <w:rPr>
                <w:rFonts w:ascii="Arial" w:cs="Arial" w:eastAsia="Arial" w:hAnsi="Arial"/>
                <w:sz w:val="14"/>
                <w:szCs w:val="14"/>
                <w:color w:val="auto"/>
              </w:rPr>
              <w:t>Cash, Due 10/6/16)</w:t>
            </w:r>
          </w:p>
        </w:tc>
        <w:tc>
          <w:tcPr>
            <w:tcW w:w="700" w:type="dxa"/>
            <w:vAlign w:val="bottom"/>
          </w:tcPr>
          <w:p>
            <w:pPr>
              <w:jc w:val="right"/>
              <w:spacing w:after="0"/>
              <w:rPr>
                <w:sz w:val="20"/>
                <w:szCs w:val="20"/>
                <w:color w:val="auto"/>
              </w:rPr>
            </w:pPr>
            <w:r>
              <w:rPr>
                <w:rFonts w:ascii="Arial" w:cs="Arial" w:eastAsia="Arial" w:hAnsi="Arial"/>
                <w:sz w:val="14"/>
                <w:szCs w:val="14"/>
                <w:color w:val="auto"/>
              </w:rPr>
              <w:t>2,000</w:t>
            </w:r>
          </w:p>
        </w:tc>
      </w:tr>
      <w:tr>
        <w:trPr>
          <w:trHeight w:val="263"/>
        </w:trPr>
        <w:tc>
          <w:tcPr>
            <w:tcW w:w="254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2500" w:type="dxa"/>
            <w:vAlign w:val="bottom"/>
          </w:tcPr>
          <w:p>
            <w:pPr>
              <w:ind w:left="120"/>
              <w:spacing w:after="0"/>
              <w:rPr>
                <w:sz w:val="20"/>
                <w:szCs w:val="20"/>
                <w:color w:val="auto"/>
              </w:rPr>
            </w:pPr>
            <w:r>
              <w:rPr>
                <w:rFonts w:ascii="Arial" w:cs="Arial" w:eastAsia="Arial" w:hAnsi="Arial"/>
                <w:sz w:val="14"/>
                <w:szCs w:val="14"/>
                <w:color w:val="auto"/>
              </w:rPr>
              <w:t>Common Unit Warrants (12% fully</w:t>
            </w:r>
          </w:p>
        </w:tc>
        <w:tc>
          <w:tcPr>
            <w:tcW w:w="700" w:type="dxa"/>
            <w:vAlign w:val="bottom"/>
          </w:tcPr>
          <w:p>
            <w:pPr>
              <w:spacing w:after="0"/>
              <w:rPr>
                <w:sz w:val="22"/>
                <w:szCs w:val="22"/>
                <w:color w:val="auto"/>
              </w:rPr>
            </w:pPr>
          </w:p>
        </w:tc>
      </w:tr>
      <w:tr>
        <w:trPr>
          <w:trHeight w:val="182"/>
        </w:trPr>
        <w:tc>
          <w:tcPr>
            <w:tcW w:w="2540" w:type="dxa"/>
            <w:vAlign w:val="bottom"/>
          </w:tcPr>
          <w:p>
            <w:pPr>
              <w:spacing w:after="0"/>
              <w:rPr>
                <w:sz w:val="20"/>
                <w:szCs w:val="20"/>
                <w:color w:val="auto"/>
              </w:rPr>
            </w:pPr>
            <w:r>
              <w:rPr>
                <w:rFonts w:ascii="Arial" w:cs="Arial" w:eastAsia="Arial" w:hAnsi="Arial"/>
                <w:sz w:val="14"/>
                <w:szCs w:val="14"/>
                <w:color w:val="auto"/>
                <w:w w:val="99"/>
              </w:rPr>
              <w:t>Immersive Media Tactical Solutions, LLC</w:t>
            </w:r>
          </w:p>
        </w:tc>
        <w:tc>
          <w:tcPr>
            <w:tcW w:w="2160" w:type="dxa"/>
            <w:vAlign w:val="bottom"/>
          </w:tcPr>
          <w:p>
            <w:pPr>
              <w:ind w:left="100"/>
              <w:spacing w:after="0"/>
              <w:rPr>
                <w:sz w:val="20"/>
                <w:szCs w:val="20"/>
                <w:color w:val="auto"/>
              </w:rPr>
            </w:pPr>
            <w:r>
              <w:rPr>
                <w:rFonts w:ascii="Arial" w:cs="Arial" w:eastAsia="Arial" w:hAnsi="Arial"/>
                <w:sz w:val="14"/>
                <w:szCs w:val="14"/>
                <w:color w:val="auto"/>
              </w:rPr>
              <w:t>Specialty Defense Contractor</w:t>
            </w:r>
          </w:p>
        </w:tc>
        <w:tc>
          <w:tcPr>
            <w:tcW w:w="2500" w:type="dxa"/>
            <w:vAlign w:val="bottom"/>
          </w:tcPr>
          <w:p>
            <w:pPr>
              <w:ind w:left="120"/>
              <w:spacing w:after="0"/>
              <w:rPr>
                <w:sz w:val="20"/>
                <w:szCs w:val="20"/>
                <w:color w:val="auto"/>
              </w:rPr>
            </w:pPr>
            <w:r>
              <w:rPr>
                <w:rFonts w:ascii="Arial" w:cs="Arial" w:eastAsia="Arial" w:hAnsi="Arial"/>
                <w:sz w:val="14"/>
                <w:szCs w:val="14"/>
                <w:color w:val="auto"/>
              </w:rPr>
              <w:t>diluted)</w:t>
            </w:r>
          </w:p>
        </w:tc>
        <w:tc>
          <w:tcPr>
            <w:tcW w:w="700" w:type="dxa"/>
            <w:vAlign w:val="bottom"/>
          </w:tcPr>
          <w:p>
            <w:pPr>
              <w:spacing w:after="0"/>
              <w:rPr>
                <w:sz w:val="15"/>
                <w:szCs w:val="15"/>
                <w:color w:val="auto"/>
              </w:rPr>
            </w:pPr>
          </w:p>
        </w:tc>
      </w:tr>
      <w:tr>
        <w:trPr>
          <w:trHeight w:val="615"/>
        </w:trPr>
        <w:tc>
          <w:tcPr>
            <w:tcW w:w="25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500" w:type="dxa"/>
            <w:vAlign w:val="bottom"/>
          </w:tcPr>
          <w:p>
            <w:pPr>
              <w:ind w:left="120"/>
              <w:spacing w:after="0"/>
              <w:rPr>
                <w:sz w:val="20"/>
                <w:szCs w:val="20"/>
                <w:color w:val="auto"/>
              </w:rPr>
            </w:pPr>
            <w:r>
              <w:rPr>
                <w:rFonts w:ascii="Arial" w:cs="Arial" w:eastAsia="Arial" w:hAnsi="Arial"/>
                <w:sz w:val="14"/>
                <w:szCs w:val="14"/>
                <w:color w:val="auto"/>
              </w:rPr>
              <w:t>Senior Secured Debt (14% Cash,</w:t>
            </w:r>
          </w:p>
        </w:tc>
        <w:tc>
          <w:tcPr>
            <w:tcW w:w="700" w:type="dxa"/>
            <w:vAlign w:val="bottom"/>
          </w:tcPr>
          <w:p>
            <w:pPr>
              <w:spacing w:after="0"/>
              <w:rPr>
                <w:sz w:val="24"/>
                <w:szCs w:val="24"/>
                <w:color w:val="auto"/>
              </w:rPr>
            </w:pPr>
          </w:p>
        </w:tc>
      </w:tr>
      <w:tr>
        <w:trPr>
          <w:trHeight w:val="182"/>
        </w:trPr>
        <w:tc>
          <w:tcPr>
            <w:tcW w:w="2540" w:type="dxa"/>
            <w:vAlign w:val="bottom"/>
          </w:tcPr>
          <w:p>
            <w:pPr>
              <w:spacing w:after="0"/>
              <w:rPr>
                <w:sz w:val="20"/>
                <w:szCs w:val="20"/>
                <w:color w:val="auto"/>
              </w:rPr>
            </w:pPr>
            <w:r>
              <w:rPr>
                <w:rFonts w:ascii="Arial" w:cs="Arial" w:eastAsia="Arial" w:hAnsi="Arial"/>
                <w:sz w:val="14"/>
                <w:szCs w:val="14"/>
                <w:color w:val="auto"/>
              </w:rPr>
              <w:t>Kelle's Transport Service, LLC</w:t>
            </w:r>
          </w:p>
        </w:tc>
        <w:tc>
          <w:tcPr>
            <w:tcW w:w="2160" w:type="dxa"/>
            <w:vAlign w:val="bottom"/>
          </w:tcPr>
          <w:p>
            <w:pPr>
              <w:ind w:left="100"/>
              <w:spacing w:after="0"/>
              <w:rPr>
                <w:sz w:val="20"/>
                <w:szCs w:val="20"/>
                <w:color w:val="auto"/>
              </w:rPr>
            </w:pPr>
            <w:r>
              <w:rPr>
                <w:rFonts w:ascii="Arial" w:cs="Arial" w:eastAsia="Arial" w:hAnsi="Arial"/>
                <w:sz w:val="14"/>
                <w:szCs w:val="14"/>
                <w:color w:val="auto"/>
              </w:rPr>
              <w:t>Transportation</w:t>
            </w:r>
          </w:p>
        </w:tc>
        <w:tc>
          <w:tcPr>
            <w:tcW w:w="2500" w:type="dxa"/>
            <w:vAlign w:val="bottom"/>
          </w:tcPr>
          <w:p>
            <w:pPr>
              <w:ind w:left="120"/>
              <w:spacing w:after="0"/>
              <w:rPr>
                <w:sz w:val="20"/>
                <w:szCs w:val="20"/>
                <w:color w:val="auto"/>
              </w:rPr>
            </w:pPr>
            <w:r>
              <w:rPr>
                <w:rFonts w:ascii="Arial" w:cs="Arial" w:eastAsia="Arial" w:hAnsi="Arial"/>
                <w:sz w:val="14"/>
                <w:szCs w:val="14"/>
                <w:color w:val="auto"/>
              </w:rPr>
              <w:t>Due 3/31/19)</w:t>
            </w:r>
          </w:p>
        </w:tc>
        <w:tc>
          <w:tcPr>
            <w:tcW w:w="700" w:type="dxa"/>
            <w:vAlign w:val="bottom"/>
          </w:tcPr>
          <w:p>
            <w:pPr>
              <w:jc w:val="right"/>
              <w:spacing w:after="0"/>
              <w:rPr>
                <w:sz w:val="20"/>
                <w:szCs w:val="20"/>
                <w:color w:val="auto"/>
              </w:rPr>
            </w:pPr>
            <w:r>
              <w:rPr>
                <w:rFonts w:ascii="Arial" w:cs="Arial" w:eastAsia="Arial" w:hAnsi="Arial"/>
                <w:sz w:val="14"/>
                <w:szCs w:val="14"/>
                <w:color w:val="auto"/>
              </w:rPr>
              <w:t>14,562</w:t>
            </w:r>
          </w:p>
        </w:tc>
      </w:tr>
      <w:tr>
        <w:trPr>
          <w:trHeight w:val="273"/>
        </w:trPr>
        <w:tc>
          <w:tcPr>
            <w:tcW w:w="254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2500" w:type="dxa"/>
            <w:vAlign w:val="bottom"/>
          </w:tcPr>
          <w:p>
            <w:pPr>
              <w:ind w:left="120"/>
              <w:spacing w:after="0"/>
              <w:rPr>
                <w:sz w:val="20"/>
                <w:szCs w:val="20"/>
                <w:color w:val="auto"/>
              </w:rPr>
            </w:pPr>
            <w:r>
              <w:rPr>
                <w:rFonts w:ascii="Arial" w:cs="Arial" w:eastAsia="Arial" w:hAnsi="Arial"/>
                <w:sz w:val="14"/>
                <w:szCs w:val="14"/>
                <w:color w:val="auto"/>
              </w:rPr>
              <w:t>Preferred Units (1,000 units, 10%</w:t>
            </w:r>
          </w:p>
        </w:tc>
        <w:tc>
          <w:tcPr>
            <w:tcW w:w="700" w:type="dxa"/>
            <w:vAlign w:val="bottom"/>
          </w:tcPr>
          <w:p>
            <w:pPr>
              <w:spacing w:after="0"/>
              <w:rPr>
                <w:sz w:val="23"/>
                <w:szCs w:val="23"/>
                <w:color w:val="auto"/>
              </w:rPr>
            </w:pPr>
          </w:p>
        </w:tc>
      </w:tr>
      <w:tr>
        <w:trPr>
          <w:trHeight w:val="313"/>
        </w:trPr>
        <w:tc>
          <w:tcPr>
            <w:tcW w:w="2540" w:type="dxa"/>
            <w:vAlign w:val="bottom"/>
          </w:tcPr>
          <w:p>
            <w:pPr>
              <w:spacing w:after="0"/>
              <w:rPr>
                <w:sz w:val="20"/>
                <w:szCs w:val="20"/>
                <w:color w:val="auto"/>
              </w:rPr>
            </w:pPr>
            <w:r>
              <w:rPr>
                <w:rFonts w:ascii="Arial" w:cs="Arial" w:eastAsia="Arial" w:hAnsi="Arial"/>
                <w:sz w:val="14"/>
                <w:szCs w:val="14"/>
                <w:color w:val="auto"/>
              </w:rPr>
              <w:t>Kelle's Transport Service, LLC</w:t>
            </w:r>
          </w:p>
        </w:tc>
        <w:tc>
          <w:tcPr>
            <w:tcW w:w="2160" w:type="dxa"/>
            <w:vAlign w:val="bottom"/>
          </w:tcPr>
          <w:p>
            <w:pPr>
              <w:ind w:left="100"/>
              <w:spacing w:after="0"/>
              <w:rPr>
                <w:sz w:val="20"/>
                <w:szCs w:val="20"/>
                <w:color w:val="auto"/>
              </w:rPr>
            </w:pPr>
            <w:r>
              <w:rPr>
                <w:rFonts w:ascii="Arial" w:cs="Arial" w:eastAsia="Arial" w:hAnsi="Arial"/>
                <w:sz w:val="14"/>
                <w:szCs w:val="14"/>
                <w:color w:val="auto"/>
              </w:rPr>
              <w:t>Transportation</w:t>
            </w:r>
          </w:p>
        </w:tc>
        <w:tc>
          <w:tcPr>
            <w:tcW w:w="2500" w:type="dxa"/>
            <w:vAlign w:val="bottom"/>
          </w:tcPr>
          <w:p>
            <w:pPr>
              <w:ind w:left="120"/>
              <w:spacing w:after="0"/>
              <w:rPr>
                <w:sz w:val="20"/>
                <w:szCs w:val="20"/>
                <w:color w:val="auto"/>
              </w:rPr>
            </w:pPr>
            <w:r>
              <w:rPr>
                <w:rFonts w:ascii="Arial" w:cs="Arial" w:eastAsia="Arial" w:hAnsi="Arial"/>
                <w:sz w:val="14"/>
                <w:szCs w:val="14"/>
                <w:color w:val="auto"/>
              </w:rPr>
              <w:t xml:space="preserve">PIK Dividend) </w:t>
            </w:r>
            <w:r>
              <w:rPr>
                <w:rFonts w:ascii="Arial" w:cs="Arial" w:eastAsia="Arial" w:hAnsi="Arial"/>
                <w:sz w:val="23"/>
                <w:szCs w:val="23"/>
                <w:color w:val="auto"/>
                <w:vertAlign w:val="superscript"/>
              </w:rPr>
              <w:t>(6)</w:t>
            </w:r>
          </w:p>
        </w:tc>
        <w:tc>
          <w:tcPr>
            <w:tcW w:w="700" w:type="dxa"/>
            <w:vAlign w:val="bottom"/>
          </w:tcPr>
          <w:p>
            <w:pPr>
              <w:spacing w:after="0"/>
              <w:rPr>
                <w:sz w:val="24"/>
                <w:szCs w:val="24"/>
                <w:color w:val="auto"/>
              </w:rPr>
            </w:pPr>
          </w:p>
        </w:tc>
      </w:tr>
      <w:tr>
        <w:trPr>
          <w:trHeight w:val="163"/>
        </w:trPr>
        <w:tc>
          <w:tcPr>
            <w:tcW w:w="25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500" w:type="dxa"/>
            <w:vAlign w:val="bottom"/>
          </w:tcPr>
          <w:p>
            <w:pPr>
              <w:ind w:left="120"/>
              <w:spacing w:after="0"/>
              <w:rPr>
                <w:sz w:val="20"/>
                <w:szCs w:val="20"/>
                <w:color w:val="auto"/>
              </w:rPr>
            </w:pPr>
            <w:r>
              <w:rPr>
                <w:rFonts w:ascii="Arial" w:cs="Arial" w:eastAsia="Arial" w:hAnsi="Arial"/>
                <w:sz w:val="14"/>
                <w:szCs w:val="14"/>
                <w:color w:val="auto"/>
              </w:rPr>
              <w:t>Common Stock Warrants (15%</w:t>
            </w:r>
          </w:p>
        </w:tc>
        <w:tc>
          <w:tcPr>
            <w:tcW w:w="700" w:type="dxa"/>
            <w:vAlign w:val="bottom"/>
          </w:tcPr>
          <w:p>
            <w:pPr>
              <w:spacing w:after="0"/>
              <w:rPr>
                <w:sz w:val="14"/>
                <w:szCs w:val="14"/>
                <w:color w:val="auto"/>
              </w:rPr>
            </w:pPr>
          </w:p>
        </w:tc>
      </w:tr>
      <w:tr>
        <w:trPr>
          <w:trHeight w:val="182"/>
        </w:trPr>
        <w:tc>
          <w:tcPr>
            <w:tcW w:w="2540" w:type="dxa"/>
            <w:vAlign w:val="bottom"/>
          </w:tcPr>
          <w:p>
            <w:pPr>
              <w:spacing w:after="0"/>
              <w:rPr>
                <w:sz w:val="20"/>
                <w:szCs w:val="20"/>
                <w:color w:val="auto"/>
              </w:rPr>
            </w:pPr>
            <w:r>
              <w:rPr>
                <w:rFonts w:ascii="Arial" w:cs="Arial" w:eastAsia="Arial" w:hAnsi="Arial"/>
                <w:sz w:val="14"/>
                <w:szCs w:val="14"/>
                <w:color w:val="auto"/>
              </w:rPr>
              <w:t>Kelle's Transport Service, LLC</w:t>
            </w:r>
          </w:p>
        </w:tc>
        <w:tc>
          <w:tcPr>
            <w:tcW w:w="2160" w:type="dxa"/>
            <w:vAlign w:val="bottom"/>
          </w:tcPr>
          <w:p>
            <w:pPr>
              <w:ind w:left="100"/>
              <w:spacing w:after="0"/>
              <w:rPr>
                <w:sz w:val="20"/>
                <w:szCs w:val="20"/>
                <w:color w:val="auto"/>
              </w:rPr>
            </w:pPr>
            <w:r>
              <w:rPr>
                <w:rFonts w:ascii="Arial" w:cs="Arial" w:eastAsia="Arial" w:hAnsi="Arial"/>
                <w:sz w:val="14"/>
                <w:szCs w:val="14"/>
                <w:color w:val="auto"/>
              </w:rPr>
              <w:t>Transportation</w:t>
            </w:r>
          </w:p>
        </w:tc>
        <w:tc>
          <w:tcPr>
            <w:tcW w:w="2500" w:type="dxa"/>
            <w:vAlign w:val="bottom"/>
          </w:tcPr>
          <w:p>
            <w:pPr>
              <w:ind w:left="120"/>
              <w:spacing w:after="0"/>
              <w:rPr>
                <w:sz w:val="20"/>
                <w:szCs w:val="20"/>
                <w:color w:val="auto"/>
              </w:rPr>
            </w:pPr>
            <w:r>
              <w:rPr>
                <w:rFonts w:ascii="Arial" w:cs="Arial" w:eastAsia="Arial" w:hAnsi="Arial"/>
                <w:sz w:val="14"/>
                <w:szCs w:val="14"/>
                <w:color w:val="auto"/>
              </w:rPr>
              <w:t>fully diluted)</w:t>
            </w:r>
          </w:p>
        </w:tc>
        <w:tc>
          <w:tcPr>
            <w:tcW w:w="700" w:type="dxa"/>
            <w:vAlign w:val="bottom"/>
          </w:tcPr>
          <w:p>
            <w:pPr>
              <w:spacing w:after="0"/>
              <w:rPr>
                <w:sz w:val="15"/>
                <w:szCs w:val="15"/>
                <w:color w:val="auto"/>
              </w:rPr>
            </w:pPr>
          </w:p>
        </w:tc>
      </w:tr>
      <w:tr>
        <w:trPr>
          <w:trHeight w:val="615"/>
        </w:trPr>
        <w:tc>
          <w:tcPr>
            <w:tcW w:w="25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500" w:type="dxa"/>
            <w:vAlign w:val="bottom"/>
          </w:tcPr>
          <w:p>
            <w:pPr>
              <w:ind w:left="120"/>
              <w:spacing w:after="0"/>
              <w:rPr>
                <w:sz w:val="20"/>
                <w:szCs w:val="20"/>
                <w:color w:val="auto"/>
              </w:rPr>
            </w:pPr>
            <w:r>
              <w:rPr>
                <w:rFonts w:ascii="Arial" w:cs="Arial" w:eastAsia="Arial" w:hAnsi="Arial"/>
                <w:sz w:val="14"/>
                <w:szCs w:val="14"/>
                <w:color w:val="auto"/>
              </w:rPr>
              <w:t>Subordinated Debt (L+9.25%</w:t>
            </w:r>
          </w:p>
        </w:tc>
        <w:tc>
          <w:tcPr>
            <w:tcW w:w="700" w:type="dxa"/>
            <w:vAlign w:val="bottom"/>
          </w:tcPr>
          <w:p>
            <w:pPr>
              <w:spacing w:after="0"/>
              <w:rPr>
                <w:sz w:val="24"/>
                <w:szCs w:val="24"/>
                <w:color w:val="auto"/>
              </w:rPr>
            </w:pPr>
          </w:p>
        </w:tc>
      </w:tr>
      <w:tr>
        <w:trPr>
          <w:trHeight w:val="182"/>
        </w:trPr>
        <w:tc>
          <w:tcPr>
            <w:tcW w:w="2540" w:type="dxa"/>
            <w:vAlign w:val="bottom"/>
          </w:tcPr>
          <w:p>
            <w:pPr>
              <w:spacing w:after="0"/>
              <w:rPr>
                <w:sz w:val="20"/>
                <w:szCs w:val="20"/>
                <w:color w:val="auto"/>
              </w:rPr>
            </w:pPr>
            <w:r>
              <w:rPr>
                <w:rFonts w:ascii="Arial" w:cs="Arial" w:eastAsia="Arial" w:hAnsi="Arial"/>
                <w:sz w:val="14"/>
                <w:szCs w:val="14"/>
                <w:color w:val="auto"/>
              </w:rPr>
              <w:t>Maxim Crane Works, L.P.</w:t>
            </w:r>
          </w:p>
        </w:tc>
        <w:tc>
          <w:tcPr>
            <w:tcW w:w="2160" w:type="dxa"/>
            <w:vAlign w:val="bottom"/>
          </w:tcPr>
          <w:p>
            <w:pPr>
              <w:ind w:left="100"/>
              <w:spacing w:after="0"/>
              <w:rPr>
                <w:sz w:val="20"/>
                <w:szCs w:val="20"/>
                <w:color w:val="auto"/>
              </w:rPr>
            </w:pPr>
            <w:r>
              <w:rPr>
                <w:rFonts w:ascii="Arial" w:cs="Arial" w:eastAsia="Arial" w:hAnsi="Arial"/>
                <w:sz w:val="14"/>
                <w:szCs w:val="14"/>
                <w:color w:val="auto"/>
              </w:rPr>
              <w:t>Crane Rental and Sales</w:t>
            </w:r>
          </w:p>
        </w:tc>
        <w:tc>
          <w:tcPr>
            <w:tcW w:w="2500" w:type="dxa"/>
            <w:vAlign w:val="bottom"/>
          </w:tcPr>
          <w:p>
            <w:pPr>
              <w:ind w:left="120"/>
              <w:spacing w:after="0"/>
              <w:rPr>
                <w:sz w:val="20"/>
                <w:szCs w:val="20"/>
                <w:color w:val="auto"/>
              </w:rPr>
            </w:pPr>
            <w:r>
              <w:rPr>
                <w:rFonts w:ascii="Arial" w:cs="Arial" w:eastAsia="Arial" w:hAnsi="Arial"/>
                <w:sz w:val="14"/>
                <w:szCs w:val="14"/>
                <w:color w:val="auto"/>
              </w:rPr>
              <w:t>Cash, 1% Floor, Due 11/26/18)</w:t>
            </w:r>
          </w:p>
        </w:tc>
        <w:tc>
          <w:tcPr>
            <w:tcW w:w="700" w:type="dxa"/>
            <w:vAlign w:val="bottom"/>
          </w:tcPr>
          <w:p>
            <w:pPr>
              <w:jc w:val="right"/>
              <w:spacing w:after="0"/>
              <w:rPr>
                <w:sz w:val="20"/>
                <w:szCs w:val="20"/>
                <w:color w:val="auto"/>
              </w:rPr>
            </w:pPr>
            <w:r>
              <w:rPr>
                <w:rFonts w:ascii="Arial" w:cs="Arial" w:eastAsia="Arial" w:hAnsi="Arial"/>
                <w:sz w:val="14"/>
                <w:szCs w:val="14"/>
                <w:color w:val="auto"/>
              </w:rPr>
              <w:t>5,000</w:t>
            </w:r>
          </w:p>
        </w:tc>
      </w:tr>
      <w:tr>
        <w:trPr>
          <w:trHeight w:val="624"/>
        </w:trPr>
        <w:tc>
          <w:tcPr>
            <w:tcW w:w="25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500" w:type="dxa"/>
            <w:vAlign w:val="bottom"/>
          </w:tcPr>
          <w:p>
            <w:pPr>
              <w:ind w:left="120"/>
              <w:spacing w:after="0"/>
              <w:rPr>
                <w:sz w:val="20"/>
                <w:szCs w:val="20"/>
                <w:color w:val="auto"/>
              </w:rPr>
            </w:pPr>
            <w:r>
              <w:rPr>
                <w:rFonts w:ascii="Arial" w:cs="Arial" w:eastAsia="Arial" w:hAnsi="Arial"/>
                <w:sz w:val="14"/>
                <w:szCs w:val="14"/>
                <w:color w:val="auto"/>
              </w:rPr>
              <w:t>Subordinated Debt (14% Cash, Due</w:t>
            </w:r>
          </w:p>
        </w:tc>
        <w:tc>
          <w:tcPr>
            <w:tcW w:w="700" w:type="dxa"/>
            <w:vAlign w:val="bottom"/>
          </w:tcPr>
          <w:p>
            <w:pPr>
              <w:spacing w:after="0"/>
              <w:rPr>
                <w:sz w:val="24"/>
                <w:szCs w:val="24"/>
                <w:color w:val="auto"/>
              </w:rPr>
            </w:pPr>
          </w:p>
        </w:tc>
      </w:tr>
      <w:tr>
        <w:trPr>
          <w:trHeight w:val="313"/>
        </w:trPr>
        <w:tc>
          <w:tcPr>
            <w:tcW w:w="2540" w:type="dxa"/>
            <w:vAlign w:val="bottom"/>
          </w:tcPr>
          <w:p>
            <w:pPr>
              <w:spacing w:after="0"/>
              <w:rPr>
                <w:sz w:val="20"/>
                <w:szCs w:val="20"/>
                <w:color w:val="auto"/>
              </w:rPr>
            </w:pPr>
            <w:r>
              <w:rPr>
                <w:rFonts w:ascii="Arial" w:cs="Arial" w:eastAsia="Arial" w:hAnsi="Arial"/>
                <w:sz w:val="14"/>
                <w:szCs w:val="14"/>
                <w:color w:val="auto"/>
              </w:rPr>
              <w:t>Medical Depot, Inc.</w:t>
            </w:r>
          </w:p>
        </w:tc>
        <w:tc>
          <w:tcPr>
            <w:tcW w:w="2160" w:type="dxa"/>
            <w:vAlign w:val="bottom"/>
          </w:tcPr>
          <w:p>
            <w:pPr>
              <w:ind w:left="100"/>
              <w:spacing w:after="0"/>
              <w:rPr>
                <w:sz w:val="20"/>
                <w:szCs w:val="20"/>
                <w:color w:val="auto"/>
              </w:rPr>
            </w:pPr>
            <w:r>
              <w:rPr>
                <w:rFonts w:ascii="Arial" w:cs="Arial" w:eastAsia="Arial" w:hAnsi="Arial"/>
                <w:sz w:val="14"/>
                <w:szCs w:val="14"/>
                <w:color w:val="auto"/>
              </w:rPr>
              <w:t>Medical Device Distributor</w:t>
            </w:r>
          </w:p>
        </w:tc>
        <w:tc>
          <w:tcPr>
            <w:tcW w:w="2500" w:type="dxa"/>
            <w:vAlign w:val="bottom"/>
          </w:tcPr>
          <w:p>
            <w:pPr>
              <w:ind w:left="120"/>
              <w:spacing w:after="0"/>
              <w:rPr>
                <w:sz w:val="20"/>
                <w:szCs w:val="20"/>
                <w:color w:val="auto"/>
              </w:rPr>
            </w:pPr>
            <w:r>
              <w:rPr>
                <w:rFonts w:ascii="Arial" w:cs="Arial" w:eastAsia="Arial" w:hAnsi="Arial"/>
                <w:sz w:val="14"/>
                <w:szCs w:val="14"/>
                <w:color w:val="auto"/>
              </w:rPr>
              <w:t xml:space="preserve">9/27/20) </w:t>
            </w:r>
            <w:r>
              <w:rPr>
                <w:rFonts w:ascii="Arial" w:cs="Arial" w:eastAsia="Arial" w:hAnsi="Arial"/>
                <w:sz w:val="23"/>
                <w:szCs w:val="23"/>
                <w:color w:val="auto"/>
                <w:vertAlign w:val="superscript"/>
              </w:rPr>
              <w:t>(1)</w:t>
            </w:r>
          </w:p>
        </w:tc>
        <w:tc>
          <w:tcPr>
            <w:tcW w:w="700" w:type="dxa"/>
            <w:vAlign w:val="bottom"/>
          </w:tcPr>
          <w:p>
            <w:pPr>
              <w:jc w:val="right"/>
              <w:spacing w:after="0"/>
              <w:rPr>
                <w:sz w:val="20"/>
                <w:szCs w:val="20"/>
                <w:color w:val="auto"/>
              </w:rPr>
            </w:pPr>
            <w:r>
              <w:rPr>
                <w:rFonts w:ascii="Arial" w:cs="Arial" w:eastAsia="Arial" w:hAnsi="Arial"/>
                <w:sz w:val="14"/>
                <w:szCs w:val="14"/>
                <w:color w:val="auto"/>
              </w:rPr>
              <w:t>4,667</w:t>
            </w:r>
          </w:p>
        </w:tc>
      </w:tr>
      <w:tr>
        <w:trPr>
          <w:trHeight w:val="163"/>
        </w:trPr>
        <w:tc>
          <w:tcPr>
            <w:tcW w:w="25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500" w:type="dxa"/>
            <w:vAlign w:val="bottom"/>
          </w:tcPr>
          <w:p>
            <w:pPr>
              <w:ind w:left="120"/>
              <w:spacing w:after="0"/>
              <w:rPr>
                <w:sz w:val="20"/>
                <w:szCs w:val="20"/>
                <w:color w:val="auto"/>
              </w:rPr>
            </w:pPr>
            <w:r>
              <w:rPr>
                <w:rFonts w:ascii="Arial" w:cs="Arial" w:eastAsia="Arial" w:hAnsi="Arial"/>
                <w:sz w:val="14"/>
                <w:szCs w:val="14"/>
                <w:color w:val="auto"/>
              </w:rPr>
              <w:t>Series C Convertible Preferred</w:t>
            </w:r>
          </w:p>
        </w:tc>
        <w:tc>
          <w:tcPr>
            <w:tcW w:w="700" w:type="dxa"/>
            <w:vAlign w:val="bottom"/>
          </w:tcPr>
          <w:p>
            <w:pPr>
              <w:spacing w:after="0"/>
              <w:rPr>
                <w:sz w:val="14"/>
                <w:szCs w:val="14"/>
                <w:color w:val="auto"/>
              </w:rPr>
            </w:pPr>
          </w:p>
        </w:tc>
      </w:tr>
      <w:tr>
        <w:trPr>
          <w:trHeight w:val="182"/>
        </w:trPr>
        <w:tc>
          <w:tcPr>
            <w:tcW w:w="2540" w:type="dxa"/>
            <w:vAlign w:val="bottom"/>
          </w:tcPr>
          <w:p>
            <w:pPr>
              <w:spacing w:after="0"/>
              <w:rPr>
                <w:sz w:val="20"/>
                <w:szCs w:val="20"/>
                <w:color w:val="auto"/>
              </w:rPr>
            </w:pPr>
            <w:r>
              <w:rPr>
                <w:rFonts w:ascii="Arial" w:cs="Arial" w:eastAsia="Arial" w:hAnsi="Arial"/>
                <w:sz w:val="14"/>
                <w:szCs w:val="14"/>
                <w:color w:val="auto"/>
              </w:rPr>
              <w:t>Medical Depot, Inc.</w:t>
            </w:r>
          </w:p>
        </w:tc>
        <w:tc>
          <w:tcPr>
            <w:tcW w:w="2160" w:type="dxa"/>
            <w:vAlign w:val="bottom"/>
          </w:tcPr>
          <w:p>
            <w:pPr>
              <w:ind w:left="100"/>
              <w:spacing w:after="0"/>
              <w:rPr>
                <w:sz w:val="20"/>
                <w:szCs w:val="20"/>
                <w:color w:val="auto"/>
              </w:rPr>
            </w:pPr>
            <w:r>
              <w:rPr>
                <w:rFonts w:ascii="Arial" w:cs="Arial" w:eastAsia="Arial" w:hAnsi="Arial"/>
                <w:sz w:val="14"/>
                <w:szCs w:val="14"/>
                <w:color w:val="auto"/>
              </w:rPr>
              <w:t>Medical Device Distributor</w:t>
            </w:r>
          </w:p>
        </w:tc>
        <w:tc>
          <w:tcPr>
            <w:tcW w:w="2500" w:type="dxa"/>
            <w:vAlign w:val="bottom"/>
          </w:tcPr>
          <w:p>
            <w:pPr>
              <w:ind w:left="120"/>
              <w:spacing w:after="0"/>
              <w:rPr>
                <w:sz w:val="20"/>
                <w:szCs w:val="20"/>
                <w:color w:val="auto"/>
              </w:rPr>
            </w:pPr>
            <w:r>
              <w:rPr>
                <w:rFonts w:ascii="Arial" w:cs="Arial" w:eastAsia="Arial" w:hAnsi="Arial"/>
                <w:sz w:val="14"/>
                <w:szCs w:val="14"/>
                <w:color w:val="auto"/>
              </w:rPr>
              <w:t>Stock (740 shares)</w:t>
            </w:r>
          </w:p>
        </w:tc>
        <w:tc>
          <w:tcPr>
            <w:tcW w:w="700" w:type="dxa"/>
            <w:vAlign w:val="bottom"/>
          </w:tcPr>
          <w:p>
            <w:pPr>
              <w:spacing w:after="0"/>
              <w:rPr>
                <w:sz w:val="15"/>
                <w:szCs w:val="15"/>
                <w:color w:val="auto"/>
              </w:rPr>
            </w:pPr>
          </w:p>
        </w:tc>
      </w:tr>
      <w:tr>
        <w:trPr>
          <w:trHeight w:val="615"/>
        </w:trPr>
        <w:tc>
          <w:tcPr>
            <w:tcW w:w="25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500" w:type="dxa"/>
            <w:vAlign w:val="bottom"/>
          </w:tcPr>
          <w:p>
            <w:pPr>
              <w:ind w:left="120"/>
              <w:spacing w:after="0"/>
              <w:rPr>
                <w:sz w:val="20"/>
                <w:szCs w:val="20"/>
                <w:color w:val="auto"/>
              </w:rPr>
            </w:pPr>
            <w:r>
              <w:rPr>
                <w:rFonts w:ascii="Arial" w:cs="Arial" w:eastAsia="Arial" w:hAnsi="Arial"/>
                <w:sz w:val="14"/>
                <w:szCs w:val="14"/>
                <w:color w:val="auto"/>
              </w:rPr>
              <w:t>Subordinated Debt (12.5% Cash,</w:t>
            </w:r>
          </w:p>
        </w:tc>
        <w:tc>
          <w:tcPr>
            <w:tcW w:w="700" w:type="dxa"/>
            <w:vAlign w:val="bottom"/>
          </w:tcPr>
          <w:p>
            <w:pPr>
              <w:spacing w:after="0"/>
              <w:rPr>
                <w:sz w:val="24"/>
                <w:szCs w:val="24"/>
                <w:color w:val="auto"/>
              </w:rPr>
            </w:pPr>
          </w:p>
        </w:tc>
      </w:tr>
      <w:tr>
        <w:trPr>
          <w:trHeight w:val="182"/>
        </w:trPr>
        <w:tc>
          <w:tcPr>
            <w:tcW w:w="2540" w:type="dxa"/>
            <w:vAlign w:val="bottom"/>
          </w:tcPr>
          <w:p>
            <w:pPr>
              <w:spacing w:after="0"/>
              <w:rPr>
                <w:sz w:val="20"/>
                <w:szCs w:val="20"/>
                <w:color w:val="auto"/>
              </w:rPr>
            </w:pPr>
            <w:r>
              <w:rPr>
                <w:rFonts w:ascii="Arial" w:cs="Arial" w:eastAsia="Arial" w:hAnsi="Arial"/>
                <w:sz w:val="14"/>
                <w:szCs w:val="14"/>
                <w:color w:val="auto"/>
              </w:rPr>
              <w:t>Merlin International, Inc.</w:t>
            </w:r>
          </w:p>
        </w:tc>
        <w:tc>
          <w:tcPr>
            <w:tcW w:w="2160" w:type="dxa"/>
            <w:vAlign w:val="bottom"/>
          </w:tcPr>
          <w:p>
            <w:pPr>
              <w:ind w:left="100"/>
              <w:spacing w:after="0"/>
              <w:rPr>
                <w:sz w:val="20"/>
                <w:szCs w:val="20"/>
                <w:color w:val="auto"/>
              </w:rPr>
            </w:pPr>
            <w:r>
              <w:rPr>
                <w:rFonts w:ascii="Arial" w:cs="Arial" w:eastAsia="Arial" w:hAnsi="Arial"/>
                <w:sz w:val="14"/>
                <w:szCs w:val="14"/>
                <w:color w:val="auto"/>
              </w:rPr>
              <w:t>IT Government Contracting</w:t>
            </w:r>
          </w:p>
        </w:tc>
        <w:tc>
          <w:tcPr>
            <w:tcW w:w="2500" w:type="dxa"/>
            <w:vAlign w:val="bottom"/>
          </w:tcPr>
          <w:p>
            <w:pPr>
              <w:ind w:left="120"/>
              <w:spacing w:after="0"/>
              <w:rPr>
                <w:sz w:val="20"/>
                <w:szCs w:val="20"/>
                <w:color w:val="auto"/>
              </w:rPr>
            </w:pPr>
            <w:r>
              <w:rPr>
                <w:rFonts w:ascii="Arial" w:cs="Arial" w:eastAsia="Arial" w:hAnsi="Arial"/>
                <w:sz w:val="14"/>
                <w:szCs w:val="14"/>
                <w:color w:val="auto"/>
              </w:rPr>
              <w:t>Due 12/16/19)</w:t>
            </w:r>
          </w:p>
        </w:tc>
        <w:tc>
          <w:tcPr>
            <w:tcW w:w="700" w:type="dxa"/>
            <w:vAlign w:val="bottom"/>
          </w:tcPr>
          <w:p>
            <w:pPr>
              <w:jc w:val="right"/>
              <w:spacing w:after="0"/>
              <w:rPr>
                <w:sz w:val="20"/>
                <w:szCs w:val="20"/>
                <w:color w:val="auto"/>
              </w:rPr>
            </w:pPr>
            <w:r>
              <w:rPr>
                <w:rFonts w:ascii="Arial" w:cs="Arial" w:eastAsia="Arial" w:hAnsi="Arial"/>
                <w:sz w:val="14"/>
                <w:szCs w:val="14"/>
                <w:color w:val="auto"/>
              </w:rPr>
              <w:t>20,000</w:t>
            </w:r>
          </w:p>
        </w:tc>
      </w:tr>
      <w:tr>
        <w:trPr>
          <w:trHeight w:val="615"/>
        </w:trPr>
        <w:tc>
          <w:tcPr>
            <w:tcW w:w="25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500" w:type="dxa"/>
            <w:vAlign w:val="bottom"/>
          </w:tcPr>
          <w:p>
            <w:pPr>
              <w:ind w:left="120"/>
              <w:spacing w:after="0"/>
              <w:rPr>
                <w:sz w:val="20"/>
                <w:szCs w:val="20"/>
                <w:color w:val="auto"/>
              </w:rPr>
            </w:pPr>
            <w:r>
              <w:rPr>
                <w:rFonts w:ascii="Arial" w:cs="Arial" w:eastAsia="Arial" w:hAnsi="Arial"/>
                <w:sz w:val="14"/>
                <w:szCs w:val="14"/>
                <w:color w:val="auto"/>
              </w:rPr>
              <w:t>Subordinated Debt (L+9.25%</w:t>
            </w:r>
          </w:p>
        </w:tc>
        <w:tc>
          <w:tcPr>
            <w:tcW w:w="700" w:type="dxa"/>
            <w:vAlign w:val="bottom"/>
          </w:tcPr>
          <w:p>
            <w:pPr>
              <w:spacing w:after="0"/>
              <w:rPr>
                <w:sz w:val="24"/>
                <w:szCs w:val="24"/>
                <w:color w:val="auto"/>
              </w:rPr>
            </w:pPr>
          </w:p>
        </w:tc>
      </w:tr>
      <w:tr>
        <w:trPr>
          <w:trHeight w:val="182"/>
        </w:trPr>
        <w:tc>
          <w:tcPr>
            <w:tcW w:w="2540" w:type="dxa"/>
            <w:vAlign w:val="bottom"/>
          </w:tcPr>
          <w:p>
            <w:pPr>
              <w:spacing w:after="0"/>
              <w:rPr>
                <w:sz w:val="20"/>
                <w:szCs w:val="20"/>
                <w:color w:val="auto"/>
              </w:rPr>
            </w:pPr>
            <w:r>
              <w:rPr>
                <w:rFonts w:ascii="Arial" w:cs="Arial" w:eastAsia="Arial" w:hAnsi="Arial"/>
                <w:sz w:val="14"/>
                <w:szCs w:val="14"/>
                <w:color w:val="auto"/>
              </w:rPr>
              <w:t>Nielsen &amp; Bainbridge, LLC</w:t>
            </w:r>
          </w:p>
        </w:tc>
        <w:tc>
          <w:tcPr>
            <w:tcW w:w="2160" w:type="dxa"/>
            <w:vAlign w:val="bottom"/>
          </w:tcPr>
          <w:p>
            <w:pPr>
              <w:ind w:left="100"/>
              <w:spacing w:after="0"/>
              <w:rPr>
                <w:sz w:val="20"/>
                <w:szCs w:val="20"/>
                <w:color w:val="auto"/>
              </w:rPr>
            </w:pPr>
            <w:r>
              <w:rPr>
                <w:rFonts w:ascii="Arial" w:cs="Arial" w:eastAsia="Arial" w:hAnsi="Arial"/>
                <w:sz w:val="14"/>
                <w:szCs w:val="14"/>
                <w:color w:val="auto"/>
              </w:rPr>
              <w:t>Home Décor Manufacturer</w:t>
            </w:r>
          </w:p>
        </w:tc>
        <w:tc>
          <w:tcPr>
            <w:tcW w:w="2500" w:type="dxa"/>
            <w:vAlign w:val="bottom"/>
          </w:tcPr>
          <w:p>
            <w:pPr>
              <w:ind w:left="120"/>
              <w:spacing w:after="0"/>
              <w:rPr>
                <w:sz w:val="20"/>
                <w:szCs w:val="20"/>
                <w:color w:val="auto"/>
              </w:rPr>
            </w:pPr>
            <w:r>
              <w:rPr>
                <w:rFonts w:ascii="Arial" w:cs="Arial" w:eastAsia="Arial" w:hAnsi="Arial"/>
                <w:sz w:val="14"/>
                <w:szCs w:val="14"/>
                <w:color w:val="auto"/>
              </w:rPr>
              <w:t>Cash, 1% Floor, Due 8/15/21)</w:t>
            </w:r>
          </w:p>
        </w:tc>
        <w:tc>
          <w:tcPr>
            <w:tcW w:w="700" w:type="dxa"/>
            <w:vAlign w:val="bottom"/>
          </w:tcPr>
          <w:p>
            <w:pPr>
              <w:jc w:val="right"/>
              <w:spacing w:after="0"/>
              <w:rPr>
                <w:sz w:val="20"/>
                <w:szCs w:val="20"/>
                <w:color w:val="auto"/>
              </w:rPr>
            </w:pPr>
            <w:r>
              <w:rPr>
                <w:rFonts w:ascii="Arial" w:cs="Arial" w:eastAsia="Arial" w:hAnsi="Arial"/>
                <w:sz w:val="14"/>
                <w:szCs w:val="14"/>
                <w:color w:val="auto"/>
              </w:rPr>
              <w:t>15,000</w:t>
            </w:r>
          </w:p>
        </w:tc>
      </w:tr>
      <w:tr>
        <w:trPr>
          <w:trHeight w:val="615"/>
        </w:trPr>
        <w:tc>
          <w:tcPr>
            <w:tcW w:w="2540" w:type="dxa"/>
            <w:vAlign w:val="bottom"/>
          </w:tcPr>
          <w:p>
            <w:pPr>
              <w:spacing w:after="0"/>
              <w:rPr>
                <w:sz w:val="24"/>
                <w:szCs w:val="24"/>
                <w:color w:val="auto"/>
              </w:rPr>
            </w:pPr>
          </w:p>
        </w:tc>
        <w:tc>
          <w:tcPr>
            <w:tcW w:w="2160" w:type="dxa"/>
            <w:vAlign w:val="bottom"/>
          </w:tcPr>
          <w:p>
            <w:pPr>
              <w:ind w:left="100"/>
              <w:spacing w:after="0"/>
              <w:rPr>
                <w:sz w:val="20"/>
                <w:szCs w:val="20"/>
                <w:color w:val="auto"/>
              </w:rPr>
            </w:pPr>
            <w:r>
              <w:rPr>
                <w:rFonts w:ascii="Arial" w:cs="Arial" w:eastAsia="Arial" w:hAnsi="Arial"/>
                <w:sz w:val="14"/>
                <w:szCs w:val="14"/>
                <w:color w:val="auto"/>
                <w:w w:val="98"/>
              </w:rPr>
              <w:t>Professional and Personal Digital</w:t>
            </w:r>
          </w:p>
        </w:tc>
        <w:tc>
          <w:tcPr>
            <w:tcW w:w="2500" w:type="dxa"/>
            <w:vAlign w:val="bottom"/>
          </w:tcPr>
          <w:p>
            <w:pPr>
              <w:ind w:left="120"/>
              <w:spacing w:after="0"/>
              <w:rPr>
                <w:sz w:val="20"/>
                <w:szCs w:val="20"/>
                <w:color w:val="auto"/>
              </w:rPr>
            </w:pPr>
            <w:r>
              <w:rPr>
                <w:rFonts w:ascii="Arial" w:cs="Arial" w:eastAsia="Arial" w:hAnsi="Arial"/>
                <w:sz w:val="14"/>
                <w:szCs w:val="14"/>
                <w:color w:val="auto"/>
              </w:rPr>
              <w:t>Senior Secured Term Debt (12%</w:t>
            </w:r>
          </w:p>
        </w:tc>
        <w:tc>
          <w:tcPr>
            <w:tcW w:w="700" w:type="dxa"/>
            <w:vAlign w:val="bottom"/>
          </w:tcPr>
          <w:p>
            <w:pPr>
              <w:spacing w:after="0"/>
              <w:rPr>
                <w:sz w:val="24"/>
                <w:szCs w:val="24"/>
                <w:color w:val="auto"/>
              </w:rPr>
            </w:pPr>
          </w:p>
        </w:tc>
      </w:tr>
      <w:tr>
        <w:trPr>
          <w:trHeight w:val="182"/>
        </w:trPr>
        <w:tc>
          <w:tcPr>
            <w:tcW w:w="2540" w:type="dxa"/>
            <w:vAlign w:val="bottom"/>
          </w:tcPr>
          <w:p>
            <w:pPr>
              <w:spacing w:after="0"/>
              <w:rPr>
                <w:sz w:val="20"/>
                <w:szCs w:val="20"/>
                <w:color w:val="auto"/>
              </w:rPr>
            </w:pPr>
            <w:r>
              <w:rPr>
                <w:rFonts w:ascii="Arial" w:cs="Arial" w:eastAsia="Arial" w:hAnsi="Arial"/>
                <w:sz w:val="14"/>
                <w:szCs w:val="14"/>
                <w:color w:val="auto"/>
              </w:rPr>
              <w:t>Portrait Innovations, Inc.</w:t>
            </w:r>
          </w:p>
        </w:tc>
        <w:tc>
          <w:tcPr>
            <w:tcW w:w="2160" w:type="dxa"/>
            <w:vAlign w:val="bottom"/>
          </w:tcPr>
          <w:p>
            <w:pPr>
              <w:ind w:left="100"/>
              <w:spacing w:after="0"/>
              <w:rPr>
                <w:sz w:val="20"/>
                <w:szCs w:val="20"/>
                <w:color w:val="auto"/>
              </w:rPr>
            </w:pPr>
            <w:r>
              <w:rPr>
                <w:rFonts w:ascii="Arial" w:cs="Arial" w:eastAsia="Arial" w:hAnsi="Arial"/>
                <w:sz w:val="14"/>
                <w:szCs w:val="14"/>
                <w:color w:val="auto"/>
              </w:rPr>
              <w:t>Imaging</w:t>
            </w:r>
          </w:p>
        </w:tc>
        <w:tc>
          <w:tcPr>
            <w:tcW w:w="2500" w:type="dxa"/>
            <w:vAlign w:val="bottom"/>
          </w:tcPr>
          <w:p>
            <w:pPr>
              <w:ind w:left="120"/>
              <w:spacing w:after="0"/>
              <w:rPr>
                <w:sz w:val="20"/>
                <w:szCs w:val="20"/>
                <w:color w:val="auto"/>
              </w:rPr>
            </w:pPr>
            <w:r>
              <w:rPr>
                <w:rFonts w:ascii="Arial" w:cs="Arial" w:eastAsia="Arial" w:hAnsi="Arial"/>
                <w:sz w:val="14"/>
                <w:szCs w:val="14"/>
                <w:color w:val="auto"/>
              </w:rPr>
              <w:t>Cash, Due 2/26/20)</w:t>
            </w:r>
          </w:p>
        </w:tc>
        <w:tc>
          <w:tcPr>
            <w:tcW w:w="700" w:type="dxa"/>
            <w:vAlign w:val="bottom"/>
          </w:tcPr>
          <w:p>
            <w:pPr>
              <w:jc w:val="right"/>
              <w:spacing w:after="0"/>
              <w:rPr>
                <w:sz w:val="20"/>
                <w:szCs w:val="20"/>
                <w:color w:val="auto"/>
              </w:rPr>
            </w:pPr>
            <w:r>
              <w:rPr>
                <w:rFonts w:ascii="Arial" w:cs="Arial" w:eastAsia="Arial" w:hAnsi="Arial"/>
                <w:sz w:val="14"/>
                <w:szCs w:val="14"/>
                <w:color w:val="auto"/>
              </w:rPr>
              <w:t>15,000</w:t>
            </w:r>
          </w:p>
        </w:tc>
      </w:tr>
      <w:tr>
        <w:trPr>
          <w:trHeight w:val="615"/>
        </w:trPr>
        <w:tc>
          <w:tcPr>
            <w:tcW w:w="25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500" w:type="dxa"/>
            <w:vAlign w:val="bottom"/>
          </w:tcPr>
          <w:p>
            <w:pPr>
              <w:ind w:left="120"/>
              <w:spacing w:after="0"/>
              <w:rPr>
                <w:sz w:val="20"/>
                <w:szCs w:val="20"/>
                <w:color w:val="auto"/>
              </w:rPr>
            </w:pPr>
            <w:r>
              <w:rPr>
                <w:rFonts w:ascii="Arial" w:cs="Arial" w:eastAsia="Arial" w:hAnsi="Arial"/>
                <w:sz w:val="14"/>
                <w:szCs w:val="14"/>
                <w:color w:val="auto"/>
              </w:rPr>
              <w:t>Senior Secured Term Debt (12%</w:t>
            </w:r>
          </w:p>
        </w:tc>
        <w:tc>
          <w:tcPr>
            <w:tcW w:w="700" w:type="dxa"/>
            <w:vAlign w:val="bottom"/>
          </w:tcPr>
          <w:p>
            <w:pPr>
              <w:spacing w:after="0"/>
              <w:rPr>
                <w:sz w:val="24"/>
                <w:szCs w:val="24"/>
                <w:color w:val="auto"/>
              </w:rPr>
            </w:pPr>
          </w:p>
        </w:tc>
      </w:tr>
      <w:tr>
        <w:trPr>
          <w:trHeight w:val="182"/>
        </w:trPr>
        <w:tc>
          <w:tcPr>
            <w:tcW w:w="2540" w:type="dxa"/>
            <w:vAlign w:val="bottom"/>
          </w:tcPr>
          <w:p>
            <w:pPr>
              <w:spacing w:after="0"/>
              <w:rPr>
                <w:sz w:val="20"/>
                <w:szCs w:val="20"/>
                <w:color w:val="auto"/>
              </w:rPr>
            </w:pPr>
            <w:r>
              <w:rPr>
                <w:rFonts w:ascii="Arial" w:cs="Arial" w:eastAsia="Arial" w:hAnsi="Arial"/>
                <w:sz w:val="14"/>
                <w:szCs w:val="14"/>
                <w:color w:val="auto"/>
              </w:rPr>
              <w:t>Sequoia Healthcare Management, LLC</w:t>
            </w:r>
          </w:p>
        </w:tc>
        <w:tc>
          <w:tcPr>
            <w:tcW w:w="2160" w:type="dxa"/>
            <w:vAlign w:val="bottom"/>
          </w:tcPr>
          <w:p>
            <w:pPr>
              <w:ind w:left="100"/>
              <w:spacing w:after="0"/>
              <w:rPr>
                <w:sz w:val="20"/>
                <w:szCs w:val="20"/>
                <w:color w:val="auto"/>
              </w:rPr>
            </w:pPr>
            <w:r>
              <w:rPr>
                <w:rFonts w:ascii="Arial" w:cs="Arial" w:eastAsia="Arial" w:hAnsi="Arial"/>
                <w:sz w:val="14"/>
                <w:szCs w:val="14"/>
                <w:color w:val="auto"/>
              </w:rPr>
              <w:t>Healthcare Management</w:t>
            </w:r>
          </w:p>
        </w:tc>
        <w:tc>
          <w:tcPr>
            <w:tcW w:w="2500" w:type="dxa"/>
            <w:vAlign w:val="bottom"/>
          </w:tcPr>
          <w:p>
            <w:pPr>
              <w:ind w:left="120"/>
              <w:spacing w:after="0"/>
              <w:rPr>
                <w:sz w:val="20"/>
                <w:szCs w:val="20"/>
                <w:color w:val="auto"/>
              </w:rPr>
            </w:pPr>
            <w:r>
              <w:rPr>
                <w:rFonts w:ascii="Arial" w:cs="Arial" w:eastAsia="Arial" w:hAnsi="Arial"/>
                <w:sz w:val="14"/>
                <w:szCs w:val="14"/>
                <w:color w:val="auto"/>
              </w:rPr>
              <w:t>cash, 4% PIK, due 7/17/19)</w:t>
            </w:r>
          </w:p>
        </w:tc>
        <w:tc>
          <w:tcPr>
            <w:tcW w:w="700" w:type="dxa"/>
            <w:vAlign w:val="bottom"/>
          </w:tcPr>
          <w:p>
            <w:pPr>
              <w:jc w:val="right"/>
              <w:spacing w:after="0"/>
              <w:rPr>
                <w:sz w:val="20"/>
                <w:szCs w:val="20"/>
                <w:color w:val="auto"/>
              </w:rPr>
            </w:pPr>
            <w:r>
              <w:rPr>
                <w:rFonts w:ascii="Arial" w:cs="Arial" w:eastAsia="Arial" w:hAnsi="Arial"/>
                <w:sz w:val="14"/>
                <w:szCs w:val="14"/>
                <w:color w:val="auto"/>
              </w:rPr>
              <w:t>12,005</w:t>
            </w:r>
          </w:p>
        </w:tc>
      </w:tr>
      <w:tr>
        <w:trPr>
          <w:trHeight w:val="615"/>
        </w:trPr>
        <w:tc>
          <w:tcPr>
            <w:tcW w:w="2540" w:type="dxa"/>
            <w:vAlign w:val="bottom"/>
          </w:tcPr>
          <w:p>
            <w:pPr>
              <w:spacing w:after="0"/>
              <w:rPr>
                <w:sz w:val="24"/>
                <w:szCs w:val="24"/>
                <w:color w:val="auto"/>
              </w:rPr>
            </w:pPr>
          </w:p>
        </w:tc>
        <w:tc>
          <w:tcPr>
            <w:tcW w:w="2160" w:type="dxa"/>
            <w:vAlign w:val="bottom"/>
          </w:tcPr>
          <w:p>
            <w:pPr>
              <w:ind w:left="100"/>
              <w:spacing w:after="0"/>
              <w:rPr>
                <w:sz w:val="20"/>
                <w:szCs w:val="20"/>
                <w:color w:val="auto"/>
              </w:rPr>
            </w:pPr>
            <w:r>
              <w:rPr>
                <w:rFonts w:ascii="Arial" w:cs="Arial" w:eastAsia="Arial" w:hAnsi="Arial"/>
                <w:sz w:val="14"/>
                <w:szCs w:val="14"/>
                <w:color w:val="auto"/>
              </w:rPr>
              <w:t>Oil &amp; Gas Engineering and</w:t>
            </w:r>
          </w:p>
        </w:tc>
        <w:tc>
          <w:tcPr>
            <w:tcW w:w="2500" w:type="dxa"/>
            <w:vAlign w:val="bottom"/>
          </w:tcPr>
          <w:p>
            <w:pPr>
              <w:ind w:left="120"/>
              <w:spacing w:after="0"/>
              <w:rPr>
                <w:sz w:val="20"/>
                <w:szCs w:val="20"/>
                <w:color w:val="auto"/>
              </w:rPr>
            </w:pPr>
            <w:r>
              <w:rPr>
                <w:rFonts w:ascii="Arial" w:cs="Arial" w:eastAsia="Arial" w:hAnsi="Arial"/>
                <w:sz w:val="14"/>
                <w:szCs w:val="14"/>
                <w:color w:val="auto"/>
              </w:rPr>
              <w:t>Senior Secured Debt (12.25%</w:t>
            </w:r>
          </w:p>
        </w:tc>
        <w:tc>
          <w:tcPr>
            <w:tcW w:w="700" w:type="dxa"/>
            <w:vAlign w:val="bottom"/>
          </w:tcPr>
          <w:p>
            <w:pPr>
              <w:spacing w:after="0"/>
              <w:rPr>
                <w:sz w:val="24"/>
                <w:szCs w:val="24"/>
                <w:color w:val="auto"/>
              </w:rPr>
            </w:pPr>
          </w:p>
        </w:tc>
      </w:tr>
      <w:tr>
        <w:trPr>
          <w:trHeight w:val="182"/>
        </w:trPr>
        <w:tc>
          <w:tcPr>
            <w:tcW w:w="2540" w:type="dxa"/>
            <w:vAlign w:val="bottom"/>
          </w:tcPr>
          <w:p>
            <w:pPr>
              <w:spacing w:after="0"/>
              <w:rPr>
                <w:sz w:val="20"/>
                <w:szCs w:val="20"/>
                <w:color w:val="auto"/>
              </w:rPr>
            </w:pPr>
            <w:r>
              <w:rPr>
                <w:rFonts w:ascii="Arial" w:cs="Arial" w:eastAsia="Arial" w:hAnsi="Arial"/>
                <w:sz w:val="14"/>
                <w:szCs w:val="14"/>
                <w:color w:val="auto"/>
              </w:rPr>
              <w:t>Sierra Hamilton, LLC</w:t>
            </w:r>
          </w:p>
        </w:tc>
        <w:tc>
          <w:tcPr>
            <w:tcW w:w="2160" w:type="dxa"/>
            <w:vAlign w:val="bottom"/>
          </w:tcPr>
          <w:p>
            <w:pPr>
              <w:ind w:left="100"/>
              <w:spacing w:after="0"/>
              <w:rPr>
                <w:sz w:val="20"/>
                <w:szCs w:val="20"/>
                <w:color w:val="auto"/>
              </w:rPr>
            </w:pPr>
            <w:r>
              <w:rPr>
                <w:rFonts w:ascii="Arial" w:cs="Arial" w:eastAsia="Arial" w:hAnsi="Arial"/>
                <w:sz w:val="14"/>
                <w:szCs w:val="14"/>
                <w:color w:val="auto"/>
              </w:rPr>
              <w:t>Consulting Services</w:t>
            </w:r>
          </w:p>
        </w:tc>
        <w:tc>
          <w:tcPr>
            <w:tcW w:w="2500" w:type="dxa"/>
            <w:vAlign w:val="bottom"/>
          </w:tcPr>
          <w:p>
            <w:pPr>
              <w:ind w:left="120"/>
              <w:spacing w:after="0"/>
              <w:rPr>
                <w:sz w:val="20"/>
                <w:szCs w:val="20"/>
                <w:color w:val="auto"/>
              </w:rPr>
            </w:pPr>
            <w:r>
              <w:rPr>
                <w:rFonts w:ascii="Arial" w:cs="Arial" w:eastAsia="Arial" w:hAnsi="Arial"/>
                <w:sz w:val="14"/>
                <w:szCs w:val="14"/>
                <w:color w:val="auto"/>
              </w:rPr>
              <w:t>Cash, Due 12/15/18)</w:t>
            </w:r>
          </w:p>
        </w:tc>
        <w:tc>
          <w:tcPr>
            <w:tcW w:w="700" w:type="dxa"/>
            <w:vAlign w:val="bottom"/>
          </w:tcPr>
          <w:p>
            <w:pPr>
              <w:jc w:val="right"/>
              <w:spacing w:after="0"/>
              <w:rPr>
                <w:sz w:val="20"/>
                <w:szCs w:val="20"/>
                <w:color w:val="auto"/>
              </w:rPr>
            </w:pPr>
            <w:r>
              <w:rPr>
                <w:rFonts w:ascii="Arial" w:cs="Arial" w:eastAsia="Arial" w:hAnsi="Arial"/>
                <w:sz w:val="14"/>
                <w:szCs w:val="14"/>
                <w:color w:val="auto"/>
              </w:rPr>
              <w:t>15,000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-10188575</wp:posOffset>
            </wp:positionV>
            <wp:extent cx="7246620" cy="1974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-9888220</wp:posOffset>
            </wp:positionV>
            <wp:extent cx="7246620" cy="1028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-9682480</wp:posOffset>
            </wp:positionV>
            <wp:extent cx="7246620"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-9399270</wp:posOffset>
            </wp:positionV>
            <wp:extent cx="7246620" cy="1028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-9193530</wp:posOffset>
            </wp:positionV>
            <wp:extent cx="7246620" cy="1028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-8987790</wp:posOffset>
            </wp:positionV>
            <wp:extent cx="7246620" cy="3175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175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-8567420</wp:posOffset>
            </wp:positionV>
            <wp:extent cx="7246620" cy="1028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-8361680</wp:posOffset>
            </wp:positionV>
            <wp:extent cx="7246620" cy="1974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-8061325</wp:posOffset>
            </wp:positionV>
            <wp:extent cx="7246620" cy="1028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-7855585</wp:posOffset>
            </wp:positionV>
            <wp:extent cx="7246620" cy="1974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-7555865</wp:posOffset>
            </wp:positionV>
            <wp:extent cx="7246620" cy="1028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-7349490</wp:posOffset>
            </wp:positionV>
            <wp:extent cx="7246620" cy="1974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-7049770</wp:posOffset>
            </wp:positionV>
            <wp:extent cx="7246620" cy="1028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-6844030</wp:posOffset>
            </wp:positionV>
            <wp:extent cx="7246620" cy="2832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-6466205</wp:posOffset>
            </wp:positionV>
            <wp:extent cx="7246620" cy="1974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-6166485</wp:posOffset>
            </wp:positionV>
            <wp:extent cx="7246620" cy="1028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-5960745</wp:posOffset>
            </wp:positionV>
            <wp:extent cx="7246620" cy="2228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-5634355</wp:posOffset>
            </wp:positionV>
            <wp:extent cx="7246620" cy="1028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-5428615</wp:posOffset>
            </wp:positionV>
            <wp:extent cx="7246620" cy="188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-5146040</wp:posOffset>
            </wp:positionV>
            <wp:extent cx="7246620" cy="1974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-4845685</wp:posOffset>
            </wp:positionV>
            <wp:extent cx="7246620" cy="1028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-4639945</wp:posOffset>
            </wp:positionV>
            <wp:extent cx="7246620"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-4356735</wp:posOffset>
            </wp:positionV>
            <wp:extent cx="7246620" cy="2146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-4048125</wp:posOffset>
            </wp:positionV>
            <wp:extent cx="7246620" cy="1974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-3747770</wp:posOffset>
            </wp:positionV>
            <wp:extent cx="7246620" cy="1028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-3542030</wp:posOffset>
            </wp:positionV>
            <wp:extent cx="7246620" cy="1974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-3241675</wp:posOffset>
            </wp:positionV>
            <wp:extent cx="7246620" cy="1028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-3035935</wp:posOffset>
            </wp:positionV>
            <wp:extent cx="7246620" cy="2146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-2727325</wp:posOffset>
            </wp:positionV>
            <wp:extent cx="7246620" cy="1974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-2426970</wp:posOffset>
            </wp:positionV>
            <wp:extent cx="7246620" cy="1028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-2221230</wp:posOffset>
            </wp:positionV>
            <wp:extent cx="7246620" cy="1974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-1921510</wp:posOffset>
            </wp:positionV>
            <wp:extent cx="7246620" cy="1028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-1715770</wp:posOffset>
            </wp:positionV>
            <wp:extent cx="7246620" cy="1974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-1415415</wp:posOffset>
            </wp:positionV>
            <wp:extent cx="7246620" cy="1028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-1209675</wp:posOffset>
            </wp:positionV>
            <wp:extent cx="7246620" cy="1974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-909320</wp:posOffset>
            </wp:positionV>
            <wp:extent cx="7246620" cy="1028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-703580</wp:posOffset>
            </wp:positionV>
            <wp:extent cx="7246620" cy="1974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-403225</wp:posOffset>
            </wp:positionV>
            <wp:extent cx="7246620" cy="1028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1974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1028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12,500</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12,500</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4.4%</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12,500</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12,500</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4.4%</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4"/>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15,860</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15,860</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5.5%</w:t>
            </w:r>
          </w:p>
        </w:tc>
      </w:tr>
      <w:tr>
        <w:trPr>
          <w:trHeight w:val="296"/>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1,575</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2,163</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0.9%</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17,435</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18,023</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6.4%</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42"/>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6,239</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6,239</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2.2%</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6,239</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6,239</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2.2%</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16,675</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16,490</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5.7%</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16,675</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16,490</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5.7%</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2,000</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2,000</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0.7%</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2,000</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2,000</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0.7%</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4,928</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4,928</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1.7%</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4,928</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4,928</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1.7%</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03"/>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7,348</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7,348</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2.6%</w:t>
            </w:r>
          </w:p>
        </w:tc>
      </w:tr>
      <w:tr>
        <w:trPr>
          <w:trHeight w:val="444"/>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11,584</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11,584</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4.0%</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18,932</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18,932</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6.6%</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93"/>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985</w:t>
            </w:r>
          </w:p>
        </w:tc>
        <w:tc>
          <w:tcPr>
            <w:tcW w:w="920" w:type="dxa"/>
            <w:vAlign w:val="bottom"/>
          </w:tcPr>
          <w:p>
            <w:pPr>
              <w:jc w:val="right"/>
              <w:spacing w:after="0"/>
              <w:rPr>
                <w:sz w:val="20"/>
                <w:szCs w:val="20"/>
                <w:color w:val="auto"/>
              </w:rPr>
            </w:pPr>
            <w:r>
              <w:rPr>
                <w:rFonts w:ascii="Arial" w:cs="Arial" w:eastAsia="Arial" w:hAnsi="Arial"/>
                <w:sz w:val="14"/>
                <w:szCs w:val="14"/>
                <w:color w:val="auto"/>
              </w:rPr>
              <w:t>985</w:t>
            </w:r>
          </w:p>
        </w:tc>
        <w:tc>
          <w:tcPr>
            <w:tcW w:w="20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0.3%</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985</w:t>
            </w:r>
          </w:p>
        </w:tc>
        <w:tc>
          <w:tcPr>
            <w:tcW w:w="920" w:type="dxa"/>
            <w:vAlign w:val="bottom"/>
          </w:tcPr>
          <w:p>
            <w:pPr>
              <w:jc w:val="right"/>
              <w:spacing w:after="0"/>
              <w:rPr>
                <w:sz w:val="20"/>
                <w:szCs w:val="20"/>
                <w:color w:val="auto"/>
              </w:rPr>
            </w:pPr>
            <w:r>
              <w:rPr>
                <w:rFonts w:ascii="Arial" w:cs="Arial" w:eastAsia="Arial" w:hAnsi="Arial"/>
                <w:sz w:val="14"/>
                <w:szCs w:val="14"/>
                <w:color w:val="auto"/>
              </w:rPr>
              <w:t>985</w:t>
            </w:r>
          </w:p>
        </w:tc>
        <w:tc>
          <w:tcPr>
            <w:tcW w:w="20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0.3%</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4"/>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2,000</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1,800</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0.6%</w:t>
            </w:r>
          </w:p>
        </w:tc>
      </w:tr>
      <w:tr>
        <w:trPr>
          <w:trHeight w:val="444"/>
        </w:trPr>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0.0%</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2,000</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1,800</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0.6%</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4"/>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14,550</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14,562</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5.1%</w:t>
            </w:r>
          </w:p>
        </w:tc>
      </w:tr>
      <w:tr>
        <w:trPr>
          <w:trHeight w:val="486"/>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3,023</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3,023</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1.1%</w:t>
            </w:r>
          </w:p>
        </w:tc>
      </w:tr>
      <w:tr>
        <w:trPr>
          <w:trHeight w:val="444"/>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22</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4,475</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1.6%</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17,595</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22,060</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7.8%</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5,035</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5,035</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1.9%</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5,035</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5,035</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1.9%</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95"/>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4,667</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4,667</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1.6%</w:t>
            </w:r>
          </w:p>
        </w:tc>
      </w:tr>
      <w:tr>
        <w:trPr>
          <w:trHeight w:val="444"/>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1,333</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8,275</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2.9%</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6,000</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12,942</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4.5%</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20,000</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20,000</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7.0%</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20,000</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20,000</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7.0%</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14,808</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14,700</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5.1%</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14,808</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14,700</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5.1%</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15,000</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15,000</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5.2%</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15,000</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15,000</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5.2%</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11,829</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12,005</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4.2%</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11,829</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12,005</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4.2%</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15,000</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12,750</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4.4%</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15,000</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12,750</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4.4%</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70" w:orient="portrait"/>
          <w:cols w:equalWidth="0" w:num="2">
            <w:col w:w="7900" w:space="220"/>
            <w:col w:w="3280"/>
          </w:cols>
          <w:pgMar w:left="240" w:top="257" w:right="259" w:bottom="0" w:gutter="0" w:footer="0" w:header="0"/>
        </w:sectPr>
      </w:pPr>
    </w:p>
    <w:bookmarkStart w:id="8" w:name="page9"/>
    <w:bookmarkEnd w:id="8"/>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2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Series C Preferred Stock (379</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Taylor Precision Products, Inc.</w:t>
            </w:r>
          </w:p>
        </w:tc>
        <w:tc>
          <w:tcPr>
            <w:tcW w:w="22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Household Product Manufacturer</w:t>
            </w:r>
          </w:p>
        </w:tc>
        <w:tc>
          <w:tcPr>
            <w:tcW w:w="2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shares)</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758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w:t>
            </w:r>
          </w:p>
        </w:tc>
        <w:tc>
          <w:tcPr>
            <w:tcW w:w="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758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w:t>
            </w: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2220" w:type="dxa"/>
            <w:vAlign w:val="bottom"/>
            <w:shd w:val="clear" w:color="auto" w:fill="CCEEFF"/>
          </w:tcPr>
          <w:p>
            <w:pPr>
              <w:ind w:left="100"/>
              <w:spacing w:after="0" w:line="140" w:lineRule="exact"/>
              <w:rPr>
                <w:sz w:val="20"/>
                <w:szCs w:val="20"/>
                <w:color w:val="auto"/>
              </w:rPr>
            </w:pPr>
            <w:r>
              <w:rPr>
                <w:rFonts w:ascii="Arial" w:cs="Arial" w:eastAsia="Arial" w:hAnsi="Arial"/>
                <w:sz w:val="14"/>
                <w:szCs w:val="14"/>
                <w:color w:val="auto"/>
              </w:rPr>
              <w:t>Senior Secured Term Debt (11%</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Tenere, Inc.</w:t>
            </w:r>
          </w:p>
        </w:tc>
        <w:tc>
          <w:tcPr>
            <w:tcW w:w="22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Industrial Manufacturing</w:t>
            </w:r>
          </w:p>
        </w:tc>
        <w:tc>
          <w:tcPr>
            <w:tcW w:w="2220" w:type="dxa"/>
            <w:vAlign w:val="bottom"/>
            <w:shd w:val="clear" w:color="auto" w:fill="CCEEFF"/>
          </w:tcPr>
          <w:p>
            <w:pPr>
              <w:ind w:left="100"/>
              <w:spacing w:after="0" w:line="211" w:lineRule="exact"/>
              <w:rPr>
                <w:sz w:val="20"/>
                <w:szCs w:val="20"/>
                <w:color w:val="auto"/>
              </w:rPr>
            </w:pPr>
            <w:r>
              <w:rPr>
                <w:rFonts w:ascii="Arial" w:cs="Arial" w:eastAsia="Arial" w:hAnsi="Arial"/>
                <w:sz w:val="14"/>
                <w:szCs w:val="14"/>
                <w:color w:val="auto"/>
              </w:rPr>
              <w:t xml:space="preserve">Cash, 2% PIK, Due 12/15/17) </w:t>
            </w:r>
            <w:r>
              <w:rPr>
                <w:rFonts w:ascii="Arial" w:cs="Arial" w:eastAsia="Arial" w:hAnsi="Arial"/>
                <w:sz w:val="23"/>
                <w:szCs w:val="23"/>
                <w:color w:val="auto"/>
                <w:vertAlign w:val="superscript"/>
              </w:rPr>
              <w:t>(9)</w:t>
            </w: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3,564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3,564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3,564</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3,564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3,564</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2220" w:type="dxa"/>
            <w:vAlign w:val="bottom"/>
            <w:shd w:val="clear" w:color="auto" w:fill="CCEEFF"/>
          </w:tcPr>
          <w:p>
            <w:pPr>
              <w:ind w:left="100"/>
              <w:spacing w:after="0" w:line="140" w:lineRule="exact"/>
              <w:rPr>
                <w:sz w:val="20"/>
                <w:szCs w:val="20"/>
                <w:color w:val="auto"/>
              </w:rPr>
            </w:pPr>
            <w:r>
              <w:rPr>
                <w:rFonts w:ascii="Arial" w:cs="Arial" w:eastAsia="Arial" w:hAnsi="Arial"/>
                <w:sz w:val="14"/>
                <w:szCs w:val="14"/>
                <w:color w:val="auto"/>
              </w:rPr>
              <w:t>Subordinated Debt (L+8% Cash,</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Team Health, Inc.</w:t>
            </w:r>
          </w:p>
        </w:tc>
        <w:tc>
          <w:tcPr>
            <w:tcW w:w="22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Healthcare</w:t>
            </w:r>
          </w:p>
        </w:tc>
        <w:tc>
          <w:tcPr>
            <w:tcW w:w="2220" w:type="dxa"/>
            <w:vAlign w:val="bottom"/>
            <w:shd w:val="clear" w:color="auto" w:fill="CCEEFF"/>
          </w:tcPr>
          <w:p>
            <w:pPr>
              <w:ind w:left="100"/>
              <w:spacing w:after="0" w:line="211" w:lineRule="exact"/>
              <w:rPr>
                <w:sz w:val="20"/>
                <w:szCs w:val="20"/>
                <w:color w:val="auto"/>
              </w:rPr>
            </w:pPr>
            <w:r>
              <w:rPr>
                <w:rFonts w:ascii="Arial" w:cs="Arial" w:eastAsia="Arial" w:hAnsi="Arial"/>
                <w:sz w:val="14"/>
                <w:szCs w:val="14"/>
                <w:color w:val="auto"/>
              </w:rPr>
              <w:t xml:space="preserve">Due 10/31/16) </w:t>
            </w:r>
            <w:r>
              <w:rPr>
                <w:rFonts w:ascii="Arial" w:cs="Arial" w:eastAsia="Arial" w:hAnsi="Arial"/>
                <w:sz w:val="23"/>
                <w:szCs w:val="23"/>
                <w:color w:val="auto"/>
                <w:vertAlign w:val="superscript"/>
              </w:rPr>
              <w:t>(11)</w:t>
            </w: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222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Senior Secured Debt (L+11.5%</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U.S. Well Services, LLC</w:t>
            </w:r>
          </w:p>
        </w:tc>
        <w:tc>
          <w:tcPr>
            <w:tcW w:w="22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Oil &amp; Gas Services</w:t>
            </w:r>
          </w:p>
        </w:tc>
        <w:tc>
          <w:tcPr>
            <w:tcW w:w="2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Cash, 0.5% Floor, Due 5/2/19)</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14,473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14,406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14,406</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14,406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14,406</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2220" w:type="dxa"/>
            <w:vAlign w:val="bottom"/>
            <w:shd w:val="clear" w:color="auto" w:fill="CCEEFF"/>
          </w:tcPr>
          <w:p>
            <w:pPr>
              <w:ind w:left="100"/>
              <w:spacing w:after="0" w:line="140" w:lineRule="exact"/>
              <w:rPr>
                <w:sz w:val="20"/>
                <w:szCs w:val="20"/>
                <w:color w:val="auto"/>
              </w:rPr>
            </w:pPr>
            <w:r>
              <w:rPr>
                <w:rFonts w:ascii="Arial" w:cs="Arial" w:eastAsia="Arial" w:hAnsi="Arial"/>
                <w:sz w:val="14"/>
                <w:szCs w:val="14"/>
                <w:color w:val="auto"/>
              </w:rPr>
              <w:t>Senior Secured Debt (15% Cash,</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w w:val="99"/>
              </w:rPr>
              <w:t>Velum Global Credit Management, LLC</w:t>
            </w:r>
          </w:p>
        </w:tc>
        <w:tc>
          <w:tcPr>
            <w:tcW w:w="22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Financial Services</w:t>
            </w:r>
          </w:p>
        </w:tc>
        <w:tc>
          <w:tcPr>
            <w:tcW w:w="2220" w:type="dxa"/>
            <w:vAlign w:val="bottom"/>
            <w:shd w:val="clear" w:color="auto" w:fill="CCEEFF"/>
          </w:tcPr>
          <w:p>
            <w:pPr>
              <w:ind w:left="100"/>
              <w:spacing w:after="0" w:line="211" w:lineRule="exact"/>
              <w:rPr>
                <w:sz w:val="20"/>
                <w:szCs w:val="20"/>
                <w:color w:val="auto"/>
              </w:rPr>
            </w:pPr>
            <w:r>
              <w:rPr>
                <w:rFonts w:ascii="Arial" w:cs="Arial" w:eastAsia="Arial" w:hAnsi="Arial"/>
                <w:sz w:val="14"/>
                <w:szCs w:val="14"/>
                <w:color w:val="auto"/>
              </w:rPr>
              <w:t xml:space="preserve">Due 12/31/15) </w:t>
            </w:r>
            <w:r>
              <w:rPr>
                <w:rFonts w:ascii="Arial" w:cs="Arial" w:eastAsia="Arial" w:hAnsi="Arial"/>
                <w:sz w:val="23"/>
                <w:szCs w:val="23"/>
                <w:color w:val="auto"/>
                <w:vertAlign w:val="superscript"/>
              </w:rPr>
              <w:t>(8)</w:t>
            </w: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8,300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8,300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8,300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8,300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222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Subordinated Debt (L+14% Cash,</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Vology, Inc.</w:t>
            </w:r>
          </w:p>
        </w:tc>
        <w:tc>
          <w:tcPr>
            <w:tcW w:w="22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Information Technology</w:t>
            </w:r>
          </w:p>
        </w:tc>
        <w:tc>
          <w:tcPr>
            <w:tcW w:w="2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1% Floor, Due 1/24/21)</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8,000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8,000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8,000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8,000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8,000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222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w w:val="97"/>
              </w:rPr>
              <w:t>Senior Secured Term Debt (12.4%</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Western Windows Systems, LLC</w:t>
            </w:r>
          </w:p>
        </w:tc>
        <w:tc>
          <w:tcPr>
            <w:tcW w:w="22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Building Products</w:t>
            </w:r>
          </w:p>
        </w:tc>
        <w:tc>
          <w:tcPr>
            <w:tcW w:w="2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Cash, Due 7/31/20)</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27,000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27,000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27,000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Western Windows Systems, LLC</w:t>
            </w:r>
          </w:p>
        </w:tc>
        <w:tc>
          <w:tcPr>
            <w:tcW w:w="22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Building Products</w:t>
            </w:r>
          </w:p>
        </w:tc>
        <w:tc>
          <w:tcPr>
            <w:tcW w:w="2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Common Equity (39,860 shares)</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3,000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3,000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30,000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30,000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46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Sub Total Non-control/Non-affiliated</w:t>
            </w:r>
          </w:p>
        </w:tc>
        <w:tc>
          <w:tcPr>
            <w:tcW w:w="2240" w:type="dxa"/>
            <w:vAlign w:val="bottom"/>
            <w:shd w:val="clear" w:color="auto" w:fill="CCEEFF"/>
          </w:tcPr>
          <w:p>
            <w:pPr>
              <w:spacing w:after="0"/>
              <w:rPr>
                <w:sz w:val="10"/>
                <w:szCs w:val="10"/>
                <w:color w:val="auto"/>
              </w:rPr>
            </w:pPr>
          </w:p>
        </w:tc>
        <w:tc>
          <w:tcPr>
            <w:tcW w:w="22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investments</w:t>
            </w:r>
          </w:p>
        </w:tc>
        <w:tc>
          <w:tcPr>
            <w:tcW w:w="224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359,556</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379,329</w:t>
            </w:r>
          </w:p>
        </w:tc>
        <w:tc>
          <w:tcPr>
            <w:tcW w:w="1060" w:type="dxa"/>
            <w:vAlign w:val="bottom"/>
            <w:gridSpan w:val="2"/>
            <w:shd w:val="clear" w:color="auto" w:fill="CCEEFF"/>
          </w:tcPr>
          <w:p>
            <w:pPr>
              <w:jc w:val="right"/>
              <w:ind w:right="20"/>
              <w:spacing w:after="0" w:line="199" w:lineRule="exact"/>
              <w:rPr>
                <w:sz w:val="20"/>
                <w:szCs w:val="20"/>
                <w:color w:val="auto"/>
              </w:rPr>
            </w:pPr>
            <w:r>
              <w:rPr>
                <w:rFonts w:ascii="Arial" w:cs="Arial" w:eastAsia="Arial" w:hAnsi="Arial"/>
                <w:sz w:val="12"/>
                <w:szCs w:val="12"/>
                <w:color w:val="auto"/>
              </w:rPr>
              <w:t>132.4</w:t>
            </w:r>
            <w:r>
              <w:rPr>
                <w:rFonts w:ascii="Arial" w:cs="Arial" w:eastAsia="Arial" w:hAnsi="Arial"/>
                <w:sz w:val="22"/>
                <w:szCs w:val="22"/>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46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Affiliate investments - 46.7%</w:t>
            </w:r>
          </w:p>
        </w:tc>
        <w:tc>
          <w:tcPr>
            <w:tcW w:w="224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222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Senior Subordinated Debt (14%</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Burgaflex Holdings, LLC</w:t>
            </w:r>
          </w:p>
        </w:tc>
        <w:tc>
          <w:tcPr>
            <w:tcW w:w="22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Automobile Part Manufacturer</w:t>
            </w:r>
          </w:p>
        </w:tc>
        <w:tc>
          <w:tcPr>
            <w:tcW w:w="2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Cash, due 8/9/2019)</w:t>
            </w:r>
          </w:p>
        </w:tc>
        <w:tc>
          <w:tcPr>
            <w:tcW w:w="3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3,000</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3,000</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3,000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222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Junior Subordinated Debt (12%</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Burgaflex Holdings, LLC</w:t>
            </w:r>
          </w:p>
        </w:tc>
        <w:tc>
          <w:tcPr>
            <w:tcW w:w="22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Automobile Part Manufacturer</w:t>
            </w:r>
          </w:p>
        </w:tc>
        <w:tc>
          <w:tcPr>
            <w:tcW w:w="2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Cash, due 8/9/2019)</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5,828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5,828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5,828</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Burgaflex Holdings, LLC</w:t>
            </w:r>
          </w:p>
        </w:tc>
        <w:tc>
          <w:tcPr>
            <w:tcW w:w="22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Automobile Part Manufacturer</w:t>
            </w:r>
          </w:p>
        </w:tc>
        <w:tc>
          <w:tcPr>
            <w:tcW w:w="2220" w:type="dxa"/>
            <w:vAlign w:val="bottom"/>
            <w:shd w:val="clear" w:color="auto" w:fill="CCEEFF"/>
          </w:tcPr>
          <w:p>
            <w:pPr>
              <w:ind w:left="100"/>
              <w:spacing w:after="0"/>
              <w:rPr>
                <w:sz w:val="20"/>
                <w:szCs w:val="20"/>
                <w:color w:val="auto"/>
              </w:rPr>
            </w:pPr>
            <w:r>
              <w:rPr>
                <w:rFonts w:ascii="Arial" w:cs="Arial" w:eastAsia="Arial" w:hAnsi="Arial"/>
                <w:sz w:val="14"/>
                <w:szCs w:val="14"/>
                <w:color w:val="auto"/>
                <w:w w:val="96"/>
              </w:rPr>
              <w:t>Common Stock (1,253,198 shares)</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1,504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3,950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10,332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12,778</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2220" w:type="dxa"/>
            <w:vAlign w:val="bottom"/>
            <w:shd w:val="clear" w:color="auto" w:fill="CCEEFF"/>
          </w:tcPr>
          <w:p>
            <w:pPr>
              <w:ind w:left="100"/>
              <w:spacing w:after="0" w:line="140" w:lineRule="exact"/>
              <w:rPr>
                <w:sz w:val="20"/>
                <w:szCs w:val="20"/>
                <w:color w:val="auto"/>
              </w:rPr>
            </w:pPr>
            <w:r>
              <w:rPr>
                <w:rFonts w:ascii="Arial" w:cs="Arial" w:eastAsia="Arial" w:hAnsi="Arial"/>
                <w:sz w:val="14"/>
                <w:szCs w:val="14"/>
                <w:color w:val="auto"/>
                <w:w w:val="94"/>
              </w:rPr>
              <w:t>Subordinated Debt (13% Cash, Due</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City Gear, LLC</w:t>
            </w:r>
          </w:p>
        </w:tc>
        <w:tc>
          <w:tcPr>
            <w:tcW w:w="22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Footwear Retail</w:t>
            </w:r>
          </w:p>
        </w:tc>
        <w:tc>
          <w:tcPr>
            <w:tcW w:w="2220" w:type="dxa"/>
            <w:vAlign w:val="bottom"/>
            <w:shd w:val="clear" w:color="auto" w:fill="CCEEFF"/>
          </w:tcPr>
          <w:p>
            <w:pPr>
              <w:ind w:left="100"/>
              <w:spacing w:after="0" w:line="198" w:lineRule="exact"/>
              <w:rPr>
                <w:sz w:val="20"/>
                <w:szCs w:val="20"/>
                <w:color w:val="auto"/>
              </w:rPr>
            </w:pPr>
            <w:r>
              <w:rPr>
                <w:rFonts w:ascii="Arial" w:cs="Arial" w:eastAsia="Arial" w:hAnsi="Arial"/>
                <w:sz w:val="14"/>
                <w:szCs w:val="14"/>
                <w:color w:val="auto"/>
              </w:rPr>
              <w:t xml:space="preserve">9/28/17) </w:t>
            </w:r>
            <w:r>
              <w:rPr>
                <w:rFonts w:ascii="Arial" w:cs="Arial" w:eastAsia="Arial" w:hAnsi="Arial"/>
                <w:sz w:val="22"/>
                <w:szCs w:val="22"/>
                <w:color w:val="auto"/>
                <w:vertAlign w:val="superscript"/>
              </w:rPr>
              <w:t>(1)</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8,231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8,231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8,231</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2220" w:type="dxa"/>
            <w:vAlign w:val="bottom"/>
            <w:shd w:val="clear" w:color="auto" w:fill="CCEEFF"/>
          </w:tcPr>
          <w:p>
            <w:pPr>
              <w:ind w:left="100"/>
              <w:spacing w:after="0" w:line="140" w:lineRule="exact"/>
              <w:rPr>
                <w:sz w:val="20"/>
                <w:szCs w:val="20"/>
                <w:color w:val="auto"/>
              </w:rPr>
            </w:pPr>
            <w:r>
              <w:rPr>
                <w:rFonts w:ascii="Arial" w:cs="Arial" w:eastAsia="Arial" w:hAnsi="Arial"/>
                <w:sz w:val="14"/>
                <w:szCs w:val="14"/>
                <w:color w:val="auto"/>
              </w:rPr>
              <w:t>Preferred Membership Units (9%</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City Gear, LLC</w:t>
            </w:r>
          </w:p>
        </w:tc>
        <w:tc>
          <w:tcPr>
            <w:tcW w:w="22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Footwear Retail</w:t>
            </w:r>
          </w:p>
        </w:tc>
        <w:tc>
          <w:tcPr>
            <w:tcW w:w="2220" w:type="dxa"/>
            <w:vAlign w:val="bottom"/>
            <w:shd w:val="clear" w:color="auto" w:fill="CCEEFF"/>
          </w:tcPr>
          <w:p>
            <w:pPr>
              <w:ind w:left="100"/>
              <w:spacing w:after="0" w:line="198" w:lineRule="exact"/>
              <w:rPr>
                <w:sz w:val="20"/>
                <w:szCs w:val="20"/>
                <w:color w:val="auto"/>
              </w:rPr>
            </w:pPr>
            <w:r>
              <w:rPr>
                <w:rFonts w:ascii="Arial" w:cs="Arial" w:eastAsia="Arial" w:hAnsi="Arial"/>
                <w:sz w:val="14"/>
                <w:szCs w:val="14"/>
                <w:color w:val="auto"/>
              </w:rPr>
              <w:t xml:space="preserve">Cash dividend) </w:t>
            </w:r>
            <w:r>
              <w:rPr>
                <w:rFonts w:ascii="Arial" w:cs="Arial" w:eastAsia="Arial" w:hAnsi="Arial"/>
                <w:sz w:val="22"/>
                <w:szCs w:val="22"/>
                <w:color w:val="auto"/>
                <w:vertAlign w:val="superscript"/>
              </w:rPr>
              <w:t>(6)</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1,269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1,269</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222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Membership Unit Warrants</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City Gear, LLC</w:t>
            </w:r>
          </w:p>
        </w:tc>
        <w:tc>
          <w:tcPr>
            <w:tcW w:w="22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Footwear Retail</w:t>
            </w:r>
          </w:p>
        </w:tc>
        <w:tc>
          <w:tcPr>
            <w:tcW w:w="2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(14.15% fully diluted)</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7,946</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9,500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17,446</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2220" w:type="dxa"/>
            <w:vAlign w:val="bottom"/>
            <w:shd w:val="clear" w:color="auto" w:fill="CCEEFF"/>
          </w:tcPr>
          <w:p>
            <w:pPr>
              <w:ind w:left="100"/>
              <w:spacing w:after="0" w:line="140" w:lineRule="exact"/>
              <w:rPr>
                <w:sz w:val="20"/>
                <w:szCs w:val="20"/>
                <w:color w:val="auto"/>
              </w:rPr>
            </w:pPr>
            <w:r>
              <w:rPr>
                <w:rFonts w:ascii="Arial" w:cs="Arial" w:eastAsia="Arial" w:hAnsi="Arial"/>
                <w:sz w:val="14"/>
                <w:szCs w:val="14"/>
                <w:color w:val="auto"/>
                <w:w w:val="99"/>
              </w:rPr>
              <w:t>Series A-1 Preferred Stock (1,998</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GA Communications, Inc.</w:t>
            </w:r>
          </w:p>
        </w:tc>
        <w:tc>
          <w:tcPr>
            <w:tcW w:w="22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Advertising &amp; Marketing Services</w:t>
            </w:r>
          </w:p>
        </w:tc>
        <w:tc>
          <w:tcPr>
            <w:tcW w:w="2220" w:type="dxa"/>
            <w:vAlign w:val="bottom"/>
            <w:shd w:val="clear" w:color="auto" w:fill="CCEEFF"/>
          </w:tcPr>
          <w:p>
            <w:pPr>
              <w:ind w:left="100"/>
              <w:spacing w:after="0" w:line="198" w:lineRule="exact"/>
              <w:rPr>
                <w:sz w:val="20"/>
                <w:szCs w:val="20"/>
                <w:color w:val="auto"/>
              </w:rPr>
            </w:pPr>
            <w:r>
              <w:rPr>
                <w:rFonts w:ascii="Arial" w:cs="Arial" w:eastAsia="Arial" w:hAnsi="Arial"/>
                <w:sz w:val="14"/>
                <w:szCs w:val="14"/>
                <w:color w:val="auto"/>
              </w:rPr>
              <w:t xml:space="preserve">shares, 8% PIK dividend) </w:t>
            </w:r>
            <w:r>
              <w:rPr>
                <w:rFonts w:ascii="Arial" w:cs="Arial" w:eastAsia="Arial" w:hAnsi="Arial"/>
                <w:sz w:val="22"/>
                <w:szCs w:val="22"/>
                <w:color w:val="auto"/>
                <w:vertAlign w:val="superscript"/>
              </w:rPr>
              <w:t>(6)</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2,357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2,659</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222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Series B-1 Common Stock</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GA Communications, Inc.</w:t>
            </w:r>
          </w:p>
        </w:tc>
        <w:tc>
          <w:tcPr>
            <w:tcW w:w="22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Advertising &amp; Marketing Services</w:t>
            </w:r>
          </w:p>
        </w:tc>
        <w:tc>
          <w:tcPr>
            <w:tcW w:w="2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(200,000 shares)</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1,161</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2,359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3,820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2220" w:type="dxa"/>
            <w:vAlign w:val="bottom"/>
            <w:shd w:val="clear" w:color="auto" w:fill="CCEEFF"/>
          </w:tcPr>
          <w:p>
            <w:pPr>
              <w:ind w:left="100"/>
              <w:spacing w:after="0" w:line="140" w:lineRule="exact"/>
              <w:rPr>
                <w:sz w:val="20"/>
                <w:szCs w:val="20"/>
                <w:color w:val="auto"/>
              </w:rPr>
            </w:pPr>
            <w:r>
              <w:rPr>
                <w:rFonts w:ascii="Arial" w:cs="Arial" w:eastAsia="Arial" w:hAnsi="Arial"/>
                <w:sz w:val="14"/>
                <w:szCs w:val="14"/>
                <w:color w:val="auto"/>
                <w:w w:val="94"/>
              </w:rPr>
              <w:t>Subordinated Debt (13% Cash, Due</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J&amp;J Produce Holdings, Inc.</w:t>
            </w:r>
          </w:p>
        </w:tc>
        <w:tc>
          <w:tcPr>
            <w:tcW w:w="22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Produce Distribution</w:t>
            </w:r>
          </w:p>
        </w:tc>
        <w:tc>
          <w:tcPr>
            <w:tcW w:w="2220" w:type="dxa"/>
            <w:vAlign w:val="bottom"/>
            <w:shd w:val="clear" w:color="auto" w:fill="CCEEFF"/>
          </w:tcPr>
          <w:p>
            <w:pPr>
              <w:ind w:left="100"/>
              <w:spacing w:after="0" w:line="198" w:lineRule="exact"/>
              <w:rPr>
                <w:sz w:val="20"/>
                <w:szCs w:val="20"/>
                <w:color w:val="auto"/>
              </w:rPr>
            </w:pPr>
            <w:r>
              <w:rPr>
                <w:rFonts w:ascii="Arial" w:cs="Arial" w:eastAsia="Arial" w:hAnsi="Arial"/>
                <w:sz w:val="14"/>
                <w:szCs w:val="14"/>
                <w:color w:val="auto"/>
              </w:rPr>
              <w:t xml:space="preserve">7/16/18) </w:t>
            </w:r>
            <w:r>
              <w:rPr>
                <w:rFonts w:ascii="Arial" w:cs="Arial" w:eastAsia="Arial" w:hAnsi="Arial"/>
                <w:sz w:val="22"/>
                <w:szCs w:val="22"/>
                <w:color w:val="auto"/>
                <w:vertAlign w:val="superscript"/>
              </w:rPr>
              <w:t>(14)</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5,557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5,557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5,557</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J&amp;J Produce Holdings, Inc.</w:t>
            </w:r>
          </w:p>
        </w:tc>
        <w:tc>
          <w:tcPr>
            <w:tcW w:w="22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Produce Distribution</w:t>
            </w:r>
          </w:p>
        </w:tc>
        <w:tc>
          <w:tcPr>
            <w:tcW w:w="22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Common Stock (8,182 shares)</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818</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222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Common Stock Warrants (4,506</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J&amp;J Produce Holdings, Inc.</w:t>
            </w:r>
          </w:p>
        </w:tc>
        <w:tc>
          <w:tcPr>
            <w:tcW w:w="22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Produce Distribution</w:t>
            </w:r>
          </w:p>
        </w:tc>
        <w:tc>
          <w:tcPr>
            <w:tcW w:w="2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shares)</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6,375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5,557</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LJS Partners, LLC</w:t>
            </w:r>
          </w:p>
        </w:tc>
        <w:tc>
          <w:tcPr>
            <w:tcW w:w="22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QSR Franchisor</w:t>
            </w:r>
          </w:p>
        </w:tc>
        <w:tc>
          <w:tcPr>
            <w:tcW w:w="2220" w:type="dxa"/>
            <w:vAlign w:val="bottom"/>
            <w:shd w:val="clear" w:color="auto" w:fill="CCEEFF"/>
          </w:tcPr>
          <w:p>
            <w:pPr>
              <w:ind w:left="100"/>
              <w:spacing w:after="0"/>
              <w:rPr>
                <w:sz w:val="20"/>
                <w:szCs w:val="20"/>
                <w:color w:val="auto"/>
              </w:rPr>
            </w:pPr>
            <w:r>
              <w:rPr>
                <w:rFonts w:ascii="Arial" w:cs="Arial" w:eastAsia="Arial" w:hAnsi="Arial"/>
                <w:sz w:val="14"/>
                <w:szCs w:val="14"/>
                <w:color w:val="auto"/>
                <w:w w:val="96"/>
              </w:rPr>
              <w:t>Common Stock (1,500,000 shares)</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1,525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3,248</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1,525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3,248</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222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Series A Preferred Units</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MJC Holdings, LLC</w:t>
            </w:r>
          </w:p>
        </w:tc>
        <w:tc>
          <w:tcPr>
            <w:tcW w:w="22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Specialty Clothing</w:t>
            </w:r>
          </w:p>
        </w:tc>
        <w:tc>
          <w:tcPr>
            <w:tcW w:w="2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(2,000,000 units)</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2,000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5,990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2,000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5,990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2220" w:type="dxa"/>
            <w:vAlign w:val="bottom"/>
            <w:shd w:val="clear" w:color="auto" w:fill="CCEEFF"/>
          </w:tcPr>
          <w:p>
            <w:pPr>
              <w:ind w:left="100"/>
              <w:spacing w:after="0" w:line="140" w:lineRule="exact"/>
              <w:rPr>
                <w:sz w:val="20"/>
                <w:szCs w:val="20"/>
                <w:color w:val="auto"/>
              </w:rPr>
            </w:pPr>
            <w:r>
              <w:rPr>
                <w:rFonts w:ascii="Arial" w:cs="Arial" w:eastAsia="Arial" w:hAnsi="Arial"/>
                <w:sz w:val="14"/>
                <w:szCs w:val="14"/>
                <w:color w:val="auto"/>
              </w:rPr>
              <w:t>Senior Secured Debt (12% Cash,</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MMI Holdings, LLC</w:t>
            </w:r>
          </w:p>
        </w:tc>
        <w:tc>
          <w:tcPr>
            <w:tcW w:w="22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Medical Device Distributor</w:t>
            </w:r>
          </w:p>
        </w:tc>
        <w:tc>
          <w:tcPr>
            <w:tcW w:w="2220" w:type="dxa"/>
            <w:vAlign w:val="bottom"/>
            <w:shd w:val="clear" w:color="auto" w:fill="CCEEFF"/>
          </w:tcPr>
          <w:p>
            <w:pPr>
              <w:ind w:left="100"/>
              <w:spacing w:after="0" w:line="198" w:lineRule="exact"/>
              <w:rPr>
                <w:sz w:val="20"/>
                <w:szCs w:val="20"/>
                <w:color w:val="auto"/>
              </w:rPr>
            </w:pPr>
            <w:r>
              <w:rPr>
                <w:rFonts w:ascii="Arial" w:cs="Arial" w:eastAsia="Arial" w:hAnsi="Arial"/>
                <w:sz w:val="14"/>
                <w:szCs w:val="14"/>
                <w:color w:val="auto"/>
              </w:rPr>
              <w:t xml:space="preserve">Due 1/31/17) </w:t>
            </w:r>
            <w:r>
              <w:rPr>
                <w:rFonts w:ascii="Arial" w:cs="Arial" w:eastAsia="Arial" w:hAnsi="Arial"/>
                <w:sz w:val="22"/>
                <w:szCs w:val="22"/>
                <w:color w:val="auto"/>
                <w:vertAlign w:val="superscript"/>
              </w:rPr>
              <w:t>(1)</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2,600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2,600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2,600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2220" w:type="dxa"/>
            <w:vAlign w:val="bottom"/>
            <w:shd w:val="clear" w:color="auto" w:fill="CCEEFF"/>
          </w:tcPr>
          <w:p>
            <w:pPr>
              <w:ind w:left="100"/>
              <w:spacing w:after="0" w:line="140" w:lineRule="exact"/>
              <w:rPr>
                <w:sz w:val="20"/>
                <w:szCs w:val="20"/>
                <w:color w:val="auto"/>
              </w:rPr>
            </w:pPr>
            <w:r>
              <w:rPr>
                <w:rFonts w:ascii="Arial" w:cs="Arial" w:eastAsia="Arial" w:hAnsi="Arial"/>
                <w:sz w:val="14"/>
                <w:szCs w:val="14"/>
                <w:color w:val="auto"/>
                <w:w w:val="97"/>
              </w:rPr>
              <w:t>Subordinated Debt (6% Cash, Due</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MMI Holdings, LLC</w:t>
            </w:r>
          </w:p>
        </w:tc>
        <w:tc>
          <w:tcPr>
            <w:tcW w:w="22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Medical Device Distributor</w:t>
            </w:r>
          </w:p>
        </w:tc>
        <w:tc>
          <w:tcPr>
            <w:tcW w:w="2220" w:type="dxa"/>
            <w:vAlign w:val="bottom"/>
            <w:shd w:val="clear" w:color="auto" w:fill="CCEEFF"/>
          </w:tcPr>
          <w:p>
            <w:pPr>
              <w:ind w:left="100"/>
              <w:spacing w:after="0" w:line="198" w:lineRule="exact"/>
              <w:rPr>
                <w:sz w:val="20"/>
                <w:szCs w:val="20"/>
                <w:color w:val="auto"/>
              </w:rPr>
            </w:pPr>
            <w:r>
              <w:rPr>
                <w:rFonts w:ascii="Arial" w:cs="Arial" w:eastAsia="Arial" w:hAnsi="Arial"/>
                <w:sz w:val="14"/>
                <w:szCs w:val="14"/>
                <w:color w:val="auto"/>
              </w:rPr>
              <w:t xml:space="preserve">1/31/17) </w:t>
            </w:r>
            <w:r>
              <w:rPr>
                <w:rFonts w:ascii="Arial" w:cs="Arial" w:eastAsia="Arial" w:hAnsi="Arial"/>
                <w:sz w:val="22"/>
                <w:szCs w:val="22"/>
                <w:color w:val="auto"/>
                <w:vertAlign w:val="superscript"/>
              </w:rPr>
              <w:t>(1)</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388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2220" w:type="dxa"/>
            <w:vAlign w:val="bottom"/>
            <w:shd w:val="clear" w:color="auto" w:fill="CCEEFF"/>
          </w:tcPr>
          <w:p>
            <w:pPr>
              <w:ind w:left="100"/>
              <w:spacing w:after="0" w:line="140" w:lineRule="exact"/>
              <w:rPr>
                <w:sz w:val="20"/>
                <w:szCs w:val="20"/>
                <w:color w:val="auto"/>
              </w:rPr>
            </w:pPr>
            <w:r>
              <w:rPr>
                <w:rFonts w:ascii="Arial" w:cs="Arial" w:eastAsia="Arial" w:hAnsi="Arial"/>
                <w:sz w:val="14"/>
                <w:szCs w:val="14"/>
                <w:color w:val="auto"/>
              </w:rPr>
              <w:t>Preferred Units (1,000 units, 6%</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MMI Holdings, LLC</w:t>
            </w:r>
          </w:p>
        </w:tc>
        <w:tc>
          <w:tcPr>
            <w:tcW w:w="22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Medical Device Distributor</w:t>
            </w:r>
          </w:p>
        </w:tc>
        <w:tc>
          <w:tcPr>
            <w:tcW w:w="2220" w:type="dxa"/>
            <w:vAlign w:val="bottom"/>
            <w:shd w:val="clear" w:color="auto" w:fill="CCEEFF"/>
          </w:tcPr>
          <w:p>
            <w:pPr>
              <w:ind w:left="100"/>
              <w:spacing w:after="0" w:line="198" w:lineRule="exact"/>
              <w:rPr>
                <w:sz w:val="20"/>
                <w:szCs w:val="20"/>
                <w:color w:val="auto"/>
              </w:rPr>
            </w:pPr>
            <w:r>
              <w:rPr>
                <w:rFonts w:ascii="Arial" w:cs="Arial" w:eastAsia="Arial" w:hAnsi="Arial"/>
                <w:sz w:val="14"/>
                <w:szCs w:val="14"/>
                <w:color w:val="auto"/>
              </w:rPr>
              <w:t xml:space="preserve">PIK dividend) </w:t>
            </w:r>
            <w:r>
              <w:rPr>
                <w:rFonts w:ascii="Arial" w:cs="Arial" w:eastAsia="Arial" w:hAnsi="Arial"/>
                <w:sz w:val="22"/>
                <w:szCs w:val="22"/>
                <w:color w:val="auto"/>
                <w:vertAlign w:val="superscript"/>
              </w:rPr>
              <w:t>(6)</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1,195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1,330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222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Common Membership Units (45</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MMI Holdings, LLC</w:t>
            </w:r>
          </w:p>
        </w:tc>
        <w:tc>
          <w:tcPr>
            <w:tcW w:w="22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Medical Device Distributor</w:t>
            </w:r>
          </w:p>
        </w:tc>
        <w:tc>
          <w:tcPr>
            <w:tcW w:w="2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units)</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w:t>
            </w:r>
          </w:p>
        </w:tc>
        <w:tc>
          <w:tcPr>
            <w:tcW w:w="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460" w:type="dxa"/>
            <w:vAlign w:val="bottom"/>
            <w:tcBorders>
              <w:bottom w:val="single" w:sz="8" w:color="CCEEFF"/>
            </w:tcBorders>
          </w:tcPr>
          <w:p>
            <w:pPr>
              <w:spacing w:after="0"/>
              <w:rPr>
                <w:sz w:val="15"/>
                <w:szCs w:val="15"/>
                <w:color w:val="auto"/>
              </w:rPr>
            </w:pPr>
          </w:p>
        </w:tc>
        <w:tc>
          <w:tcPr>
            <w:tcW w:w="2240" w:type="dxa"/>
            <w:vAlign w:val="bottom"/>
            <w:tcBorders>
              <w:bottom w:val="single" w:sz="8" w:color="CCEEFF"/>
            </w:tcBorders>
          </w:tcPr>
          <w:p>
            <w:pPr>
              <w:spacing w:after="0"/>
              <w:rPr>
                <w:sz w:val="15"/>
                <w:szCs w:val="15"/>
                <w:color w:val="auto"/>
              </w:rPr>
            </w:pPr>
          </w:p>
        </w:tc>
        <w:tc>
          <w:tcPr>
            <w:tcW w:w="222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CCEEFF"/>
            </w:tcBorders>
          </w:tcPr>
          <w:p>
            <w:pPr>
              <w:spacing w:after="0"/>
              <w:rPr>
                <w:sz w:val="15"/>
                <w:szCs w:val="15"/>
                <w:color w:val="auto"/>
              </w:rPr>
            </w:pPr>
          </w:p>
        </w:tc>
        <w:tc>
          <w:tcPr>
            <w:tcW w:w="640" w:type="dxa"/>
            <w:vAlign w:val="bottom"/>
            <w:tcBorders>
              <w:top w:val="single" w:sz="8" w:color="auto"/>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CCEEFF"/>
            </w:tcBorders>
          </w:tcPr>
          <w:p>
            <w:pPr>
              <w:spacing w:after="0"/>
              <w:rPr>
                <w:sz w:val="15"/>
                <w:szCs w:val="15"/>
                <w:color w:val="auto"/>
              </w:rPr>
            </w:pPr>
          </w:p>
        </w:tc>
        <w:tc>
          <w:tcPr>
            <w:tcW w:w="660" w:type="dxa"/>
            <w:vAlign w:val="bottom"/>
            <w:tcBorders>
              <w:top w:val="single" w:sz="8" w:color="auto"/>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920" w:type="dxa"/>
            <w:vAlign w:val="bottom"/>
            <w:tcBorders>
              <w:top w:val="single" w:sz="8" w:color="auto"/>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257" w:right="23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4,183</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4,611</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2280" w:type="dxa"/>
            <w:vAlign w:val="bottom"/>
            <w:shd w:val="clear" w:color="auto" w:fill="CCEEFF"/>
          </w:tcPr>
          <w:p>
            <w:pPr>
              <w:spacing w:after="0"/>
              <w:rPr>
                <w:sz w:val="11"/>
                <w:szCs w:val="11"/>
                <w:color w:val="auto"/>
              </w:rPr>
            </w:pPr>
          </w:p>
        </w:tc>
        <w:tc>
          <w:tcPr>
            <w:tcW w:w="24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Subordinated Debt (12% Cash, Due</w:t>
            </w:r>
          </w:p>
        </w:tc>
        <w:tc>
          <w:tcPr>
            <w:tcW w:w="9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MTI Holdings, LLC</w:t>
            </w:r>
          </w:p>
        </w:tc>
        <w:tc>
          <w:tcPr>
            <w:tcW w:w="228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8"/>
              </w:rPr>
              <w:t>Retail Display &amp; Security Services</w:t>
            </w:r>
          </w:p>
        </w:tc>
        <w:tc>
          <w:tcPr>
            <w:tcW w:w="2460" w:type="dxa"/>
            <w:vAlign w:val="bottom"/>
            <w:shd w:val="clear" w:color="auto" w:fill="CCEEFF"/>
          </w:tcPr>
          <w:p>
            <w:pPr>
              <w:ind w:left="80"/>
              <w:spacing w:after="0"/>
              <w:rPr>
                <w:sz w:val="20"/>
                <w:szCs w:val="20"/>
                <w:color w:val="auto"/>
              </w:rPr>
            </w:pPr>
            <w:r>
              <w:rPr>
                <w:rFonts w:ascii="Arial" w:cs="Arial" w:eastAsia="Arial" w:hAnsi="Arial"/>
                <w:sz w:val="14"/>
                <w:szCs w:val="14"/>
                <w:color w:val="auto"/>
              </w:rPr>
              <w:t>11/1/18)</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8,000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8,000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8,000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2280" w:type="dxa"/>
            <w:vAlign w:val="bottom"/>
            <w:shd w:val="clear" w:color="auto" w:fill="CCEEFF"/>
          </w:tcPr>
          <w:p>
            <w:pPr>
              <w:spacing w:after="0"/>
              <w:rPr>
                <w:sz w:val="11"/>
                <w:szCs w:val="11"/>
                <w:color w:val="auto"/>
              </w:rPr>
            </w:pPr>
          </w:p>
        </w:tc>
        <w:tc>
          <w:tcPr>
            <w:tcW w:w="24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Membership Units (2,000,000</w:t>
            </w:r>
          </w:p>
        </w:tc>
        <w:tc>
          <w:tcPr>
            <w:tcW w:w="9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MTI Holdings, LLC</w:t>
            </w:r>
          </w:p>
        </w:tc>
        <w:tc>
          <w:tcPr>
            <w:tcW w:w="228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8"/>
              </w:rPr>
              <w:t>Retail Display &amp; Security Services</w:t>
            </w:r>
          </w:p>
        </w:tc>
        <w:tc>
          <w:tcPr>
            <w:tcW w:w="2460" w:type="dxa"/>
            <w:vAlign w:val="bottom"/>
            <w:shd w:val="clear" w:color="auto" w:fill="CCEEFF"/>
          </w:tcPr>
          <w:p>
            <w:pPr>
              <w:ind w:left="80"/>
              <w:spacing w:after="0"/>
              <w:rPr>
                <w:sz w:val="20"/>
                <w:szCs w:val="20"/>
                <w:color w:val="auto"/>
              </w:rPr>
            </w:pPr>
            <w:r>
              <w:rPr>
                <w:rFonts w:ascii="Arial" w:cs="Arial" w:eastAsia="Arial" w:hAnsi="Arial"/>
                <w:sz w:val="14"/>
                <w:szCs w:val="14"/>
                <w:color w:val="auto"/>
              </w:rPr>
              <w:t>units)</w:t>
            </w:r>
          </w:p>
        </w:tc>
        <w:tc>
          <w:tcPr>
            <w:tcW w:w="9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2,000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8,311</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10,000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16,311</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2460" w:type="dxa"/>
            <w:vAlign w:val="bottom"/>
            <w:shd w:val="clear" w:color="auto" w:fill="CCEEFF"/>
          </w:tcPr>
          <w:p>
            <w:pPr>
              <w:ind w:left="80"/>
              <w:spacing w:after="0" w:line="140" w:lineRule="exact"/>
              <w:rPr>
                <w:sz w:val="20"/>
                <w:szCs w:val="20"/>
                <w:color w:val="auto"/>
              </w:rPr>
            </w:pPr>
            <w:r>
              <w:rPr>
                <w:rFonts w:ascii="Arial" w:cs="Arial" w:eastAsia="Arial" w:hAnsi="Arial"/>
                <w:sz w:val="14"/>
                <w:szCs w:val="14"/>
                <w:color w:val="auto"/>
              </w:rPr>
              <w:t>Senior Secured Term Debt (12%</w:t>
            </w:r>
          </w:p>
        </w:tc>
        <w:tc>
          <w:tcPr>
            <w:tcW w:w="9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4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2460" w:type="dxa"/>
            <w:vAlign w:val="bottom"/>
            <w:shd w:val="clear" w:color="auto" w:fill="CCEEFF"/>
          </w:tcPr>
          <w:p>
            <w:pPr>
              <w:ind w:left="80"/>
              <w:spacing w:after="0" w:line="189" w:lineRule="exact"/>
              <w:rPr>
                <w:sz w:val="20"/>
                <w:szCs w:val="20"/>
                <w:color w:val="auto"/>
              </w:rPr>
            </w:pPr>
            <w:r>
              <w:rPr>
                <w:rFonts w:ascii="Arial" w:cs="Arial" w:eastAsia="Arial" w:hAnsi="Arial"/>
                <w:sz w:val="13"/>
                <w:szCs w:val="13"/>
                <w:color w:val="auto"/>
              </w:rPr>
              <w:t xml:space="preserve">Cash, 3% PIK, Due 12/28/17) </w:t>
            </w:r>
            <w:r>
              <w:rPr>
                <w:rFonts w:ascii="Arial" w:cs="Arial" w:eastAsia="Arial" w:hAnsi="Arial"/>
                <w:sz w:val="21"/>
                <w:szCs w:val="21"/>
                <w:color w:val="auto"/>
                <w:vertAlign w:val="superscript"/>
              </w:rPr>
              <w:t>(3)</w:t>
            </w:r>
          </w:p>
        </w:tc>
        <w:tc>
          <w:tcPr>
            <w:tcW w:w="9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Source Capital ABUTEC, LLC</w:t>
            </w:r>
          </w:p>
        </w:tc>
        <w:tc>
          <w:tcPr>
            <w:tcW w:w="2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Oil &amp; Gas Services</w:t>
            </w:r>
          </w:p>
        </w:tc>
        <w:tc>
          <w:tcPr>
            <w:tcW w:w="2460" w:type="dxa"/>
            <w:vAlign w:val="bottom"/>
            <w:shd w:val="clear" w:color="auto" w:fill="CCEEFF"/>
          </w:tcPr>
          <w:p>
            <w:pPr>
              <w:ind w:left="80"/>
              <w:spacing w:after="0"/>
              <w:rPr>
                <w:sz w:val="20"/>
                <w:szCs w:val="20"/>
                <w:color w:val="auto"/>
              </w:rPr>
            </w:pPr>
            <w:r>
              <w:rPr>
                <w:rFonts w:ascii="Arial" w:cs="Arial" w:eastAsia="Arial" w:hAnsi="Arial"/>
                <w:sz w:val="12"/>
                <w:szCs w:val="12"/>
                <w:color w:val="auto"/>
              </w:rPr>
              <w:t>(13)</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5,487</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5,404</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3,841</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2280" w:type="dxa"/>
            <w:vAlign w:val="bottom"/>
            <w:shd w:val="clear" w:color="auto" w:fill="CCEEFF"/>
          </w:tcPr>
          <w:p>
            <w:pPr>
              <w:spacing w:after="0"/>
              <w:rPr>
                <w:sz w:val="11"/>
                <w:szCs w:val="11"/>
                <w:color w:val="auto"/>
              </w:rPr>
            </w:pPr>
          </w:p>
        </w:tc>
        <w:tc>
          <w:tcPr>
            <w:tcW w:w="24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Preferred Membership Units</w:t>
            </w:r>
          </w:p>
        </w:tc>
        <w:tc>
          <w:tcPr>
            <w:tcW w:w="9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Source Capital ABUTEC, LLC</w:t>
            </w:r>
          </w:p>
        </w:tc>
        <w:tc>
          <w:tcPr>
            <w:tcW w:w="2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Oil &amp; Gas Services</w:t>
            </w:r>
          </w:p>
        </w:tc>
        <w:tc>
          <w:tcPr>
            <w:tcW w:w="2460" w:type="dxa"/>
            <w:vAlign w:val="bottom"/>
            <w:shd w:val="clear" w:color="auto" w:fill="CCEEFF"/>
          </w:tcPr>
          <w:p>
            <w:pPr>
              <w:ind w:left="80"/>
              <w:spacing w:after="0"/>
              <w:rPr>
                <w:sz w:val="20"/>
                <w:szCs w:val="20"/>
                <w:color w:val="auto"/>
              </w:rPr>
            </w:pPr>
            <w:r>
              <w:rPr>
                <w:rFonts w:ascii="Arial" w:cs="Arial" w:eastAsia="Arial" w:hAnsi="Arial"/>
                <w:sz w:val="14"/>
                <w:szCs w:val="14"/>
                <w:color w:val="auto"/>
              </w:rPr>
              <w:t>(10.8% fully diluted)</w:t>
            </w:r>
          </w:p>
        </w:tc>
        <w:tc>
          <w:tcPr>
            <w:tcW w:w="9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1,240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6,644</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3,841</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228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Automotive Chemicals &amp;</w:t>
            </w:r>
          </w:p>
        </w:tc>
        <w:tc>
          <w:tcPr>
            <w:tcW w:w="24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Subordinated Debt (13% Cash, Due</w:t>
            </w:r>
          </w:p>
        </w:tc>
        <w:tc>
          <w:tcPr>
            <w:tcW w:w="9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Source Capital Penray, LLC</w:t>
            </w:r>
          </w:p>
        </w:tc>
        <w:tc>
          <w:tcPr>
            <w:tcW w:w="2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Lubricants</w:t>
            </w:r>
          </w:p>
        </w:tc>
        <w:tc>
          <w:tcPr>
            <w:tcW w:w="2460" w:type="dxa"/>
            <w:vAlign w:val="bottom"/>
            <w:shd w:val="clear" w:color="auto" w:fill="CCEEFF"/>
          </w:tcPr>
          <w:p>
            <w:pPr>
              <w:ind w:left="80"/>
              <w:spacing w:after="0"/>
              <w:rPr>
                <w:sz w:val="20"/>
                <w:szCs w:val="20"/>
                <w:color w:val="auto"/>
              </w:rPr>
            </w:pPr>
            <w:r>
              <w:rPr>
                <w:rFonts w:ascii="Arial" w:cs="Arial" w:eastAsia="Arial" w:hAnsi="Arial"/>
                <w:sz w:val="14"/>
                <w:szCs w:val="14"/>
                <w:color w:val="auto"/>
              </w:rPr>
              <w:t>2/17/17)</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2,500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2,500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2,500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228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Automotive Chemicals &amp;</w:t>
            </w:r>
          </w:p>
        </w:tc>
        <w:tc>
          <w:tcPr>
            <w:tcW w:w="24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Common Stock Warrants (6.65%</w:t>
            </w:r>
          </w:p>
        </w:tc>
        <w:tc>
          <w:tcPr>
            <w:tcW w:w="9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Source Capital Penray, LLC</w:t>
            </w:r>
          </w:p>
        </w:tc>
        <w:tc>
          <w:tcPr>
            <w:tcW w:w="2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Lubricants</w:t>
            </w:r>
          </w:p>
        </w:tc>
        <w:tc>
          <w:tcPr>
            <w:tcW w:w="2460" w:type="dxa"/>
            <w:vAlign w:val="bottom"/>
            <w:shd w:val="clear" w:color="auto" w:fill="CCEEFF"/>
          </w:tcPr>
          <w:p>
            <w:pPr>
              <w:ind w:left="80"/>
              <w:spacing w:after="0"/>
              <w:rPr>
                <w:sz w:val="20"/>
                <w:szCs w:val="20"/>
                <w:color w:val="auto"/>
              </w:rPr>
            </w:pPr>
            <w:r>
              <w:rPr>
                <w:rFonts w:ascii="Arial" w:cs="Arial" w:eastAsia="Arial" w:hAnsi="Arial"/>
                <w:sz w:val="14"/>
                <w:szCs w:val="14"/>
                <w:color w:val="auto"/>
              </w:rPr>
              <w:t>ownership)</w:t>
            </w:r>
          </w:p>
        </w:tc>
        <w:tc>
          <w:tcPr>
            <w:tcW w:w="9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868</w:t>
            </w: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228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Automotive Chemicals &amp;</w:t>
            </w:r>
          </w:p>
        </w:tc>
        <w:tc>
          <w:tcPr>
            <w:tcW w:w="24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Membership Units (11.3%</w:t>
            </w:r>
          </w:p>
        </w:tc>
        <w:tc>
          <w:tcPr>
            <w:tcW w:w="9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Source Capital Penray, LLC</w:t>
            </w:r>
          </w:p>
        </w:tc>
        <w:tc>
          <w:tcPr>
            <w:tcW w:w="2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Lubricants</w:t>
            </w:r>
          </w:p>
        </w:tc>
        <w:tc>
          <w:tcPr>
            <w:tcW w:w="2460" w:type="dxa"/>
            <w:vAlign w:val="bottom"/>
            <w:shd w:val="clear" w:color="auto" w:fill="CCEEFF"/>
          </w:tcPr>
          <w:p>
            <w:pPr>
              <w:ind w:left="80"/>
              <w:spacing w:after="0"/>
              <w:rPr>
                <w:sz w:val="20"/>
                <w:szCs w:val="20"/>
                <w:color w:val="auto"/>
              </w:rPr>
            </w:pPr>
            <w:r>
              <w:rPr>
                <w:rFonts w:ascii="Arial" w:cs="Arial" w:eastAsia="Arial" w:hAnsi="Arial"/>
                <w:sz w:val="14"/>
                <w:szCs w:val="14"/>
                <w:color w:val="auto"/>
              </w:rPr>
              <w:t>ownership)</w:t>
            </w:r>
          </w:p>
        </w:tc>
        <w:tc>
          <w:tcPr>
            <w:tcW w:w="9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750</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618</w:t>
            </w:r>
          </w:p>
        </w:tc>
        <w:tc>
          <w:tcPr>
            <w:tcW w:w="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3,250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3,986</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2460" w:type="dxa"/>
            <w:vAlign w:val="bottom"/>
            <w:shd w:val="clear" w:color="auto" w:fill="CCEEFF"/>
          </w:tcPr>
          <w:p>
            <w:pPr>
              <w:ind w:left="80"/>
              <w:spacing w:after="0" w:line="140" w:lineRule="exact"/>
              <w:rPr>
                <w:sz w:val="20"/>
                <w:szCs w:val="20"/>
                <w:color w:val="auto"/>
              </w:rPr>
            </w:pPr>
            <w:r>
              <w:rPr>
                <w:rFonts w:ascii="Arial" w:cs="Arial" w:eastAsia="Arial" w:hAnsi="Arial"/>
                <w:sz w:val="14"/>
                <w:szCs w:val="14"/>
                <w:color w:val="auto"/>
              </w:rPr>
              <w:t>Subordinated Debt (13% Cash, Due</w:t>
            </w:r>
          </w:p>
        </w:tc>
        <w:tc>
          <w:tcPr>
            <w:tcW w:w="9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Source Recycling, LLC</w:t>
            </w:r>
          </w:p>
        </w:tc>
        <w:tc>
          <w:tcPr>
            <w:tcW w:w="2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Scrap Metal Recycler</w:t>
            </w:r>
          </w:p>
        </w:tc>
        <w:tc>
          <w:tcPr>
            <w:tcW w:w="2460" w:type="dxa"/>
            <w:vAlign w:val="bottom"/>
            <w:shd w:val="clear" w:color="auto" w:fill="CCEEFF"/>
          </w:tcPr>
          <w:p>
            <w:pPr>
              <w:ind w:left="80"/>
              <w:spacing w:after="0" w:line="211" w:lineRule="exact"/>
              <w:rPr>
                <w:sz w:val="20"/>
                <w:szCs w:val="20"/>
                <w:color w:val="auto"/>
              </w:rPr>
            </w:pPr>
            <w:r>
              <w:rPr>
                <w:rFonts w:ascii="Arial" w:cs="Arial" w:eastAsia="Arial" w:hAnsi="Arial"/>
                <w:sz w:val="14"/>
                <w:szCs w:val="14"/>
                <w:color w:val="auto"/>
              </w:rPr>
              <w:t xml:space="preserve">9/2/16) </w:t>
            </w:r>
            <w:r>
              <w:rPr>
                <w:rFonts w:ascii="Arial" w:cs="Arial" w:eastAsia="Arial" w:hAnsi="Arial"/>
                <w:sz w:val="23"/>
                <w:szCs w:val="23"/>
                <w:color w:val="auto"/>
                <w:vertAlign w:val="superscript"/>
              </w:rPr>
              <w:t>(2)</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5,000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5,000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4,250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5,000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4,250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2280" w:type="dxa"/>
            <w:vAlign w:val="bottom"/>
            <w:shd w:val="clear" w:color="auto" w:fill="CCEEFF"/>
          </w:tcPr>
          <w:p>
            <w:pPr>
              <w:spacing w:after="0"/>
              <w:rPr>
                <w:sz w:val="11"/>
                <w:szCs w:val="11"/>
                <w:color w:val="auto"/>
              </w:rPr>
            </w:pPr>
          </w:p>
        </w:tc>
        <w:tc>
          <w:tcPr>
            <w:tcW w:w="24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Senior Secured Term Debt (12%</w:t>
            </w:r>
          </w:p>
        </w:tc>
        <w:tc>
          <w:tcPr>
            <w:tcW w:w="9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Sparus Holdings, Inc.</w:t>
            </w:r>
          </w:p>
        </w:tc>
        <w:tc>
          <w:tcPr>
            <w:tcW w:w="2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Energy Services</w:t>
            </w:r>
          </w:p>
        </w:tc>
        <w:tc>
          <w:tcPr>
            <w:tcW w:w="2460" w:type="dxa"/>
            <w:vAlign w:val="bottom"/>
            <w:shd w:val="clear" w:color="auto" w:fill="CCEEFF"/>
          </w:tcPr>
          <w:p>
            <w:pPr>
              <w:ind w:left="80"/>
              <w:spacing w:after="0"/>
              <w:rPr>
                <w:sz w:val="20"/>
                <w:szCs w:val="20"/>
                <w:color w:val="auto"/>
              </w:rPr>
            </w:pPr>
            <w:r>
              <w:rPr>
                <w:rFonts w:ascii="Arial" w:cs="Arial" w:eastAsia="Arial" w:hAnsi="Arial"/>
                <w:sz w:val="14"/>
                <w:szCs w:val="14"/>
                <w:color w:val="auto"/>
              </w:rPr>
              <w:t>Cash, 2% PIK, Due 3/21/16)</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5,111</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5,111</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5,111</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2460" w:type="dxa"/>
            <w:vAlign w:val="bottom"/>
            <w:shd w:val="clear" w:color="auto" w:fill="CCEEFF"/>
          </w:tcPr>
          <w:p>
            <w:pPr>
              <w:ind w:left="80"/>
              <w:spacing w:after="0" w:line="140" w:lineRule="exact"/>
              <w:rPr>
                <w:sz w:val="20"/>
                <w:szCs w:val="20"/>
                <w:color w:val="auto"/>
              </w:rPr>
            </w:pPr>
            <w:r>
              <w:rPr>
                <w:rFonts w:ascii="Arial" w:cs="Arial" w:eastAsia="Arial" w:hAnsi="Arial"/>
                <w:sz w:val="14"/>
                <w:szCs w:val="14"/>
                <w:color w:val="auto"/>
              </w:rPr>
              <w:t>Subordinated Debt (12% Cash, 2%</w:t>
            </w:r>
          </w:p>
        </w:tc>
        <w:tc>
          <w:tcPr>
            <w:tcW w:w="9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Sparus Holdings, Inc.</w:t>
            </w:r>
          </w:p>
        </w:tc>
        <w:tc>
          <w:tcPr>
            <w:tcW w:w="2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Energy Services</w:t>
            </w:r>
          </w:p>
        </w:tc>
        <w:tc>
          <w:tcPr>
            <w:tcW w:w="2460" w:type="dxa"/>
            <w:vAlign w:val="bottom"/>
            <w:shd w:val="clear" w:color="auto" w:fill="CCEEFF"/>
          </w:tcPr>
          <w:p>
            <w:pPr>
              <w:ind w:left="80"/>
              <w:spacing w:after="0" w:line="198" w:lineRule="exact"/>
              <w:rPr>
                <w:sz w:val="20"/>
                <w:szCs w:val="20"/>
                <w:color w:val="auto"/>
              </w:rPr>
            </w:pPr>
            <w:r>
              <w:rPr>
                <w:rFonts w:ascii="Arial" w:cs="Arial" w:eastAsia="Arial" w:hAnsi="Arial"/>
                <w:sz w:val="14"/>
                <w:szCs w:val="14"/>
                <w:color w:val="auto"/>
              </w:rPr>
              <w:t xml:space="preserve">PIK, Due 3/21/16) </w:t>
            </w:r>
            <w:r>
              <w:rPr>
                <w:rFonts w:ascii="Arial" w:cs="Arial" w:eastAsia="Arial" w:hAnsi="Arial"/>
                <w:sz w:val="22"/>
                <w:szCs w:val="22"/>
                <w:color w:val="auto"/>
                <w:vertAlign w:val="superscript"/>
              </w:rPr>
              <w:t>(3)</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8,314</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8,066</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5,889</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2280" w:type="dxa"/>
            <w:vAlign w:val="bottom"/>
            <w:shd w:val="clear" w:color="auto" w:fill="CCEEFF"/>
          </w:tcPr>
          <w:p>
            <w:pPr>
              <w:spacing w:after="0"/>
              <w:rPr>
                <w:sz w:val="11"/>
                <w:szCs w:val="11"/>
                <w:color w:val="auto"/>
              </w:rPr>
            </w:pPr>
          </w:p>
        </w:tc>
        <w:tc>
          <w:tcPr>
            <w:tcW w:w="24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Series B Preferred Stock (5,703</w:t>
            </w:r>
          </w:p>
        </w:tc>
        <w:tc>
          <w:tcPr>
            <w:tcW w:w="9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Sparus Holdings, Inc.</w:t>
            </w:r>
          </w:p>
        </w:tc>
        <w:tc>
          <w:tcPr>
            <w:tcW w:w="2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Energy Services</w:t>
            </w:r>
          </w:p>
        </w:tc>
        <w:tc>
          <w:tcPr>
            <w:tcW w:w="2460" w:type="dxa"/>
            <w:vAlign w:val="bottom"/>
            <w:shd w:val="clear" w:color="auto" w:fill="CCEEFF"/>
          </w:tcPr>
          <w:p>
            <w:pPr>
              <w:ind w:left="80"/>
              <w:spacing w:after="0"/>
              <w:rPr>
                <w:sz w:val="20"/>
                <w:szCs w:val="20"/>
                <w:color w:val="auto"/>
              </w:rPr>
            </w:pPr>
            <w:r>
              <w:rPr>
                <w:rFonts w:ascii="Arial" w:cs="Arial" w:eastAsia="Arial" w:hAnsi="Arial"/>
                <w:sz w:val="14"/>
                <w:szCs w:val="14"/>
                <w:color w:val="auto"/>
              </w:rPr>
              <w:t>shares)</w:t>
            </w:r>
          </w:p>
        </w:tc>
        <w:tc>
          <w:tcPr>
            <w:tcW w:w="9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1,173</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2280" w:type="dxa"/>
            <w:vAlign w:val="bottom"/>
            <w:shd w:val="clear" w:color="auto" w:fill="CCEEFF"/>
          </w:tcPr>
          <w:p>
            <w:pPr>
              <w:spacing w:after="0"/>
              <w:rPr>
                <w:sz w:val="11"/>
                <w:szCs w:val="11"/>
                <w:color w:val="auto"/>
              </w:rPr>
            </w:pPr>
          </w:p>
        </w:tc>
        <w:tc>
          <w:tcPr>
            <w:tcW w:w="24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Common Stock Warrants (3,491</w:t>
            </w:r>
          </w:p>
        </w:tc>
        <w:tc>
          <w:tcPr>
            <w:tcW w:w="9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Sparus Holdings, Inc.</w:t>
            </w:r>
          </w:p>
        </w:tc>
        <w:tc>
          <w:tcPr>
            <w:tcW w:w="2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Energy Services</w:t>
            </w:r>
          </w:p>
        </w:tc>
        <w:tc>
          <w:tcPr>
            <w:tcW w:w="2460" w:type="dxa"/>
            <w:vAlign w:val="bottom"/>
            <w:shd w:val="clear" w:color="auto" w:fill="CCEEFF"/>
          </w:tcPr>
          <w:p>
            <w:pPr>
              <w:ind w:left="80"/>
              <w:spacing w:after="0"/>
              <w:rPr>
                <w:sz w:val="20"/>
                <w:szCs w:val="20"/>
                <w:color w:val="auto"/>
              </w:rPr>
            </w:pPr>
            <w:r>
              <w:rPr>
                <w:rFonts w:ascii="Arial" w:cs="Arial" w:eastAsia="Arial" w:hAnsi="Arial"/>
                <w:sz w:val="14"/>
                <w:szCs w:val="14"/>
                <w:color w:val="auto"/>
              </w:rPr>
              <w:t>shares)</w:t>
            </w:r>
          </w:p>
        </w:tc>
        <w:tc>
          <w:tcPr>
            <w:tcW w:w="9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14,350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11,000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w w:val="98"/>
              </w:rPr>
              <w:t>STX Healthcare Management Services,</w:t>
            </w:r>
          </w:p>
        </w:tc>
        <w:tc>
          <w:tcPr>
            <w:tcW w:w="2280" w:type="dxa"/>
            <w:vAlign w:val="bottom"/>
            <w:shd w:val="clear" w:color="auto" w:fill="CCEEFF"/>
          </w:tcPr>
          <w:p>
            <w:pPr>
              <w:spacing w:after="0"/>
              <w:rPr>
                <w:sz w:val="14"/>
                <w:szCs w:val="14"/>
                <w:color w:val="auto"/>
              </w:rPr>
            </w:pPr>
          </w:p>
        </w:tc>
        <w:tc>
          <w:tcPr>
            <w:tcW w:w="2460" w:type="dxa"/>
            <w:vAlign w:val="bottom"/>
            <w:shd w:val="clear" w:color="auto" w:fill="CCEEFF"/>
          </w:tcPr>
          <w:p>
            <w:pPr>
              <w:ind w:left="80"/>
              <w:spacing w:after="0"/>
              <w:rPr>
                <w:sz w:val="20"/>
                <w:szCs w:val="20"/>
                <w:color w:val="auto"/>
              </w:rPr>
            </w:pPr>
            <w:r>
              <w:rPr>
                <w:rFonts w:ascii="Arial" w:cs="Arial" w:eastAsia="Arial" w:hAnsi="Arial"/>
                <w:sz w:val="14"/>
                <w:szCs w:val="14"/>
                <w:color w:val="auto"/>
              </w:rPr>
              <w:t>Subordinated Debt (12.5% Cash,</w:t>
            </w:r>
          </w:p>
        </w:tc>
        <w:tc>
          <w:tcPr>
            <w:tcW w:w="9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Inc.</w:t>
            </w:r>
          </w:p>
        </w:tc>
        <w:tc>
          <w:tcPr>
            <w:tcW w:w="2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Dental Practice Management</w:t>
            </w:r>
          </w:p>
        </w:tc>
        <w:tc>
          <w:tcPr>
            <w:tcW w:w="2460" w:type="dxa"/>
            <w:vAlign w:val="bottom"/>
            <w:shd w:val="clear" w:color="auto" w:fill="CCEEFF"/>
          </w:tcPr>
          <w:p>
            <w:pPr>
              <w:ind w:left="80"/>
              <w:spacing w:after="0" w:line="176" w:lineRule="exact"/>
              <w:rPr>
                <w:sz w:val="20"/>
                <w:szCs w:val="20"/>
                <w:color w:val="auto"/>
              </w:rPr>
            </w:pPr>
            <w:r>
              <w:rPr>
                <w:rFonts w:ascii="Arial" w:cs="Arial" w:eastAsia="Arial" w:hAnsi="Arial"/>
                <w:sz w:val="13"/>
                <w:szCs w:val="13"/>
                <w:color w:val="auto"/>
              </w:rPr>
              <w:t xml:space="preserve">Due 7/31/18) </w:t>
            </w:r>
            <w:r>
              <w:rPr>
                <w:rFonts w:ascii="Arial" w:cs="Arial" w:eastAsia="Arial" w:hAnsi="Arial"/>
                <w:sz w:val="20"/>
                <w:szCs w:val="20"/>
                <w:color w:val="auto"/>
                <w:vertAlign w:val="superscript"/>
              </w:rPr>
              <w:t>(1)</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6,425</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6,425</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6,425</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STX Healthcare Management Services,</w:t>
            </w:r>
          </w:p>
        </w:tc>
        <w:tc>
          <w:tcPr>
            <w:tcW w:w="228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Inc.</w:t>
            </w:r>
          </w:p>
        </w:tc>
        <w:tc>
          <w:tcPr>
            <w:tcW w:w="2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Dental Practice Management</w:t>
            </w:r>
          </w:p>
        </w:tc>
        <w:tc>
          <w:tcPr>
            <w:tcW w:w="246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Common Stock (1,200,000 shares)</w:t>
            </w:r>
          </w:p>
        </w:tc>
        <w:tc>
          <w:tcPr>
            <w:tcW w:w="9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1,200</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967</w:t>
            </w: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STX Healthcare Management Services,</w:t>
            </w:r>
          </w:p>
        </w:tc>
        <w:tc>
          <w:tcPr>
            <w:tcW w:w="2280" w:type="dxa"/>
            <w:vAlign w:val="bottom"/>
            <w:shd w:val="clear" w:color="auto" w:fill="CCEEFF"/>
          </w:tcPr>
          <w:p>
            <w:pPr>
              <w:spacing w:after="0"/>
              <w:rPr>
                <w:sz w:val="11"/>
                <w:szCs w:val="11"/>
                <w:color w:val="auto"/>
              </w:rPr>
            </w:pPr>
          </w:p>
        </w:tc>
        <w:tc>
          <w:tcPr>
            <w:tcW w:w="24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Common Stock Warrants</w:t>
            </w:r>
          </w:p>
        </w:tc>
        <w:tc>
          <w:tcPr>
            <w:tcW w:w="9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Inc.</w:t>
            </w:r>
          </w:p>
        </w:tc>
        <w:tc>
          <w:tcPr>
            <w:tcW w:w="2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Dental Practice Management</w:t>
            </w:r>
          </w:p>
        </w:tc>
        <w:tc>
          <w:tcPr>
            <w:tcW w:w="2460" w:type="dxa"/>
            <w:vAlign w:val="bottom"/>
            <w:shd w:val="clear" w:color="auto" w:fill="CCEEFF"/>
          </w:tcPr>
          <w:p>
            <w:pPr>
              <w:ind w:left="80"/>
              <w:spacing w:after="0"/>
              <w:rPr>
                <w:sz w:val="20"/>
                <w:szCs w:val="20"/>
                <w:color w:val="auto"/>
              </w:rPr>
            </w:pPr>
            <w:r>
              <w:rPr>
                <w:rFonts w:ascii="Arial" w:cs="Arial" w:eastAsia="Arial" w:hAnsi="Arial"/>
                <w:sz w:val="14"/>
                <w:szCs w:val="14"/>
                <w:color w:val="auto"/>
              </w:rPr>
              <w:t>(1,154,254 shares)</w:t>
            </w:r>
          </w:p>
        </w:tc>
        <w:tc>
          <w:tcPr>
            <w:tcW w:w="9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218</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931</w:t>
            </w:r>
          </w:p>
        </w:tc>
        <w:tc>
          <w:tcPr>
            <w:tcW w:w="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7,843</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8,323</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2280" w:type="dxa"/>
            <w:vAlign w:val="bottom"/>
            <w:shd w:val="clear" w:color="auto" w:fill="CCEEFF"/>
          </w:tcPr>
          <w:p>
            <w:pPr>
              <w:spacing w:after="0"/>
              <w:rPr>
                <w:sz w:val="11"/>
                <w:szCs w:val="11"/>
                <w:color w:val="auto"/>
              </w:rPr>
            </w:pPr>
          </w:p>
        </w:tc>
        <w:tc>
          <w:tcPr>
            <w:tcW w:w="24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Subordinated Debt (12% Cash, 2%</w:t>
            </w:r>
          </w:p>
        </w:tc>
        <w:tc>
          <w:tcPr>
            <w:tcW w:w="9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TCE Holdings, Inc.</w:t>
            </w:r>
          </w:p>
        </w:tc>
        <w:tc>
          <w:tcPr>
            <w:tcW w:w="2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Oil &amp; Gas Services</w:t>
            </w:r>
          </w:p>
        </w:tc>
        <w:tc>
          <w:tcPr>
            <w:tcW w:w="2460" w:type="dxa"/>
            <w:vAlign w:val="bottom"/>
            <w:shd w:val="clear" w:color="auto" w:fill="CCEEFF"/>
          </w:tcPr>
          <w:p>
            <w:pPr>
              <w:ind w:left="80"/>
              <w:spacing w:after="0"/>
              <w:rPr>
                <w:sz w:val="20"/>
                <w:szCs w:val="20"/>
                <w:color w:val="auto"/>
              </w:rPr>
            </w:pPr>
            <w:r>
              <w:rPr>
                <w:rFonts w:ascii="Arial" w:cs="Arial" w:eastAsia="Arial" w:hAnsi="Arial"/>
                <w:sz w:val="14"/>
                <w:szCs w:val="14"/>
                <w:color w:val="auto"/>
              </w:rPr>
              <w:t>PIK, Due 2/1/19)</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13,649</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13,649</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12,967</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2280" w:type="dxa"/>
            <w:vAlign w:val="bottom"/>
            <w:shd w:val="clear" w:color="auto" w:fill="CCEEFF"/>
          </w:tcPr>
          <w:p>
            <w:pPr>
              <w:spacing w:after="0"/>
              <w:rPr>
                <w:sz w:val="11"/>
                <w:szCs w:val="11"/>
                <w:color w:val="auto"/>
              </w:rPr>
            </w:pPr>
          </w:p>
        </w:tc>
        <w:tc>
          <w:tcPr>
            <w:tcW w:w="24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Subordinated Debt (12% Cash, 2%</w:t>
            </w:r>
          </w:p>
        </w:tc>
        <w:tc>
          <w:tcPr>
            <w:tcW w:w="9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TCE Holdings, Inc.</w:t>
            </w:r>
          </w:p>
        </w:tc>
        <w:tc>
          <w:tcPr>
            <w:tcW w:w="2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Oil &amp; Gas Services</w:t>
            </w:r>
          </w:p>
        </w:tc>
        <w:tc>
          <w:tcPr>
            <w:tcW w:w="2460" w:type="dxa"/>
            <w:vAlign w:val="bottom"/>
            <w:shd w:val="clear" w:color="auto" w:fill="CCEEFF"/>
          </w:tcPr>
          <w:p>
            <w:pPr>
              <w:ind w:left="80"/>
              <w:spacing w:after="0"/>
              <w:rPr>
                <w:sz w:val="20"/>
                <w:szCs w:val="20"/>
                <w:color w:val="auto"/>
              </w:rPr>
            </w:pPr>
            <w:r>
              <w:rPr>
                <w:rFonts w:ascii="Arial" w:cs="Arial" w:eastAsia="Arial" w:hAnsi="Arial"/>
                <w:sz w:val="14"/>
                <w:szCs w:val="14"/>
                <w:color w:val="auto"/>
              </w:rPr>
              <w:t>PIK, Due 2/1/19)</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10,877</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10,877</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10,333</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2280" w:type="dxa"/>
            <w:vAlign w:val="bottom"/>
            <w:shd w:val="clear" w:color="auto" w:fill="CCEEFF"/>
          </w:tcPr>
          <w:p>
            <w:pPr>
              <w:spacing w:after="0"/>
              <w:rPr>
                <w:sz w:val="11"/>
                <w:szCs w:val="11"/>
                <w:color w:val="auto"/>
              </w:rPr>
            </w:pPr>
          </w:p>
        </w:tc>
        <w:tc>
          <w:tcPr>
            <w:tcW w:w="24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Class A Common Stock (3,600</w:t>
            </w:r>
          </w:p>
        </w:tc>
        <w:tc>
          <w:tcPr>
            <w:tcW w:w="9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TCE Holdings, Inc.</w:t>
            </w:r>
          </w:p>
        </w:tc>
        <w:tc>
          <w:tcPr>
            <w:tcW w:w="2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Oil &amp; Gas Services</w:t>
            </w:r>
          </w:p>
        </w:tc>
        <w:tc>
          <w:tcPr>
            <w:tcW w:w="2460" w:type="dxa"/>
            <w:vAlign w:val="bottom"/>
            <w:shd w:val="clear" w:color="auto" w:fill="CCEEFF"/>
          </w:tcPr>
          <w:p>
            <w:pPr>
              <w:ind w:left="80"/>
              <w:spacing w:after="0"/>
              <w:rPr>
                <w:sz w:val="20"/>
                <w:szCs w:val="20"/>
                <w:color w:val="auto"/>
              </w:rPr>
            </w:pPr>
            <w:r>
              <w:rPr>
                <w:rFonts w:ascii="Arial" w:cs="Arial" w:eastAsia="Arial" w:hAnsi="Arial"/>
                <w:sz w:val="14"/>
                <w:szCs w:val="14"/>
                <w:color w:val="auto"/>
              </w:rPr>
              <w:t>shares)</w:t>
            </w:r>
          </w:p>
        </w:tc>
        <w:tc>
          <w:tcPr>
            <w:tcW w:w="9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3,600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28,126</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23,300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228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Data Processing &amp; Digital</w:t>
            </w:r>
          </w:p>
        </w:tc>
        <w:tc>
          <w:tcPr>
            <w:tcW w:w="24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Senior Secured Term Debt (15%</w:t>
            </w:r>
          </w:p>
        </w:tc>
        <w:tc>
          <w:tcPr>
            <w:tcW w:w="9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V12 Holdings, Inc.</w:t>
            </w:r>
          </w:p>
        </w:tc>
        <w:tc>
          <w:tcPr>
            <w:tcW w:w="2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Marketing</w:t>
            </w:r>
          </w:p>
        </w:tc>
        <w:tc>
          <w:tcPr>
            <w:tcW w:w="2460" w:type="dxa"/>
            <w:vAlign w:val="bottom"/>
            <w:shd w:val="clear" w:color="auto" w:fill="CCEEFF"/>
          </w:tcPr>
          <w:p>
            <w:pPr>
              <w:ind w:left="80"/>
              <w:spacing w:after="0"/>
              <w:rPr>
                <w:sz w:val="20"/>
                <w:szCs w:val="20"/>
                <w:color w:val="auto"/>
              </w:rPr>
            </w:pPr>
            <w:r>
              <w:rPr>
                <w:rFonts w:ascii="Arial" w:cs="Arial" w:eastAsia="Arial" w:hAnsi="Arial"/>
                <w:sz w:val="14"/>
                <w:szCs w:val="14"/>
                <w:color w:val="auto"/>
              </w:rPr>
              <w:t>PIK, Due 11/26/16)</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454</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454</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1,060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Data Processing &amp; Digital</w:t>
            </w:r>
          </w:p>
        </w:tc>
        <w:tc>
          <w:tcPr>
            <w:tcW w:w="2460" w:type="dxa"/>
            <w:vAlign w:val="bottom"/>
            <w:shd w:val="clear" w:color="auto" w:fill="CCEEFF"/>
          </w:tcPr>
          <w:p>
            <w:pPr>
              <w:ind w:left="80"/>
              <w:spacing w:after="0"/>
              <w:rPr>
                <w:sz w:val="20"/>
                <w:szCs w:val="20"/>
                <w:color w:val="auto"/>
              </w:rPr>
            </w:pPr>
            <w:r>
              <w:rPr>
                <w:rFonts w:ascii="Arial" w:cs="Arial" w:eastAsia="Arial" w:hAnsi="Arial"/>
                <w:sz w:val="14"/>
                <w:szCs w:val="14"/>
                <w:color w:val="auto"/>
              </w:rPr>
              <w:t>Bridge Note (0% Cash, Due</w:t>
            </w:r>
          </w:p>
        </w:tc>
        <w:tc>
          <w:tcPr>
            <w:tcW w:w="9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V12 Holdings, Inc.</w:t>
            </w:r>
          </w:p>
        </w:tc>
        <w:tc>
          <w:tcPr>
            <w:tcW w:w="2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Marketing</w:t>
            </w:r>
          </w:p>
        </w:tc>
        <w:tc>
          <w:tcPr>
            <w:tcW w:w="2460" w:type="dxa"/>
            <w:vAlign w:val="bottom"/>
            <w:shd w:val="clear" w:color="auto" w:fill="CCEEFF"/>
          </w:tcPr>
          <w:p>
            <w:pPr>
              <w:ind w:left="80"/>
              <w:spacing w:after="0" w:line="176" w:lineRule="exact"/>
              <w:rPr>
                <w:sz w:val="20"/>
                <w:szCs w:val="20"/>
                <w:color w:val="auto"/>
              </w:rPr>
            </w:pPr>
            <w:r>
              <w:rPr>
                <w:rFonts w:ascii="Arial" w:cs="Arial" w:eastAsia="Arial" w:hAnsi="Arial"/>
                <w:sz w:val="13"/>
                <w:szCs w:val="13"/>
                <w:color w:val="auto"/>
              </w:rPr>
              <w:t xml:space="preserve">11/26/16) </w:t>
            </w:r>
            <w:r>
              <w:rPr>
                <w:rFonts w:ascii="Arial" w:cs="Arial" w:eastAsia="Arial" w:hAnsi="Arial"/>
                <w:sz w:val="20"/>
                <w:szCs w:val="20"/>
                <w:color w:val="auto"/>
                <w:vertAlign w:val="superscript"/>
              </w:rPr>
              <w:t>(1)</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663</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361</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663</w:t>
            </w:r>
          </w:p>
        </w:tc>
        <w:tc>
          <w:tcPr>
            <w:tcW w:w="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Data Processing &amp; Digital</w:t>
            </w:r>
          </w:p>
        </w:tc>
        <w:tc>
          <w:tcPr>
            <w:tcW w:w="2460" w:type="dxa"/>
            <w:vAlign w:val="bottom"/>
            <w:shd w:val="clear" w:color="auto" w:fill="CCEEFF"/>
          </w:tcPr>
          <w:p>
            <w:pPr>
              <w:ind w:left="80"/>
              <w:spacing w:after="0"/>
              <w:rPr>
                <w:sz w:val="20"/>
                <w:szCs w:val="20"/>
                <w:color w:val="auto"/>
              </w:rPr>
            </w:pPr>
            <w:r>
              <w:rPr>
                <w:rFonts w:ascii="Arial" w:cs="Arial" w:eastAsia="Arial" w:hAnsi="Arial"/>
                <w:sz w:val="14"/>
                <w:szCs w:val="14"/>
                <w:color w:val="auto"/>
              </w:rPr>
              <w:t>Tier 2 Note (0% Cash, Due</w:t>
            </w:r>
          </w:p>
        </w:tc>
        <w:tc>
          <w:tcPr>
            <w:tcW w:w="9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V12 Holdings, Inc.</w:t>
            </w:r>
          </w:p>
        </w:tc>
        <w:tc>
          <w:tcPr>
            <w:tcW w:w="2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Marketing</w:t>
            </w:r>
          </w:p>
        </w:tc>
        <w:tc>
          <w:tcPr>
            <w:tcW w:w="2460" w:type="dxa"/>
            <w:vAlign w:val="bottom"/>
            <w:shd w:val="clear" w:color="auto" w:fill="CCEEFF"/>
          </w:tcPr>
          <w:p>
            <w:pPr>
              <w:ind w:left="80"/>
              <w:spacing w:after="0" w:line="176" w:lineRule="exact"/>
              <w:rPr>
                <w:sz w:val="20"/>
                <w:szCs w:val="20"/>
                <w:color w:val="auto"/>
              </w:rPr>
            </w:pPr>
            <w:r>
              <w:rPr>
                <w:rFonts w:ascii="Arial" w:cs="Arial" w:eastAsia="Arial" w:hAnsi="Arial"/>
                <w:sz w:val="13"/>
                <w:szCs w:val="13"/>
                <w:color w:val="auto"/>
              </w:rPr>
              <w:t xml:space="preserve">11/26/16) </w:t>
            </w:r>
            <w:r>
              <w:rPr>
                <w:rFonts w:ascii="Arial" w:cs="Arial" w:eastAsia="Arial" w:hAnsi="Arial"/>
                <w:sz w:val="20"/>
                <w:szCs w:val="20"/>
                <w:color w:val="auto"/>
                <w:vertAlign w:val="superscript"/>
              </w:rPr>
              <w:t>(1)</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81</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44</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Data Processing &amp; Digital</w:t>
            </w:r>
          </w:p>
        </w:tc>
        <w:tc>
          <w:tcPr>
            <w:tcW w:w="2460" w:type="dxa"/>
            <w:vAlign w:val="bottom"/>
            <w:shd w:val="clear" w:color="auto" w:fill="CCEEFF"/>
          </w:tcPr>
          <w:p>
            <w:pPr>
              <w:ind w:left="80"/>
              <w:spacing w:after="0"/>
              <w:rPr>
                <w:sz w:val="20"/>
                <w:szCs w:val="20"/>
                <w:color w:val="auto"/>
              </w:rPr>
            </w:pPr>
            <w:r>
              <w:rPr>
                <w:rFonts w:ascii="Arial" w:cs="Arial" w:eastAsia="Arial" w:hAnsi="Arial"/>
                <w:sz w:val="14"/>
                <w:szCs w:val="14"/>
                <w:color w:val="auto"/>
              </w:rPr>
              <w:t>Senior Subordinated Note (0%</w:t>
            </w:r>
          </w:p>
        </w:tc>
        <w:tc>
          <w:tcPr>
            <w:tcW w:w="9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V12 Holdings, Inc.</w:t>
            </w:r>
          </w:p>
        </w:tc>
        <w:tc>
          <w:tcPr>
            <w:tcW w:w="2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Marketing</w:t>
            </w:r>
          </w:p>
        </w:tc>
        <w:tc>
          <w:tcPr>
            <w:tcW w:w="2460" w:type="dxa"/>
            <w:vAlign w:val="bottom"/>
            <w:shd w:val="clear" w:color="auto" w:fill="CCEEFF"/>
          </w:tcPr>
          <w:p>
            <w:pPr>
              <w:ind w:left="80"/>
              <w:spacing w:after="0" w:line="176" w:lineRule="exact"/>
              <w:rPr>
                <w:sz w:val="20"/>
                <w:szCs w:val="20"/>
                <w:color w:val="auto"/>
              </w:rPr>
            </w:pPr>
            <w:r>
              <w:rPr>
                <w:rFonts w:ascii="Arial" w:cs="Arial" w:eastAsia="Arial" w:hAnsi="Arial"/>
                <w:sz w:val="13"/>
                <w:szCs w:val="13"/>
                <w:color w:val="auto"/>
              </w:rPr>
              <w:t xml:space="preserve">Cash, Due 11/26/16) </w:t>
            </w:r>
            <w:r>
              <w:rPr>
                <w:rFonts w:ascii="Arial" w:cs="Arial" w:eastAsia="Arial" w:hAnsi="Arial"/>
                <w:sz w:val="20"/>
                <w:szCs w:val="20"/>
                <w:color w:val="auto"/>
                <w:vertAlign w:val="superscript"/>
              </w:rPr>
              <w:t>(1)</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3,563</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2,369</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3,640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Data Processing &amp; Digital</w:t>
            </w:r>
          </w:p>
        </w:tc>
        <w:tc>
          <w:tcPr>
            <w:tcW w:w="2460" w:type="dxa"/>
            <w:vAlign w:val="bottom"/>
            <w:shd w:val="clear" w:color="auto" w:fill="CCEEFF"/>
          </w:tcPr>
          <w:p>
            <w:pPr>
              <w:ind w:left="80"/>
              <w:spacing w:after="0"/>
              <w:rPr>
                <w:sz w:val="20"/>
                <w:szCs w:val="20"/>
                <w:color w:val="auto"/>
              </w:rPr>
            </w:pPr>
            <w:r>
              <w:rPr>
                <w:rFonts w:ascii="Arial" w:cs="Arial" w:eastAsia="Arial" w:hAnsi="Arial"/>
                <w:sz w:val="14"/>
                <w:szCs w:val="14"/>
                <w:color w:val="auto"/>
              </w:rPr>
              <w:t>Tier 3 Note (0% Cash, Due</w:t>
            </w:r>
          </w:p>
        </w:tc>
        <w:tc>
          <w:tcPr>
            <w:tcW w:w="9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V12 Holdings, Inc.</w:t>
            </w:r>
          </w:p>
        </w:tc>
        <w:tc>
          <w:tcPr>
            <w:tcW w:w="2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Marketing</w:t>
            </w:r>
          </w:p>
        </w:tc>
        <w:tc>
          <w:tcPr>
            <w:tcW w:w="2460" w:type="dxa"/>
            <w:vAlign w:val="bottom"/>
            <w:shd w:val="clear" w:color="auto" w:fill="CCEEFF"/>
          </w:tcPr>
          <w:p>
            <w:pPr>
              <w:ind w:left="80"/>
              <w:spacing w:after="0" w:line="176" w:lineRule="exact"/>
              <w:rPr>
                <w:sz w:val="20"/>
                <w:szCs w:val="20"/>
                <w:color w:val="auto"/>
              </w:rPr>
            </w:pPr>
            <w:r>
              <w:rPr>
                <w:rFonts w:ascii="Arial" w:cs="Arial" w:eastAsia="Arial" w:hAnsi="Arial"/>
                <w:sz w:val="13"/>
                <w:szCs w:val="13"/>
                <w:color w:val="auto"/>
              </w:rPr>
              <w:t xml:space="preserve">11/26/16) </w:t>
            </w:r>
            <w:r>
              <w:rPr>
                <w:rFonts w:ascii="Arial" w:cs="Arial" w:eastAsia="Arial" w:hAnsi="Arial"/>
                <w:sz w:val="20"/>
                <w:szCs w:val="20"/>
                <w:color w:val="auto"/>
                <w:vertAlign w:val="superscript"/>
              </w:rPr>
              <w:t>(1)</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299</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207</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w:t>
            </w:r>
          </w:p>
        </w:tc>
        <w:tc>
          <w:tcPr>
            <w:tcW w:w="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Data Processing &amp; Digital</w:t>
            </w:r>
          </w:p>
        </w:tc>
        <w:tc>
          <w:tcPr>
            <w:tcW w:w="2460" w:type="dxa"/>
            <w:vAlign w:val="bottom"/>
            <w:shd w:val="clear" w:color="auto" w:fill="CCEEFF"/>
          </w:tcPr>
          <w:p>
            <w:pPr>
              <w:ind w:left="80"/>
              <w:spacing w:after="0"/>
              <w:rPr>
                <w:sz w:val="20"/>
                <w:szCs w:val="20"/>
                <w:color w:val="auto"/>
              </w:rPr>
            </w:pPr>
            <w:r>
              <w:rPr>
                <w:rFonts w:ascii="Arial" w:cs="Arial" w:eastAsia="Arial" w:hAnsi="Arial"/>
                <w:sz w:val="14"/>
                <w:szCs w:val="14"/>
                <w:color w:val="auto"/>
              </w:rPr>
              <w:t>Jr. Subordinated Note (0% Cash,</w:t>
            </w:r>
          </w:p>
        </w:tc>
        <w:tc>
          <w:tcPr>
            <w:tcW w:w="9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V12 Holdings, Inc.</w:t>
            </w:r>
          </w:p>
        </w:tc>
        <w:tc>
          <w:tcPr>
            <w:tcW w:w="2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Marketing</w:t>
            </w:r>
          </w:p>
        </w:tc>
        <w:tc>
          <w:tcPr>
            <w:tcW w:w="2460" w:type="dxa"/>
            <w:vAlign w:val="bottom"/>
            <w:shd w:val="clear" w:color="auto" w:fill="CCEEFF"/>
          </w:tcPr>
          <w:p>
            <w:pPr>
              <w:ind w:left="80"/>
              <w:spacing w:after="0" w:line="176" w:lineRule="exact"/>
              <w:rPr>
                <w:sz w:val="20"/>
                <w:szCs w:val="20"/>
                <w:color w:val="auto"/>
              </w:rPr>
            </w:pPr>
            <w:r>
              <w:rPr>
                <w:rFonts w:ascii="Arial" w:cs="Arial" w:eastAsia="Arial" w:hAnsi="Arial"/>
                <w:sz w:val="13"/>
                <w:szCs w:val="13"/>
                <w:color w:val="auto"/>
              </w:rPr>
              <w:t xml:space="preserve">Due 11/26/16) </w:t>
            </w:r>
            <w:r>
              <w:rPr>
                <w:rFonts w:ascii="Arial" w:cs="Arial" w:eastAsia="Arial" w:hAnsi="Arial"/>
                <w:sz w:val="20"/>
                <w:szCs w:val="20"/>
                <w:color w:val="auto"/>
                <w:vertAlign w:val="superscript"/>
              </w:rPr>
              <w:t>(1)</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2,750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2,750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Data Processing &amp; Digital</w:t>
            </w:r>
          </w:p>
        </w:tc>
        <w:tc>
          <w:tcPr>
            <w:tcW w:w="2460" w:type="dxa"/>
            <w:vAlign w:val="bottom"/>
            <w:shd w:val="clear" w:color="auto" w:fill="CCEEFF"/>
          </w:tcPr>
          <w:p>
            <w:pPr>
              <w:ind w:left="80"/>
              <w:spacing w:after="0"/>
              <w:rPr>
                <w:sz w:val="20"/>
                <w:szCs w:val="20"/>
                <w:color w:val="auto"/>
              </w:rPr>
            </w:pPr>
            <w:r>
              <w:rPr>
                <w:rFonts w:ascii="Arial" w:cs="Arial" w:eastAsia="Arial" w:hAnsi="Arial"/>
                <w:sz w:val="14"/>
                <w:szCs w:val="14"/>
                <w:color w:val="auto"/>
              </w:rPr>
              <w:t>Tier 4 Note (0% Cash, Due</w:t>
            </w:r>
          </w:p>
        </w:tc>
        <w:tc>
          <w:tcPr>
            <w:tcW w:w="9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V12 Holdings, Inc.</w:t>
            </w:r>
          </w:p>
        </w:tc>
        <w:tc>
          <w:tcPr>
            <w:tcW w:w="2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Marketing</w:t>
            </w:r>
          </w:p>
        </w:tc>
        <w:tc>
          <w:tcPr>
            <w:tcW w:w="2460" w:type="dxa"/>
            <w:vAlign w:val="bottom"/>
            <w:shd w:val="clear" w:color="auto" w:fill="CCEEFF"/>
          </w:tcPr>
          <w:p>
            <w:pPr>
              <w:ind w:left="80"/>
              <w:spacing w:after="0" w:line="176" w:lineRule="exact"/>
              <w:rPr>
                <w:sz w:val="20"/>
                <w:szCs w:val="20"/>
                <w:color w:val="auto"/>
              </w:rPr>
            </w:pPr>
            <w:r>
              <w:rPr>
                <w:rFonts w:ascii="Arial" w:cs="Arial" w:eastAsia="Arial" w:hAnsi="Arial"/>
                <w:sz w:val="13"/>
                <w:szCs w:val="13"/>
                <w:color w:val="auto"/>
              </w:rPr>
              <w:t xml:space="preserve">11/26/16) </w:t>
            </w:r>
            <w:r>
              <w:rPr>
                <w:rFonts w:ascii="Arial" w:cs="Arial" w:eastAsia="Arial" w:hAnsi="Arial"/>
                <w:sz w:val="20"/>
                <w:szCs w:val="20"/>
                <w:color w:val="auto"/>
                <w:vertAlign w:val="superscript"/>
              </w:rPr>
              <w:t>(1)</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243</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228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Data Processing &amp; Digital</w:t>
            </w:r>
          </w:p>
        </w:tc>
        <w:tc>
          <w:tcPr>
            <w:tcW w:w="24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Series A-1 Preferred Stock</w:t>
            </w:r>
          </w:p>
        </w:tc>
        <w:tc>
          <w:tcPr>
            <w:tcW w:w="9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V12 Holdings, Inc.</w:t>
            </w:r>
          </w:p>
        </w:tc>
        <w:tc>
          <w:tcPr>
            <w:tcW w:w="2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Marketing</w:t>
            </w:r>
          </w:p>
        </w:tc>
        <w:tc>
          <w:tcPr>
            <w:tcW w:w="2460" w:type="dxa"/>
            <w:vAlign w:val="bottom"/>
            <w:shd w:val="clear" w:color="auto" w:fill="CCEEFF"/>
          </w:tcPr>
          <w:p>
            <w:pPr>
              <w:ind w:left="80"/>
              <w:spacing w:after="0"/>
              <w:rPr>
                <w:sz w:val="20"/>
                <w:szCs w:val="20"/>
                <w:color w:val="auto"/>
              </w:rPr>
            </w:pPr>
            <w:r>
              <w:rPr>
                <w:rFonts w:ascii="Arial" w:cs="Arial" w:eastAsia="Arial" w:hAnsi="Arial"/>
                <w:sz w:val="14"/>
                <w:szCs w:val="14"/>
                <w:color w:val="auto"/>
              </w:rPr>
              <w:t>(255,102 shares)</w:t>
            </w:r>
          </w:p>
        </w:tc>
        <w:tc>
          <w:tcPr>
            <w:tcW w:w="9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1,120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228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Data Processing &amp; Digital</w:t>
            </w:r>
          </w:p>
        </w:tc>
        <w:tc>
          <w:tcPr>
            <w:tcW w:w="24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Series A-3 Preferred Stock (88,194</w:t>
            </w:r>
          </w:p>
        </w:tc>
        <w:tc>
          <w:tcPr>
            <w:tcW w:w="9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V12 Holdings, Inc.</w:t>
            </w:r>
          </w:p>
        </w:tc>
        <w:tc>
          <w:tcPr>
            <w:tcW w:w="2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Marketing</w:t>
            </w:r>
          </w:p>
        </w:tc>
        <w:tc>
          <w:tcPr>
            <w:tcW w:w="2460" w:type="dxa"/>
            <w:vAlign w:val="bottom"/>
            <w:shd w:val="clear" w:color="auto" w:fill="CCEEFF"/>
          </w:tcPr>
          <w:p>
            <w:pPr>
              <w:ind w:left="80"/>
              <w:spacing w:after="0"/>
              <w:rPr>
                <w:sz w:val="20"/>
                <w:szCs w:val="20"/>
                <w:color w:val="auto"/>
              </w:rPr>
            </w:pPr>
            <w:r>
              <w:rPr>
                <w:rFonts w:ascii="Arial" w:cs="Arial" w:eastAsia="Arial" w:hAnsi="Arial"/>
                <w:sz w:val="14"/>
                <w:szCs w:val="14"/>
                <w:color w:val="auto"/>
              </w:rPr>
              <w:t>shares)</w:t>
            </w:r>
          </w:p>
        </w:tc>
        <w:tc>
          <w:tcPr>
            <w:tcW w:w="9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228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Data Processing &amp; Digital</w:t>
            </w:r>
          </w:p>
        </w:tc>
        <w:tc>
          <w:tcPr>
            <w:tcW w:w="24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Series A-5 Preferred Stock (20,530</w:t>
            </w:r>
          </w:p>
        </w:tc>
        <w:tc>
          <w:tcPr>
            <w:tcW w:w="9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V12 Holdings, Inc.</w:t>
            </w:r>
          </w:p>
        </w:tc>
        <w:tc>
          <w:tcPr>
            <w:tcW w:w="2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Marketing</w:t>
            </w:r>
          </w:p>
        </w:tc>
        <w:tc>
          <w:tcPr>
            <w:tcW w:w="2460" w:type="dxa"/>
            <w:vAlign w:val="bottom"/>
            <w:shd w:val="clear" w:color="auto" w:fill="CCEEFF"/>
          </w:tcPr>
          <w:p>
            <w:pPr>
              <w:ind w:left="80"/>
              <w:spacing w:after="0"/>
              <w:rPr>
                <w:sz w:val="20"/>
                <w:szCs w:val="20"/>
                <w:color w:val="auto"/>
              </w:rPr>
            </w:pPr>
            <w:r>
              <w:rPr>
                <w:rFonts w:ascii="Arial" w:cs="Arial" w:eastAsia="Arial" w:hAnsi="Arial"/>
                <w:sz w:val="14"/>
                <w:szCs w:val="14"/>
                <w:color w:val="auto"/>
              </w:rPr>
              <w:t>shares)</w:t>
            </w:r>
          </w:p>
        </w:tc>
        <w:tc>
          <w:tcPr>
            <w:tcW w:w="9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228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Data Processing &amp; Digital</w:t>
            </w:r>
          </w:p>
        </w:tc>
        <w:tc>
          <w:tcPr>
            <w:tcW w:w="24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Common Stock Warrants</w:t>
            </w:r>
          </w:p>
        </w:tc>
        <w:tc>
          <w:tcPr>
            <w:tcW w:w="9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V12 Holdings, Inc.</w:t>
            </w:r>
          </w:p>
        </w:tc>
        <w:tc>
          <w:tcPr>
            <w:tcW w:w="2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Marketing</w:t>
            </w:r>
          </w:p>
        </w:tc>
        <w:tc>
          <w:tcPr>
            <w:tcW w:w="2460" w:type="dxa"/>
            <w:vAlign w:val="bottom"/>
            <w:shd w:val="clear" w:color="auto" w:fill="CCEEFF"/>
          </w:tcPr>
          <w:p>
            <w:pPr>
              <w:ind w:left="80"/>
              <w:spacing w:after="0"/>
              <w:rPr>
                <w:sz w:val="20"/>
                <w:szCs w:val="20"/>
                <w:color w:val="auto"/>
              </w:rPr>
            </w:pPr>
            <w:r>
              <w:rPr>
                <w:rFonts w:ascii="Arial" w:cs="Arial" w:eastAsia="Arial" w:hAnsi="Arial"/>
                <w:sz w:val="14"/>
                <w:szCs w:val="14"/>
                <w:color w:val="auto"/>
              </w:rPr>
              <w:t>(2,063,629 warrants)</w:t>
            </w:r>
          </w:p>
        </w:tc>
        <w:tc>
          <w:tcPr>
            <w:tcW w:w="9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3,435</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9,856</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40" w:right="23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20" w:type="dxa"/>
            <w:vAlign w:val="bottom"/>
          </w:tcPr>
          <w:p>
            <w:pPr>
              <w:spacing w:after="0"/>
              <w:rPr>
                <w:sz w:val="24"/>
                <w:szCs w:val="24"/>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Sub Total Affiliate investments</w:t>
            </w:r>
          </w:p>
        </w:tc>
        <w:tc>
          <w:tcPr>
            <w:tcW w:w="2120" w:type="dxa"/>
            <w:vAlign w:val="bottom"/>
            <w:shd w:val="clear" w:color="auto" w:fill="CCEEFF"/>
          </w:tcPr>
          <w:p>
            <w:pPr>
              <w:spacing w:after="0"/>
              <w:rPr>
                <w:sz w:val="24"/>
                <w:szCs w:val="24"/>
                <w:color w:val="auto"/>
              </w:rPr>
            </w:pPr>
          </w:p>
        </w:tc>
        <w:tc>
          <w:tcPr>
            <w:tcW w:w="22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114,922</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134,317</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46.7</w:t>
            </w:r>
            <w:r>
              <w:rPr>
                <w:rFonts w:ascii="Arial" w:cs="Arial" w:eastAsia="Arial" w:hAnsi="Arial"/>
                <w:sz w:val="28"/>
                <w:szCs w:val="28"/>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5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Control investments - 25.8%</w:t>
            </w:r>
          </w:p>
        </w:tc>
        <w:tc>
          <w:tcPr>
            <w:tcW w:w="212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4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226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Senior Secured Term Debt (12%</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CableOrganizer Acquisition, LLC</w:t>
            </w:r>
          </w:p>
        </w:tc>
        <w:tc>
          <w:tcPr>
            <w:tcW w:w="212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Computer Supply Retail</w:t>
            </w:r>
          </w:p>
        </w:tc>
        <w:tc>
          <w:tcPr>
            <w:tcW w:w="2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4% PIK, Due 5/24/18)</w:t>
            </w:r>
          </w:p>
        </w:tc>
        <w:tc>
          <w:tcPr>
            <w:tcW w:w="3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10,913</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10,913</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10,913</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CableOrganizer Acquisition, LLC</w:t>
            </w:r>
          </w:p>
        </w:tc>
        <w:tc>
          <w:tcPr>
            <w:tcW w:w="21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Computer Supply Retail</w:t>
            </w:r>
          </w:p>
        </w:tc>
        <w:tc>
          <w:tcPr>
            <w:tcW w:w="22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6"/>
              </w:rPr>
              <w:t>Common Stock (1,125,000 shares)</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1,125</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4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226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w w:val="97"/>
              </w:rPr>
              <w:t>Common Stock Warrants (570,000</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CableOrganizer Acquisition, LLC</w:t>
            </w:r>
          </w:p>
        </w:tc>
        <w:tc>
          <w:tcPr>
            <w:tcW w:w="212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Computer Supply Retail</w:t>
            </w:r>
          </w:p>
        </w:tc>
        <w:tc>
          <w:tcPr>
            <w:tcW w:w="2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shares)</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12,038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11,100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2260" w:type="dxa"/>
            <w:vAlign w:val="bottom"/>
            <w:shd w:val="clear" w:color="auto" w:fill="CCEEFF"/>
          </w:tcPr>
          <w:p>
            <w:pPr>
              <w:ind w:left="140"/>
              <w:spacing w:after="0" w:line="140" w:lineRule="exact"/>
              <w:rPr>
                <w:sz w:val="20"/>
                <w:szCs w:val="20"/>
                <w:color w:val="auto"/>
              </w:rPr>
            </w:pPr>
            <w:r>
              <w:rPr>
                <w:rFonts w:ascii="Arial" w:cs="Arial" w:eastAsia="Arial" w:hAnsi="Arial"/>
                <w:sz w:val="14"/>
                <w:szCs w:val="14"/>
                <w:color w:val="auto"/>
              </w:rPr>
              <w:t>Common Stock (80% ownership)</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Capitala Senior Liquid Loan Fund I, LLC</w:t>
            </w:r>
          </w:p>
        </w:tc>
        <w:tc>
          <w:tcPr>
            <w:tcW w:w="2120" w:type="dxa"/>
            <w:vAlign w:val="bottom"/>
            <w:shd w:val="clear" w:color="auto" w:fill="CCEEFF"/>
          </w:tcPr>
          <w:p>
            <w:pPr>
              <w:ind w:left="80"/>
              <w:spacing w:after="0"/>
              <w:rPr>
                <w:sz w:val="20"/>
                <w:szCs w:val="20"/>
                <w:color w:val="auto"/>
              </w:rPr>
            </w:pPr>
            <w:r>
              <w:rPr>
                <w:rFonts w:ascii="Arial" w:cs="Arial" w:eastAsia="Arial" w:hAnsi="Arial"/>
                <w:sz w:val="14"/>
                <w:szCs w:val="14"/>
                <w:color w:val="auto"/>
              </w:rPr>
              <w:t>Investment Fund</w:t>
            </w:r>
          </w:p>
        </w:tc>
        <w:tc>
          <w:tcPr>
            <w:tcW w:w="22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(8)</w:t>
            </w: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20,000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19,577</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20,000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19,577</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54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w w:val="97"/>
              </w:rPr>
              <w:t>CION/Capitala Senior Liquid Loan Fund I,</w:t>
            </w:r>
          </w:p>
        </w:tc>
        <w:tc>
          <w:tcPr>
            <w:tcW w:w="2120" w:type="dxa"/>
            <w:vAlign w:val="bottom"/>
            <w:shd w:val="clear" w:color="auto" w:fill="CCEEFF"/>
          </w:tcPr>
          <w:p>
            <w:pPr>
              <w:spacing w:after="0"/>
              <w:rPr>
                <w:sz w:val="12"/>
                <w:szCs w:val="12"/>
                <w:color w:val="auto"/>
              </w:rPr>
            </w:pPr>
          </w:p>
        </w:tc>
        <w:tc>
          <w:tcPr>
            <w:tcW w:w="2260" w:type="dxa"/>
            <w:vAlign w:val="bottom"/>
            <w:shd w:val="clear" w:color="auto" w:fill="CCEEFF"/>
          </w:tcPr>
          <w:p>
            <w:pPr>
              <w:ind w:left="140"/>
              <w:spacing w:after="0" w:line="140" w:lineRule="exact"/>
              <w:rPr>
                <w:sz w:val="20"/>
                <w:szCs w:val="20"/>
                <w:color w:val="auto"/>
              </w:rPr>
            </w:pPr>
            <w:r>
              <w:rPr>
                <w:rFonts w:ascii="Arial" w:cs="Arial" w:eastAsia="Arial" w:hAnsi="Arial"/>
                <w:sz w:val="14"/>
                <w:szCs w:val="14"/>
                <w:color w:val="auto"/>
              </w:rPr>
              <w:t>Common Stock (20% ownership)</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LLC</w:t>
            </w:r>
          </w:p>
        </w:tc>
        <w:tc>
          <w:tcPr>
            <w:tcW w:w="2120" w:type="dxa"/>
            <w:vAlign w:val="bottom"/>
            <w:shd w:val="clear" w:color="auto" w:fill="CCEEFF"/>
          </w:tcPr>
          <w:p>
            <w:pPr>
              <w:ind w:left="80"/>
              <w:spacing w:after="0"/>
              <w:rPr>
                <w:sz w:val="20"/>
                <w:szCs w:val="20"/>
                <w:color w:val="auto"/>
              </w:rPr>
            </w:pPr>
            <w:r>
              <w:rPr>
                <w:rFonts w:ascii="Arial" w:cs="Arial" w:eastAsia="Arial" w:hAnsi="Arial"/>
                <w:sz w:val="14"/>
                <w:szCs w:val="14"/>
                <w:color w:val="auto"/>
              </w:rPr>
              <w:t>Investment Fund</w:t>
            </w:r>
          </w:p>
        </w:tc>
        <w:tc>
          <w:tcPr>
            <w:tcW w:w="22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(8) (10)</w:t>
            </w: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4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226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w w:val="94"/>
              </w:rPr>
              <w:t>Subordinated Debt (10% Cash, Due</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Micro Precision, LLC</w:t>
            </w:r>
          </w:p>
        </w:tc>
        <w:tc>
          <w:tcPr>
            <w:tcW w:w="212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Conglomerate</w:t>
            </w:r>
          </w:p>
        </w:tc>
        <w:tc>
          <w:tcPr>
            <w:tcW w:w="2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9/16/16)</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1,862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1,862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1,862</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4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226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w w:val="96"/>
              </w:rPr>
              <w:t>Subordinated Debt (14% Cash, 4%</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Micro Precision, LLC</w:t>
            </w:r>
          </w:p>
        </w:tc>
        <w:tc>
          <w:tcPr>
            <w:tcW w:w="212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Conglomerate</w:t>
            </w:r>
          </w:p>
        </w:tc>
        <w:tc>
          <w:tcPr>
            <w:tcW w:w="2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PIK, Due 9/16/16)</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3,791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3,791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3,791</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Micro Precision, LLC</w:t>
            </w:r>
          </w:p>
        </w:tc>
        <w:tc>
          <w:tcPr>
            <w:tcW w:w="212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Conglomerate</w:t>
            </w:r>
          </w:p>
        </w:tc>
        <w:tc>
          <w:tcPr>
            <w:tcW w:w="226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8"/>
              </w:rPr>
              <w:t>Series A Preferred Units (47 units)</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1,629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1,629</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7,282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7,282</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4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226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Senior Secured Term Debt (17%,</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22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9"/>
              </w:rPr>
              <w:t>3% PIK at Company's option, Due</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Navis Holdings, Inc.</w:t>
            </w:r>
          </w:p>
        </w:tc>
        <w:tc>
          <w:tcPr>
            <w:tcW w:w="2120" w:type="dxa"/>
            <w:vAlign w:val="bottom"/>
            <w:shd w:val="clear" w:color="auto" w:fill="CCEEFF"/>
          </w:tcPr>
          <w:p>
            <w:pPr>
              <w:ind w:left="80"/>
              <w:spacing w:after="0"/>
              <w:rPr>
                <w:sz w:val="20"/>
                <w:szCs w:val="20"/>
                <w:color w:val="auto"/>
              </w:rPr>
            </w:pPr>
            <w:r>
              <w:rPr>
                <w:rFonts w:ascii="Arial" w:cs="Arial" w:eastAsia="Arial" w:hAnsi="Arial"/>
                <w:sz w:val="14"/>
                <w:szCs w:val="14"/>
                <w:color w:val="auto"/>
              </w:rPr>
              <w:t>Textile Equipment Manufacturer</w:t>
            </w:r>
          </w:p>
        </w:tc>
        <w:tc>
          <w:tcPr>
            <w:tcW w:w="2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2/1/16)</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6,500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6,500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6,500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2260" w:type="dxa"/>
            <w:vAlign w:val="bottom"/>
            <w:shd w:val="clear" w:color="auto" w:fill="CCEEFF"/>
          </w:tcPr>
          <w:p>
            <w:pPr>
              <w:ind w:left="140"/>
              <w:spacing w:after="0" w:line="140" w:lineRule="exact"/>
              <w:rPr>
                <w:sz w:val="20"/>
                <w:szCs w:val="20"/>
                <w:color w:val="auto"/>
              </w:rPr>
            </w:pPr>
            <w:r>
              <w:rPr>
                <w:rFonts w:ascii="Arial" w:cs="Arial" w:eastAsia="Arial" w:hAnsi="Arial"/>
                <w:sz w:val="14"/>
                <w:szCs w:val="14"/>
                <w:color w:val="auto"/>
              </w:rPr>
              <w:t>Class A Preferred Stock (1,000</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Navis Holdings, Inc.</w:t>
            </w:r>
          </w:p>
        </w:tc>
        <w:tc>
          <w:tcPr>
            <w:tcW w:w="2120" w:type="dxa"/>
            <w:vAlign w:val="bottom"/>
            <w:shd w:val="clear" w:color="auto" w:fill="CCEEFF"/>
          </w:tcPr>
          <w:p>
            <w:pPr>
              <w:ind w:left="80"/>
              <w:spacing w:after="0"/>
              <w:rPr>
                <w:sz w:val="20"/>
                <w:szCs w:val="20"/>
                <w:color w:val="auto"/>
              </w:rPr>
            </w:pPr>
            <w:r>
              <w:rPr>
                <w:rFonts w:ascii="Arial" w:cs="Arial" w:eastAsia="Arial" w:hAnsi="Arial"/>
                <w:sz w:val="14"/>
                <w:szCs w:val="14"/>
                <w:color w:val="auto"/>
              </w:rPr>
              <w:t>Textile Equipment Manufacturer</w:t>
            </w:r>
          </w:p>
        </w:tc>
        <w:tc>
          <w:tcPr>
            <w:tcW w:w="2260" w:type="dxa"/>
            <w:vAlign w:val="bottom"/>
            <w:shd w:val="clear" w:color="auto" w:fill="CCEEFF"/>
          </w:tcPr>
          <w:p>
            <w:pPr>
              <w:ind w:left="140"/>
              <w:spacing w:after="0" w:line="198" w:lineRule="exact"/>
              <w:rPr>
                <w:sz w:val="20"/>
                <w:szCs w:val="20"/>
                <w:color w:val="auto"/>
              </w:rPr>
            </w:pPr>
            <w:r>
              <w:rPr>
                <w:rFonts w:ascii="Arial" w:cs="Arial" w:eastAsia="Arial" w:hAnsi="Arial"/>
                <w:sz w:val="14"/>
                <w:szCs w:val="14"/>
                <w:color w:val="auto"/>
              </w:rPr>
              <w:t xml:space="preserve">shares, 10% Cash Dividend) </w:t>
            </w:r>
            <w:r>
              <w:rPr>
                <w:rFonts w:ascii="Arial" w:cs="Arial" w:eastAsia="Arial" w:hAnsi="Arial"/>
                <w:sz w:val="22"/>
                <w:szCs w:val="22"/>
                <w:color w:val="auto"/>
                <w:vertAlign w:val="superscript"/>
              </w:rPr>
              <w:t>(6)</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1,000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Navis Holdings, Inc.</w:t>
            </w:r>
          </w:p>
        </w:tc>
        <w:tc>
          <w:tcPr>
            <w:tcW w:w="2120" w:type="dxa"/>
            <w:vAlign w:val="bottom"/>
            <w:shd w:val="clear" w:color="auto" w:fill="CCEEFF"/>
          </w:tcPr>
          <w:p>
            <w:pPr>
              <w:ind w:left="80"/>
              <w:spacing w:after="0"/>
              <w:rPr>
                <w:sz w:val="20"/>
                <w:szCs w:val="20"/>
                <w:color w:val="auto"/>
              </w:rPr>
            </w:pPr>
            <w:r>
              <w:rPr>
                <w:rFonts w:ascii="Arial" w:cs="Arial" w:eastAsia="Arial" w:hAnsi="Arial"/>
                <w:sz w:val="14"/>
                <w:szCs w:val="14"/>
                <w:color w:val="auto"/>
              </w:rPr>
              <w:t>Textile Equipment Manufacturer</w:t>
            </w:r>
          </w:p>
        </w:tc>
        <w:tc>
          <w:tcPr>
            <w:tcW w:w="2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Common Stock (300,000 shares)</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5,218</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7,501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12,718</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2260" w:type="dxa"/>
            <w:vAlign w:val="bottom"/>
            <w:shd w:val="clear" w:color="auto" w:fill="CCEEFF"/>
          </w:tcPr>
          <w:p>
            <w:pPr>
              <w:ind w:left="140"/>
              <w:spacing w:after="0" w:line="140" w:lineRule="exact"/>
              <w:rPr>
                <w:sz w:val="20"/>
                <w:szCs w:val="20"/>
                <w:color w:val="auto"/>
              </w:rPr>
            </w:pPr>
            <w:r>
              <w:rPr>
                <w:rFonts w:ascii="Arial" w:cs="Arial" w:eastAsia="Arial" w:hAnsi="Arial"/>
                <w:sz w:val="14"/>
                <w:szCs w:val="14"/>
                <w:color w:val="auto"/>
                <w:w w:val="96"/>
              </w:rPr>
              <w:t>Subordinated Debt (14% Cash, 4%</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On-Site Fuel Services, Inc.</w:t>
            </w:r>
          </w:p>
        </w:tc>
        <w:tc>
          <w:tcPr>
            <w:tcW w:w="2120" w:type="dxa"/>
            <w:vAlign w:val="bottom"/>
            <w:shd w:val="clear" w:color="auto" w:fill="CCEEFF"/>
          </w:tcPr>
          <w:p>
            <w:pPr>
              <w:ind w:left="80"/>
              <w:spacing w:after="0"/>
              <w:rPr>
                <w:sz w:val="20"/>
                <w:szCs w:val="20"/>
                <w:color w:val="auto"/>
              </w:rPr>
            </w:pPr>
            <w:r>
              <w:rPr>
                <w:rFonts w:ascii="Arial" w:cs="Arial" w:eastAsia="Arial" w:hAnsi="Arial"/>
                <w:sz w:val="14"/>
                <w:szCs w:val="14"/>
                <w:color w:val="auto"/>
              </w:rPr>
              <w:t>Fuel Transportation Services</w:t>
            </w:r>
          </w:p>
        </w:tc>
        <w:tc>
          <w:tcPr>
            <w:tcW w:w="2260" w:type="dxa"/>
            <w:vAlign w:val="bottom"/>
            <w:shd w:val="clear" w:color="auto" w:fill="CCEEFF"/>
          </w:tcPr>
          <w:p>
            <w:pPr>
              <w:ind w:left="140"/>
              <w:spacing w:after="0" w:line="198" w:lineRule="exact"/>
              <w:rPr>
                <w:sz w:val="20"/>
                <w:szCs w:val="20"/>
                <w:color w:val="auto"/>
              </w:rPr>
            </w:pPr>
            <w:r>
              <w:rPr>
                <w:rFonts w:ascii="Arial" w:cs="Arial" w:eastAsia="Arial" w:hAnsi="Arial"/>
                <w:sz w:val="14"/>
                <w:szCs w:val="14"/>
                <w:color w:val="auto"/>
              </w:rPr>
              <w:t xml:space="preserve">PIK, Due 12/19/16) </w:t>
            </w:r>
            <w:r>
              <w:rPr>
                <w:rFonts w:ascii="Arial" w:cs="Arial" w:eastAsia="Arial" w:hAnsi="Arial"/>
                <w:sz w:val="22"/>
                <w:szCs w:val="22"/>
                <w:color w:val="auto"/>
                <w:vertAlign w:val="superscript"/>
              </w:rPr>
              <w:t>(2)</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8,213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8,213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6,694</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4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226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Series A Preferred Stock (32,782</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On-Site Fuel Services, Inc.</w:t>
            </w:r>
          </w:p>
        </w:tc>
        <w:tc>
          <w:tcPr>
            <w:tcW w:w="2120" w:type="dxa"/>
            <w:vAlign w:val="bottom"/>
            <w:shd w:val="clear" w:color="auto" w:fill="CCEEFF"/>
          </w:tcPr>
          <w:p>
            <w:pPr>
              <w:ind w:left="80"/>
              <w:spacing w:after="0"/>
              <w:rPr>
                <w:sz w:val="20"/>
                <w:szCs w:val="20"/>
                <w:color w:val="auto"/>
              </w:rPr>
            </w:pPr>
            <w:r>
              <w:rPr>
                <w:rFonts w:ascii="Arial" w:cs="Arial" w:eastAsia="Arial" w:hAnsi="Arial"/>
                <w:sz w:val="14"/>
                <w:szCs w:val="14"/>
                <w:color w:val="auto"/>
              </w:rPr>
              <w:t>Fuel Transportation Services</w:t>
            </w:r>
          </w:p>
        </w:tc>
        <w:tc>
          <w:tcPr>
            <w:tcW w:w="2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shares)</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3,278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4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226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Series B Preferred Stock (23,648</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On-Site Fuel Services, Inc.</w:t>
            </w:r>
          </w:p>
        </w:tc>
        <w:tc>
          <w:tcPr>
            <w:tcW w:w="2120" w:type="dxa"/>
            <w:vAlign w:val="bottom"/>
            <w:shd w:val="clear" w:color="auto" w:fill="CCEEFF"/>
          </w:tcPr>
          <w:p>
            <w:pPr>
              <w:ind w:left="80"/>
              <w:spacing w:after="0"/>
              <w:rPr>
                <w:sz w:val="20"/>
                <w:szCs w:val="20"/>
                <w:color w:val="auto"/>
              </w:rPr>
            </w:pPr>
            <w:r>
              <w:rPr>
                <w:rFonts w:ascii="Arial" w:cs="Arial" w:eastAsia="Arial" w:hAnsi="Arial"/>
                <w:sz w:val="14"/>
                <w:szCs w:val="14"/>
                <w:color w:val="auto"/>
              </w:rPr>
              <w:t>Fuel Transportation Services</w:t>
            </w:r>
          </w:p>
        </w:tc>
        <w:tc>
          <w:tcPr>
            <w:tcW w:w="2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shares)</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2,364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On-Site Fuel Services, Inc.</w:t>
            </w:r>
          </w:p>
        </w:tc>
        <w:tc>
          <w:tcPr>
            <w:tcW w:w="2120" w:type="dxa"/>
            <w:vAlign w:val="bottom"/>
            <w:shd w:val="clear" w:color="auto" w:fill="CCEEFF"/>
          </w:tcPr>
          <w:p>
            <w:pPr>
              <w:ind w:left="80"/>
              <w:spacing w:after="0"/>
              <w:rPr>
                <w:sz w:val="20"/>
                <w:szCs w:val="20"/>
                <w:color w:val="auto"/>
              </w:rPr>
            </w:pPr>
            <w:r>
              <w:rPr>
                <w:rFonts w:ascii="Arial" w:cs="Arial" w:eastAsia="Arial" w:hAnsi="Arial"/>
                <w:sz w:val="14"/>
                <w:szCs w:val="14"/>
                <w:color w:val="auto"/>
              </w:rPr>
              <w:t>Fuel Transportation Services</w:t>
            </w:r>
          </w:p>
        </w:tc>
        <w:tc>
          <w:tcPr>
            <w:tcW w:w="2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Common Stock (33,107 shares)</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13,888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6,694</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4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226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Senior Secured Term Debt (10%</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Print Direction, Inc.</w:t>
            </w:r>
          </w:p>
        </w:tc>
        <w:tc>
          <w:tcPr>
            <w:tcW w:w="2120" w:type="dxa"/>
            <w:vAlign w:val="bottom"/>
            <w:shd w:val="clear" w:color="auto" w:fill="CCEEFF"/>
          </w:tcPr>
          <w:p>
            <w:pPr>
              <w:ind w:left="80"/>
              <w:spacing w:after="0"/>
              <w:rPr>
                <w:sz w:val="20"/>
                <w:szCs w:val="20"/>
                <w:color w:val="auto"/>
              </w:rPr>
            </w:pPr>
            <w:r>
              <w:rPr>
                <w:rFonts w:ascii="Arial" w:cs="Arial" w:eastAsia="Arial" w:hAnsi="Arial"/>
                <w:sz w:val="14"/>
                <w:szCs w:val="14"/>
                <w:color w:val="auto"/>
              </w:rPr>
              <w:t>Printing Services</w:t>
            </w:r>
          </w:p>
        </w:tc>
        <w:tc>
          <w:tcPr>
            <w:tcW w:w="2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2% PIK, Due 2/24/19)</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15,151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15,151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15,151</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Print Direction, Inc.</w:t>
            </w:r>
          </w:p>
        </w:tc>
        <w:tc>
          <w:tcPr>
            <w:tcW w:w="21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Printing Services</w:t>
            </w:r>
          </w:p>
        </w:tc>
        <w:tc>
          <w:tcPr>
            <w:tcW w:w="22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Common Stock (19,363 shares)</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2,990</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1,962</w:t>
            </w:r>
          </w:p>
        </w:tc>
        <w:tc>
          <w:tcPr>
            <w:tcW w:w="10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4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226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w w:val="98"/>
              </w:rPr>
              <w:t>Common Stock Warrants (3% fully</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Print Direction, Inc.</w:t>
            </w:r>
          </w:p>
        </w:tc>
        <w:tc>
          <w:tcPr>
            <w:tcW w:w="2120" w:type="dxa"/>
            <w:vAlign w:val="bottom"/>
            <w:shd w:val="clear" w:color="auto" w:fill="CCEEFF"/>
          </w:tcPr>
          <w:p>
            <w:pPr>
              <w:ind w:left="80"/>
              <w:spacing w:after="0"/>
              <w:rPr>
                <w:sz w:val="20"/>
                <w:szCs w:val="20"/>
                <w:color w:val="auto"/>
              </w:rPr>
            </w:pPr>
            <w:r>
              <w:rPr>
                <w:rFonts w:ascii="Arial" w:cs="Arial" w:eastAsia="Arial" w:hAnsi="Arial"/>
                <w:sz w:val="14"/>
                <w:szCs w:val="14"/>
                <w:color w:val="auto"/>
              </w:rPr>
              <w:t>Printing Services</w:t>
            </w:r>
          </w:p>
        </w:tc>
        <w:tc>
          <w:tcPr>
            <w:tcW w:w="2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diluted)</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18,141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17,200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Sub Total Control investments</w:t>
            </w:r>
          </w:p>
        </w:tc>
        <w:tc>
          <w:tcPr>
            <w:tcW w:w="212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78,850</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74,571</w:t>
            </w:r>
          </w:p>
        </w:tc>
        <w:tc>
          <w:tcPr>
            <w:tcW w:w="106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2"/>
                <w:szCs w:val="12"/>
                <w:color w:val="auto"/>
              </w:rPr>
              <w:t>26.0</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5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INVESTMENTS -205.1%</w:t>
            </w:r>
          </w:p>
        </w:tc>
        <w:tc>
          <w:tcPr>
            <w:tcW w:w="212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553,328</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588,217</w:t>
            </w:r>
          </w:p>
        </w:tc>
        <w:tc>
          <w:tcPr>
            <w:tcW w:w="10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2"/>
                <w:szCs w:val="12"/>
                <w:b w:val="1"/>
                <w:bCs w:val="1"/>
                <w:color w:val="auto"/>
              </w:rPr>
              <w:t>205.1</w:t>
            </w:r>
            <w:r>
              <w:rPr>
                <w:rFonts w:ascii="Arial" w:cs="Arial" w:eastAsia="Arial" w:hAnsi="Arial"/>
                <w:sz w:val="20"/>
                <w:szCs w:val="20"/>
                <w:b w:val="1"/>
                <w:bCs w:val="1"/>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maturity date of the original investment has been extended.</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Non-accrual investment.</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PIK non-accrual investment.</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debt investments are income producing. Equity and warrant investments are non-income producing, unless otherwise noted.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Percentages are based on net assets of $286,813 as of September 30, 2015.</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equity investment is income producing, based on rate disclosed.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equity investment has an exercisable put option.</w:t>
      </w:r>
    </w:p>
    <w:p>
      <w:pPr>
        <w:spacing w:after="0" w:line="9" w:lineRule="exact"/>
        <w:rPr>
          <w:rFonts w:ascii="Arial" w:cs="Arial" w:eastAsia="Arial" w:hAnsi="Arial"/>
          <w:sz w:val="18"/>
          <w:szCs w:val="18"/>
          <w:color w:val="auto"/>
        </w:rPr>
      </w:pPr>
    </w:p>
    <w:p>
      <w:pPr>
        <w:jc w:val="both"/>
        <w:ind w:right="20" w:firstLine="8"/>
        <w:spacing w:after="0" w:line="250"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Indicates assets that the Company believes do not represent “qualifying assets” under Section 55(a) of the Investment Company Act of 1940, as amended. Qualifying assets must represent at least 70% of the Company's total assets at the time of acquisition of any additional non-qualifying assets. As of September 30, 2015, 7.6% of the Company's total assets were non-qualifying assets.</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investment has a $0.6 million unfunded commitment.</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investment has a $10.0 million unfunded commitment.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investment has a $7.5 million unfunded commitment.</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investment has $2.8 million of unfunded commitment.</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Interest rate amended to 6% cash and 9% PIK through December 31, 2015.</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Interest rate amended to 15% PIK through September 30, 2015.</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2" w:right="239" w:bottom="0" w:gutter="0" w:footer="0" w:header="0"/>
        </w:sectPr>
      </w:pPr>
    </w:p>
    <w:bookmarkStart w:id="11" w:name="page12"/>
    <w:bookmarkEnd w:id="11"/>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2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23"/>
                <w:szCs w:val="23"/>
                <w:b w:val="1"/>
                <w:bCs w:val="1"/>
                <w:color w:val="auto"/>
                <w:vertAlign w:val="superscript"/>
              </w:rPr>
              <w:t>(4, 5)</w:t>
            </w:r>
          </w:p>
        </w:tc>
        <w:tc>
          <w:tcPr>
            <w:tcW w:w="206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Industry</w:t>
            </w:r>
          </w:p>
        </w:tc>
        <w:tc>
          <w:tcPr>
            <w:tcW w:w="120" w:type="dxa"/>
            <w:vAlign w:val="bottom"/>
          </w:tcPr>
          <w:p>
            <w:pPr>
              <w:spacing w:after="0"/>
              <w:rPr>
                <w:sz w:val="14"/>
                <w:szCs w:val="14"/>
                <w:color w:val="auto"/>
              </w:rPr>
            </w:pPr>
          </w:p>
        </w:tc>
        <w:tc>
          <w:tcPr>
            <w:tcW w:w="218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Type of Investment</w:t>
            </w:r>
          </w:p>
        </w:tc>
        <w:tc>
          <w:tcPr>
            <w:tcW w:w="12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Principal</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gridSpan w:val="2"/>
            <w:vMerge w:val="continue"/>
          </w:tcPr>
          <w:p>
            <w:pPr>
              <w:spacing w:after="0"/>
              <w:rPr>
                <w:sz w:val="14"/>
                <w:szCs w:val="14"/>
                <w:color w:val="auto"/>
              </w:rPr>
            </w:pPr>
          </w:p>
        </w:tc>
        <w:tc>
          <w:tcPr>
            <w:tcW w:w="2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Net Assets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62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w w:val="97"/>
              </w:rPr>
              <w:t>Non-control/Non-affiliated investments -</w:t>
            </w:r>
          </w:p>
        </w:tc>
        <w:tc>
          <w:tcPr>
            <w:tcW w:w="20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98.3%</w:t>
            </w: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300" w:type="dxa"/>
            <w:vAlign w:val="bottom"/>
            <w:gridSpan w:val="3"/>
            <w:shd w:val="clear" w:color="auto" w:fill="CCEEFF"/>
          </w:tcPr>
          <w:p>
            <w:pPr>
              <w:ind w:left="120"/>
              <w:spacing w:after="0" w:line="140" w:lineRule="exact"/>
              <w:rPr>
                <w:sz w:val="20"/>
                <w:szCs w:val="20"/>
                <w:color w:val="auto"/>
              </w:rPr>
            </w:pPr>
            <w:r>
              <w:rPr>
                <w:rFonts w:ascii="Arial" w:cs="Arial" w:eastAsia="Arial" w:hAnsi="Arial"/>
                <w:sz w:val="14"/>
                <w:szCs w:val="14"/>
                <w:color w:val="auto"/>
              </w:rPr>
              <w:t>Senior Secured Term Debt (12%</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AAE Acquisition, LLC</w:t>
            </w: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Industrial Equipment Rental</w:t>
            </w:r>
          </w:p>
        </w:tc>
        <w:tc>
          <w:tcPr>
            <w:tcW w:w="2300" w:type="dxa"/>
            <w:vAlign w:val="bottom"/>
            <w:gridSpan w:val="3"/>
            <w:shd w:val="clear" w:color="auto" w:fill="CCEEFF"/>
          </w:tcPr>
          <w:p>
            <w:pPr>
              <w:ind w:left="120"/>
              <w:spacing w:after="0" w:line="198" w:lineRule="exact"/>
              <w:rPr>
                <w:sz w:val="20"/>
                <w:szCs w:val="20"/>
                <w:color w:val="auto"/>
              </w:rPr>
            </w:pPr>
            <w:r>
              <w:rPr>
                <w:rFonts w:ascii="Arial" w:cs="Arial" w:eastAsia="Arial" w:hAnsi="Arial"/>
                <w:sz w:val="14"/>
                <w:szCs w:val="14"/>
                <w:color w:val="auto"/>
              </w:rPr>
              <w:t xml:space="preserve">Cash, Due 3/31/18) </w:t>
            </w:r>
            <w:r>
              <w:rPr>
                <w:rFonts w:ascii="Arial" w:cs="Arial" w:eastAsia="Arial" w:hAnsi="Arial"/>
                <w:sz w:val="22"/>
                <w:szCs w:val="22"/>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11,000</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10,998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11,000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230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Membership Units (14% fully</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AAE Acquisition, LLC</w:t>
            </w: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Industrial Equipment Rental</w:t>
            </w:r>
          </w:p>
        </w:tc>
        <w:tc>
          <w:tcPr>
            <w:tcW w:w="23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diluted)</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2,212</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11,015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13,212</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sectPr>
          <w:pgSz w:w="11900" w:h="16897" w:orient="portrait"/>
          <w:cols w:equalWidth="0" w:num="1">
            <w:col w:w="11420"/>
          </w:cols>
          <w:pgMar w:left="240" w:top="904" w:right="239" w:bottom="0" w:gutter="0" w:footer="0" w:header="0"/>
        </w:sect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480" w:type="dxa"/>
            <w:vAlign w:val="bottom"/>
          </w:tcPr>
          <w:p>
            <w:pPr>
              <w:ind w:left="100"/>
              <w:spacing w:after="0"/>
              <w:rPr>
                <w:sz w:val="20"/>
                <w:szCs w:val="20"/>
                <w:color w:val="auto"/>
              </w:rPr>
            </w:pPr>
            <w:r>
              <w:rPr>
                <w:rFonts w:ascii="Arial" w:cs="Arial" w:eastAsia="Arial" w:hAnsi="Arial"/>
                <w:sz w:val="14"/>
                <w:szCs w:val="14"/>
                <w:color w:val="auto"/>
              </w:rPr>
              <w:t>Subordinated Debt (12% Cash, Due</w:t>
            </w:r>
          </w:p>
        </w:tc>
        <w:tc>
          <w:tcPr>
            <w:tcW w:w="700" w:type="dxa"/>
            <w:vAlign w:val="bottom"/>
          </w:tcPr>
          <w:p>
            <w:pPr>
              <w:spacing w:after="0"/>
              <w:rPr>
                <w:sz w:val="14"/>
                <w:szCs w:val="14"/>
                <w:color w:val="auto"/>
              </w:rPr>
            </w:pPr>
          </w:p>
        </w:tc>
      </w:tr>
      <w:tr>
        <w:trPr>
          <w:trHeight w:val="182"/>
        </w:trPr>
        <w:tc>
          <w:tcPr>
            <w:tcW w:w="2540" w:type="dxa"/>
            <w:vAlign w:val="bottom"/>
          </w:tcPr>
          <w:p>
            <w:pPr>
              <w:spacing w:after="0"/>
              <w:rPr>
                <w:sz w:val="20"/>
                <w:szCs w:val="20"/>
                <w:color w:val="auto"/>
              </w:rPr>
            </w:pPr>
            <w:r>
              <w:rPr>
                <w:rFonts w:ascii="Arial" w:cs="Arial" w:eastAsia="Arial" w:hAnsi="Arial"/>
                <w:sz w:val="14"/>
                <w:szCs w:val="14"/>
                <w:color w:val="auto"/>
              </w:rPr>
              <w:t>A Wireless Holding Company</w:t>
            </w:r>
          </w:p>
        </w:tc>
        <w:tc>
          <w:tcPr>
            <w:tcW w:w="2180" w:type="dxa"/>
            <w:vAlign w:val="bottom"/>
          </w:tcPr>
          <w:p>
            <w:pPr>
              <w:ind w:left="100"/>
              <w:spacing w:after="0"/>
              <w:rPr>
                <w:sz w:val="20"/>
                <w:szCs w:val="20"/>
                <w:color w:val="auto"/>
              </w:rPr>
            </w:pPr>
            <w:r>
              <w:rPr>
                <w:rFonts w:ascii="Arial" w:cs="Arial" w:eastAsia="Arial" w:hAnsi="Arial"/>
                <w:sz w:val="14"/>
                <w:szCs w:val="14"/>
                <w:color w:val="auto"/>
                <w:w w:val="99"/>
              </w:rPr>
              <w:t>Wireless Communication Retailer</w:t>
            </w:r>
          </w:p>
        </w:tc>
        <w:tc>
          <w:tcPr>
            <w:tcW w:w="2480" w:type="dxa"/>
            <w:vAlign w:val="bottom"/>
          </w:tcPr>
          <w:p>
            <w:pPr>
              <w:ind w:left="100"/>
              <w:spacing w:after="0"/>
              <w:rPr>
                <w:sz w:val="20"/>
                <w:szCs w:val="20"/>
                <w:color w:val="auto"/>
              </w:rPr>
            </w:pPr>
            <w:r>
              <w:rPr>
                <w:rFonts w:ascii="Arial" w:cs="Arial" w:eastAsia="Arial" w:hAnsi="Arial"/>
                <w:sz w:val="14"/>
                <w:szCs w:val="14"/>
                <w:color w:val="auto"/>
              </w:rPr>
              <w:t>9/09/19)</w:t>
            </w:r>
          </w:p>
        </w:tc>
        <w:tc>
          <w:tcPr>
            <w:tcW w:w="700" w:type="dxa"/>
            <w:vAlign w:val="bottom"/>
          </w:tcPr>
          <w:p>
            <w:pPr>
              <w:jc w:val="right"/>
              <w:spacing w:after="0"/>
              <w:rPr>
                <w:sz w:val="20"/>
                <w:szCs w:val="20"/>
                <w:color w:val="auto"/>
              </w:rPr>
            </w:pPr>
            <w:r>
              <w:rPr>
                <w:rFonts w:ascii="Arial" w:cs="Arial" w:eastAsia="Arial" w:hAnsi="Arial"/>
                <w:sz w:val="14"/>
                <w:szCs w:val="14"/>
                <w:color w:val="auto"/>
              </w:rPr>
              <w:t>12,000</w:t>
            </w:r>
          </w:p>
        </w:tc>
      </w:tr>
      <w:tr>
        <w:trPr>
          <w:trHeight w:val="647"/>
        </w:trPr>
        <w:tc>
          <w:tcPr>
            <w:tcW w:w="2540" w:type="dxa"/>
            <w:vAlign w:val="bottom"/>
          </w:tcPr>
          <w:p>
            <w:pPr>
              <w:spacing w:after="0"/>
              <w:rPr>
                <w:sz w:val="24"/>
                <w:szCs w:val="2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Replacement Window</w:t>
            </w:r>
          </w:p>
        </w:tc>
        <w:tc>
          <w:tcPr>
            <w:tcW w:w="2480" w:type="dxa"/>
            <w:vAlign w:val="bottom"/>
          </w:tcPr>
          <w:p>
            <w:pPr>
              <w:ind w:left="100"/>
              <w:spacing w:after="0"/>
              <w:rPr>
                <w:sz w:val="20"/>
                <w:szCs w:val="20"/>
                <w:color w:val="auto"/>
              </w:rPr>
            </w:pPr>
            <w:r>
              <w:rPr>
                <w:rFonts w:ascii="Arial" w:cs="Arial" w:eastAsia="Arial" w:hAnsi="Arial"/>
                <w:sz w:val="14"/>
                <w:szCs w:val="14"/>
                <w:color w:val="auto"/>
              </w:rPr>
              <w:t>Senior Secured Debt (14% Cash,</w:t>
            </w:r>
          </w:p>
        </w:tc>
        <w:tc>
          <w:tcPr>
            <w:tcW w:w="700" w:type="dxa"/>
            <w:vAlign w:val="bottom"/>
          </w:tcPr>
          <w:p>
            <w:pPr>
              <w:spacing w:after="0"/>
              <w:rPr>
                <w:sz w:val="24"/>
                <w:szCs w:val="24"/>
                <w:color w:val="auto"/>
              </w:rPr>
            </w:pPr>
          </w:p>
        </w:tc>
      </w:tr>
      <w:tr>
        <w:trPr>
          <w:trHeight w:val="305"/>
        </w:trPr>
        <w:tc>
          <w:tcPr>
            <w:tcW w:w="2540" w:type="dxa"/>
            <w:vAlign w:val="bottom"/>
          </w:tcPr>
          <w:p>
            <w:pPr>
              <w:spacing w:after="0"/>
              <w:rPr>
                <w:sz w:val="20"/>
                <w:szCs w:val="20"/>
                <w:color w:val="auto"/>
              </w:rPr>
            </w:pPr>
            <w:r>
              <w:rPr>
                <w:rFonts w:ascii="Arial" w:cs="Arial" w:eastAsia="Arial" w:hAnsi="Arial"/>
                <w:sz w:val="14"/>
                <w:szCs w:val="14"/>
                <w:color w:val="auto"/>
              </w:rPr>
              <w:t>American Exteriors, LLC</w:t>
            </w:r>
          </w:p>
        </w:tc>
        <w:tc>
          <w:tcPr>
            <w:tcW w:w="2180" w:type="dxa"/>
            <w:vAlign w:val="bottom"/>
          </w:tcPr>
          <w:p>
            <w:pPr>
              <w:ind w:left="100"/>
              <w:spacing w:after="0"/>
              <w:rPr>
                <w:sz w:val="20"/>
                <w:szCs w:val="20"/>
                <w:color w:val="auto"/>
              </w:rPr>
            </w:pPr>
            <w:r>
              <w:rPr>
                <w:rFonts w:ascii="Arial" w:cs="Arial" w:eastAsia="Arial" w:hAnsi="Arial"/>
                <w:sz w:val="14"/>
                <w:szCs w:val="14"/>
                <w:color w:val="auto"/>
              </w:rPr>
              <w:t>Manufacturer</w:t>
            </w:r>
          </w:p>
        </w:tc>
        <w:tc>
          <w:tcPr>
            <w:tcW w:w="2480" w:type="dxa"/>
            <w:vAlign w:val="bottom"/>
          </w:tcPr>
          <w:p>
            <w:pPr>
              <w:ind w:left="100"/>
              <w:spacing w:after="0"/>
              <w:rPr>
                <w:sz w:val="20"/>
                <w:szCs w:val="20"/>
                <w:color w:val="auto"/>
              </w:rPr>
            </w:pPr>
            <w:r>
              <w:rPr>
                <w:rFonts w:ascii="Arial" w:cs="Arial" w:eastAsia="Arial" w:hAnsi="Arial"/>
                <w:sz w:val="14"/>
                <w:szCs w:val="14"/>
                <w:color w:val="auto"/>
              </w:rPr>
              <w:t xml:space="preserve">Due 6/30/15) </w:t>
            </w:r>
            <w:r>
              <w:rPr>
                <w:rFonts w:ascii="Arial" w:cs="Arial" w:eastAsia="Arial" w:hAnsi="Arial"/>
                <w:sz w:val="23"/>
                <w:szCs w:val="23"/>
                <w:color w:val="auto"/>
                <w:vertAlign w:val="superscript"/>
              </w:rPr>
              <w:t>(1) (11)</w:t>
            </w:r>
          </w:p>
        </w:tc>
        <w:tc>
          <w:tcPr>
            <w:tcW w:w="700" w:type="dxa"/>
            <w:vAlign w:val="bottom"/>
          </w:tcPr>
          <w:p>
            <w:pPr>
              <w:jc w:val="right"/>
              <w:spacing w:after="0"/>
              <w:rPr>
                <w:sz w:val="20"/>
                <w:szCs w:val="20"/>
                <w:color w:val="auto"/>
              </w:rPr>
            </w:pPr>
            <w:r>
              <w:rPr>
                <w:rFonts w:ascii="Arial" w:cs="Arial" w:eastAsia="Arial" w:hAnsi="Arial"/>
                <w:sz w:val="14"/>
                <w:szCs w:val="14"/>
                <w:color w:val="auto"/>
              </w:rPr>
              <w:t>4,357</w:t>
            </w:r>
          </w:p>
        </w:tc>
      </w:tr>
      <w:tr>
        <w:trPr>
          <w:trHeight w:val="181"/>
        </w:trPr>
        <w:tc>
          <w:tcPr>
            <w:tcW w:w="2540" w:type="dxa"/>
            <w:vAlign w:val="bottom"/>
          </w:tcPr>
          <w:p>
            <w:pPr>
              <w:spacing w:after="0"/>
              <w:rPr>
                <w:sz w:val="15"/>
                <w:szCs w:val="15"/>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Replacement Window</w:t>
            </w:r>
          </w:p>
        </w:tc>
        <w:tc>
          <w:tcPr>
            <w:tcW w:w="2480" w:type="dxa"/>
            <w:vAlign w:val="bottom"/>
          </w:tcPr>
          <w:p>
            <w:pPr>
              <w:ind w:left="100"/>
              <w:spacing w:after="0"/>
              <w:rPr>
                <w:sz w:val="20"/>
                <w:szCs w:val="20"/>
                <w:color w:val="auto"/>
              </w:rPr>
            </w:pPr>
            <w:r>
              <w:rPr>
                <w:rFonts w:ascii="Arial" w:cs="Arial" w:eastAsia="Arial" w:hAnsi="Arial"/>
                <w:sz w:val="14"/>
                <w:szCs w:val="14"/>
                <w:color w:val="auto"/>
              </w:rPr>
              <w:t>Jr. Convertible Note (10% Cash,</w:t>
            </w:r>
          </w:p>
        </w:tc>
        <w:tc>
          <w:tcPr>
            <w:tcW w:w="700" w:type="dxa"/>
            <w:vAlign w:val="bottom"/>
          </w:tcPr>
          <w:p>
            <w:pPr>
              <w:spacing w:after="0"/>
              <w:rPr>
                <w:sz w:val="15"/>
                <w:szCs w:val="15"/>
                <w:color w:val="auto"/>
              </w:rPr>
            </w:pPr>
          </w:p>
        </w:tc>
      </w:tr>
      <w:tr>
        <w:trPr>
          <w:trHeight w:val="305"/>
        </w:trPr>
        <w:tc>
          <w:tcPr>
            <w:tcW w:w="2540" w:type="dxa"/>
            <w:vAlign w:val="bottom"/>
          </w:tcPr>
          <w:p>
            <w:pPr>
              <w:spacing w:after="0"/>
              <w:rPr>
                <w:sz w:val="20"/>
                <w:szCs w:val="20"/>
                <w:color w:val="auto"/>
              </w:rPr>
            </w:pPr>
            <w:r>
              <w:rPr>
                <w:rFonts w:ascii="Arial" w:cs="Arial" w:eastAsia="Arial" w:hAnsi="Arial"/>
                <w:sz w:val="14"/>
                <w:szCs w:val="14"/>
                <w:color w:val="auto"/>
              </w:rPr>
              <w:t>American Exteriors, LLC</w:t>
            </w:r>
          </w:p>
        </w:tc>
        <w:tc>
          <w:tcPr>
            <w:tcW w:w="2180" w:type="dxa"/>
            <w:vAlign w:val="bottom"/>
          </w:tcPr>
          <w:p>
            <w:pPr>
              <w:ind w:left="100"/>
              <w:spacing w:after="0"/>
              <w:rPr>
                <w:sz w:val="20"/>
                <w:szCs w:val="20"/>
                <w:color w:val="auto"/>
              </w:rPr>
            </w:pPr>
            <w:r>
              <w:rPr>
                <w:rFonts w:ascii="Arial" w:cs="Arial" w:eastAsia="Arial" w:hAnsi="Arial"/>
                <w:sz w:val="14"/>
                <w:szCs w:val="14"/>
                <w:color w:val="auto"/>
              </w:rPr>
              <w:t>Manufacturer</w:t>
            </w:r>
          </w:p>
        </w:tc>
        <w:tc>
          <w:tcPr>
            <w:tcW w:w="2480" w:type="dxa"/>
            <w:vAlign w:val="bottom"/>
          </w:tcPr>
          <w:p>
            <w:pPr>
              <w:ind w:left="100"/>
              <w:spacing w:after="0"/>
              <w:rPr>
                <w:sz w:val="20"/>
                <w:szCs w:val="20"/>
                <w:color w:val="auto"/>
              </w:rPr>
            </w:pPr>
            <w:r>
              <w:rPr>
                <w:rFonts w:ascii="Arial" w:cs="Arial" w:eastAsia="Arial" w:hAnsi="Arial"/>
                <w:sz w:val="14"/>
                <w:szCs w:val="14"/>
                <w:color w:val="auto"/>
              </w:rPr>
              <w:t xml:space="preserve">Due 6/30/16) </w:t>
            </w:r>
            <w:r>
              <w:rPr>
                <w:rFonts w:ascii="Arial" w:cs="Arial" w:eastAsia="Arial" w:hAnsi="Arial"/>
                <w:sz w:val="23"/>
                <w:szCs w:val="23"/>
                <w:color w:val="auto"/>
                <w:vertAlign w:val="superscript"/>
              </w:rPr>
              <w:t>(1)</w:t>
            </w:r>
          </w:p>
        </w:tc>
        <w:tc>
          <w:tcPr>
            <w:tcW w:w="700" w:type="dxa"/>
            <w:vAlign w:val="bottom"/>
          </w:tcPr>
          <w:p>
            <w:pPr>
              <w:jc w:val="right"/>
              <w:spacing w:after="0"/>
              <w:rPr>
                <w:sz w:val="20"/>
                <w:szCs w:val="20"/>
                <w:color w:val="auto"/>
              </w:rPr>
            </w:pPr>
            <w:r>
              <w:rPr>
                <w:rFonts w:ascii="Arial" w:cs="Arial" w:eastAsia="Arial" w:hAnsi="Arial"/>
                <w:sz w:val="14"/>
                <w:szCs w:val="14"/>
                <w:color w:val="auto"/>
              </w:rPr>
              <w:t>500</w:t>
            </w:r>
          </w:p>
        </w:tc>
      </w:tr>
      <w:tr>
        <w:trPr>
          <w:trHeight w:val="181"/>
        </w:trPr>
        <w:tc>
          <w:tcPr>
            <w:tcW w:w="2540" w:type="dxa"/>
            <w:vAlign w:val="bottom"/>
          </w:tcPr>
          <w:p>
            <w:pPr>
              <w:spacing w:after="0"/>
              <w:rPr>
                <w:sz w:val="15"/>
                <w:szCs w:val="15"/>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Replacement Window</w:t>
            </w:r>
          </w:p>
        </w:tc>
        <w:tc>
          <w:tcPr>
            <w:tcW w:w="2480" w:type="dxa"/>
            <w:vAlign w:val="bottom"/>
          </w:tcPr>
          <w:p>
            <w:pPr>
              <w:ind w:left="100"/>
              <w:spacing w:after="0"/>
              <w:rPr>
                <w:sz w:val="20"/>
                <w:szCs w:val="20"/>
                <w:color w:val="auto"/>
              </w:rPr>
            </w:pPr>
            <w:r>
              <w:rPr>
                <w:rFonts w:ascii="Arial" w:cs="Arial" w:eastAsia="Arial" w:hAnsi="Arial"/>
                <w:sz w:val="14"/>
                <w:szCs w:val="14"/>
                <w:color w:val="auto"/>
              </w:rPr>
              <w:t>Common Stock Warrants (15%</w:t>
            </w:r>
          </w:p>
        </w:tc>
        <w:tc>
          <w:tcPr>
            <w:tcW w:w="700" w:type="dxa"/>
            <w:vAlign w:val="bottom"/>
          </w:tcPr>
          <w:p>
            <w:pPr>
              <w:spacing w:after="0"/>
              <w:rPr>
                <w:sz w:val="15"/>
                <w:szCs w:val="15"/>
                <w:color w:val="auto"/>
              </w:rPr>
            </w:pPr>
          </w:p>
        </w:tc>
      </w:tr>
      <w:tr>
        <w:trPr>
          <w:trHeight w:val="313"/>
        </w:trPr>
        <w:tc>
          <w:tcPr>
            <w:tcW w:w="2540" w:type="dxa"/>
            <w:vAlign w:val="bottom"/>
          </w:tcPr>
          <w:p>
            <w:pPr>
              <w:spacing w:after="0"/>
              <w:rPr>
                <w:sz w:val="20"/>
                <w:szCs w:val="20"/>
                <w:color w:val="auto"/>
              </w:rPr>
            </w:pPr>
            <w:r>
              <w:rPr>
                <w:rFonts w:ascii="Arial" w:cs="Arial" w:eastAsia="Arial" w:hAnsi="Arial"/>
                <w:sz w:val="14"/>
                <w:szCs w:val="14"/>
                <w:color w:val="auto"/>
              </w:rPr>
              <w:t>American Exteriors, LLC</w:t>
            </w:r>
          </w:p>
        </w:tc>
        <w:tc>
          <w:tcPr>
            <w:tcW w:w="2180" w:type="dxa"/>
            <w:vAlign w:val="bottom"/>
          </w:tcPr>
          <w:p>
            <w:pPr>
              <w:ind w:left="100"/>
              <w:spacing w:after="0"/>
              <w:rPr>
                <w:sz w:val="20"/>
                <w:szCs w:val="20"/>
                <w:color w:val="auto"/>
              </w:rPr>
            </w:pPr>
            <w:r>
              <w:rPr>
                <w:rFonts w:ascii="Arial" w:cs="Arial" w:eastAsia="Arial" w:hAnsi="Arial"/>
                <w:sz w:val="14"/>
                <w:szCs w:val="14"/>
                <w:color w:val="auto"/>
              </w:rPr>
              <w:t>Manufacturer</w:t>
            </w:r>
          </w:p>
        </w:tc>
        <w:tc>
          <w:tcPr>
            <w:tcW w:w="2480" w:type="dxa"/>
            <w:vAlign w:val="bottom"/>
          </w:tcPr>
          <w:p>
            <w:pPr>
              <w:ind w:left="100"/>
              <w:spacing w:after="0"/>
              <w:rPr>
                <w:sz w:val="20"/>
                <w:szCs w:val="20"/>
                <w:color w:val="auto"/>
              </w:rPr>
            </w:pPr>
            <w:r>
              <w:rPr>
                <w:rFonts w:ascii="Arial" w:cs="Arial" w:eastAsia="Arial" w:hAnsi="Arial"/>
                <w:sz w:val="14"/>
                <w:szCs w:val="14"/>
                <w:color w:val="auto"/>
              </w:rPr>
              <w:t xml:space="preserve">fully diluted) </w:t>
            </w:r>
            <w:r>
              <w:rPr>
                <w:rFonts w:ascii="Arial" w:cs="Arial" w:eastAsia="Arial" w:hAnsi="Arial"/>
                <w:sz w:val="23"/>
                <w:szCs w:val="23"/>
                <w:color w:val="auto"/>
                <w:vertAlign w:val="superscript"/>
              </w:rPr>
              <w:t>(7)</w:t>
            </w:r>
          </w:p>
        </w:tc>
        <w:tc>
          <w:tcPr>
            <w:tcW w:w="700" w:type="dxa"/>
            <w:vAlign w:val="bottom"/>
          </w:tcPr>
          <w:p>
            <w:pPr>
              <w:spacing w:after="0"/>
              <w:rPr>
                <w:sz w:val="24"/>
                <w:szCs w:val="24"/>
                <w:color w:val="auto"/>
              </w:rPr>
            </w:pPr>
          </w:p>
        </w:tc>
      </w:tr>
      <w:tr>
        <w:trPr>
          <w:trHeight w:val="492"/>
        </w:trPr>
        <w:tc>
          <w:tcPr>
            <w:tcW w:w="25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480" w:type="dxa"/>
            <w:vAlign w:val="bottom"/>
          </w:tcPr>
          <w:p>
            <w:pPr>
              <w:ind w:left="100"/>
              <w:spacing w:after="0"/>
              <w:rPr>
                <w:sz w:val="20"/>
                <w:szCs w:val="20"/>
                <w:color w:val="auto"/>
              </w:rPr>
            </w:pPr>
            <w:r>
              <w:rPr>
                <w:rFonts w:ascii="Arial" w:cs="Arial" w:eastAsia="Arial" w:hAnsi="Arial"/>
                <w:sz w:val="14"/>
                <w:szCs w:val="14"/>
                <w:color w:val="auto"/>
              </w:rPr>
              <w:t>Senior Secured Term Debt</w:t>
            </w:r>
          </w:p>
        </w:tc>
        <w:tc>
          <w:tcPr>
            <w:tcW w:w="700" w:type="dxa"/>
            <w:vAlign w:val="bottom"/>
          </w:tcPr>
          <w:p>
            <w:pPr>
              <w:spacing w:after="0"/>
              <w:rPr>
                <w:sz w:val="24"/>
                <w:szCs w:val="24"/>
                <w:color w:val="auto"/>
              </w:rPr>
            </w:pPr>
          </w:p>
        </w:tc>
      </w:tr>
      <w:tr>
        <w:trPr>
          <w:trHeight w:val="149"/>
        </w:trPr>
        <w:tc>
          <w:tcPr>
            <w:tcW w:w="25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480" w:type="dxa"/>
            <w:vAlign w:val="bottom"/>
          </w:tcPr>
          <w:p>
            <w:pPr>
              <w:ind w:left="100"/>
              <w:spacing w:after="0" w:line="149" w:lineRule="exact"/>
              <w:rPr>
                <w:sz w:val="20"/>
                <w:szCs w:val="20"/>
                <w:color w:val="auto"/>
              </w:rPr>
            </w:pPr>
            <w:r>
              <w:rPr>
                <w:rFonts w:ascii="Arial" w:cs="Arial" w:eastAsia="Arial" w:hAnsi="Arial"/>
                <w:sz w:val="14"/>
                <w:szCs w:val="14"/>
                <w:color w:val="auto"/>
              </w:rPr>
              <w:t>(L+7.5% Cash, 1% Floor, Due</w:t>
            </w:r>
          </w:p>
        </w:tc>
        <w:tc>
          <w:tcPr>
            <w:tcW w:w="700" w:type="dxa"/>
            <w:vAlign w:val="bottom"/>
          </w:tcPr>
          <w:p>
            <w:pPr>
              <w:spacing w:after="0"/>
              <w:rPr>
                <w:sz w:val="12"/>
                <w:szCs w:val="12"/>
                <w:color w:val="auto"/>
              </w:rPr>
            </w:pPr>
          </w:p>
        </w:tc>
      </w:tr>
      <w:tr>
        <w:trPr>
          <w:trHeight w:val="182"/>
        </w:trPr>
        <w:tc>
          <w:tcPr>
            <w:tcW w:w="2540" w:type="dxa"/>
            <w:vAlign w:val="bottom"/>
          </w:tcPr>
          <w:p>
            <w:pPr>
              <w:spacing w:after="0"/>
              <w:rPr>
                <w:sz w:val="20"/>
                <w:szCs w:val="20"/>
                <w:color w:val="auto"/>
              </w:rPr>
            </w:pPr>
            <w:r>
              <w:rPr>
                <w:rFonts w:ascii="Arial" w:cs="Arial" w:eastAsia="Arial" w:hAnsi="Arial"/>
                <w:sz w:val="14"/>
                <w:szCs w:val="14"/>
                <w:color w:val="auto"/>
              </w:rPr>
              <w:t>Bluestem Brands, Inc.</w:t>
            </w:r>
          </w:p>
        </w:tc>
        <w:tc>
          <w:tcPr>
            <w:tcW w:w="2180" w:type="dxa"/>
            <w:vAlign w:val="bottom"/>
          </w:tcPr>
          <w:p>
            <w:pPr>
              <w:ind w:left="100"/>
              <w:spacing w:after="0"/>
              <w:rPr>
                <w:sz w:val="20"/>
                <w:szCs w:val="20"/>
                <w:color w:val="auto"/>
              </w:rPr>
            </w:pPr>
            <w:r>
              <w:rPr>
                <w:rFonts w:ascii="Arial" w:cs="Arial" w:eastAsia="Arial" w:hAnsi="Arial"/>
                <w:sz w:val="14"/>
                <w:szCs w:val="14"/>
                <w:color w:val="auto"/>
              </w:rPr>
              <w:t>Online Merchandise Retailer</w:t>
            </w:r>
          </w:p>
        </w:tc>
        <w:tc>
          <w:tcPr>
            <w:tcW w:w="2480" w:type="dxa"/>
            <w:vAlign w:val="bottom"/>
          </w:tcPr>
          <w:p>
            <w:pPr>
              <w:ind w:left="100"/>
              <w:spacing w:after="0"/>
              <w:rPr>
                <w:sz w:val="20"/>
                <w:szCs w:val="20"/>
                <w:color w:val="auto"/>
              </w:rPr>
            </w:pPr>
            <w:r>
              <w:rPr>
                <w:rFonts w:ascii="Arial" w:cs="Arial" w:eastAsia="Arial" w:hAnsi="Arial"/>
                <w:sz w:val="14"/>
                <w:szCs w:val="14"/>
                <w:color w:val="auto"/>
              </w:rPr>
              <w:t>11/7/2020)</w:t>
            </w:r>
          </w:p>
        </w:tc>
        <w:tc>
          <w:tcPr>
            <w:tcW w:w="700" w:type="dxa"/>
            <w:vAlign w:val="bottom"/>
          </w:tcPr>
          <w:p>
            <w:pPr>
              <w:jc w:val="right"/>
              <w:spacing w:after="0"/>
              <w:rPr>
                <w:sz w:val="20"/>
                <w:szCs w:val="20"/>
                <w:color w:val="auto"/>
              </w:rPr>
            </w:pPr>
            <w:r>
              <w:rPr>
                <w:rFonts w:ascii="Arial" w:cs="Arial" w:eastAsia="Arial" w:hAnsi="Arial"/>
                <w:sz w:val="14"/>
                <w:szCs w:val="14"/>
                <w:color w:val="auto"/>
              </w:rPr>
              <w:t>5,000</w:t>
            </w:r>
          </w:p>
        </w:tc>
      </w:tr>
      <w:tr>
        <w:trPr>
          <w:trHeight w:val="624"/>
        </w:trPr>
        <w:tc>
          <w:tcPr>
            <w:tcW w:w="25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480" w:type="dxa"/>
            <w:vAlign w:val="bottom"/>
          </w:tcPr>
          <w:p>
            <w:pPr>
              <w:ind w:left="100"/>
              <w:spacing w:after="0"/>
              <w:rPr>
                <w:sz w:val="20"/>
                <w:szCs w:val="20"/>
                <w:color w:val="auto"/>
              </w:rPr>
            </w:pPr>
            <w:r>
              <w:rPr>
                <w:rFonts w:ascii="Arial" w:cs="Arial" w:eastAsia="Arial" w:hAnsi="Arial"/>
                <w:sz w:val="14"/>
                <w:szCs w:val="14"/>
                <w:color w:val="auto"/>
              </w:rPr>
              <w:t>Common Stock (600,000 shares)</w:t>
            </w:r>
          </w:p>
        </w:tc>
        <w:tc>
          <w:tcPr>
            <w:tcW w:w="700" w:type="dxa"/>
            <w:vAlign w:val="bottom"/>
          </w:tcPr>
          <w:p>
            <w:pPr>
              <w:spacing w:after="0"/>
              <w:rPr>
                <w:sz w:val="24"/>
                <w:szCs w:val="24"/>
                <w:color w:val="auto"/>
              </w:rPr>
            </w:pPr>
          </w:p>
        </w:tc>
      </w:tr>
      <w:tr>
        <w:trPr>
          <w:trHeight w:val="186"/>
        </w:trPr>
        <w:tc>
          <w:tcPr>
            <w:tcW w:w="2540" w:type="dxa"/>
            <w:vAlign w:val="bottom"/>
          </w:tcPr>
          <w:p>
            <w:pPr>
              <w:spacing w:after="0"/>
              <w:rPr>
                <w:sz w:val="20"/>
                <w:szCs w:val="20"/>
                <w:color w:val="auto"/>
              </w:rPr>
            </w:pPr>
            <w:r>
              <w:rPr>
                <w:rFonts w:ascii="Arial" w:cs="Arial" w:eastAsia="Arial" w:hAnsi="Arial"/>
                <w:sz w:val="14"/>
                <w:szCs w:val="14"/>
                <w:color w:val="auto"/>
              </w:rPr>
              <w:t>Boot Barn Holdings, Inc</w:t>
            </w:r>
          </w:p>
        </w:tc>
        <w:tc>
          <w:tcPr>
            <w:tcW w:w="2180" w:type="dxa"/>
            <w:vAlign w:val="bottom"/>
          </w:tcPr>
          <w:p>
            <w:pPr>
              <w:ind w:left="100"/>
              <w:spacing w:after="0"/>
              <w:rPr>
                <w:sz w:val="20"/>
                <w:szCs w:val="20"/>
                <w:color w:val="auto"/>
              </w:rPr>
            </w:pPr>
            <w:r>
              <w:rPr>
                <w:rFonts w:ascii="Arial" w:cs="Arial" w:eastAsia="Arial" w:hAnsi="Arial"/>
                <w:sz w:val="14"/>
                <w:szCs w:val="14"/>
                <w:color w:val="auto"/>
              </w:rPr>
              <w:t>Western Wear Retail</w:t>
            </w:r>
          </w:p>
        </w:tc>
        <w:tc>
          <w:tcPr>
            <w:tcW w:w="2480" w:type="dxa"/>
            <w:vAlign w:val="bottom"/>
          </w:tcPr>
          <w:p>
            <w:pPr>
              <w:ind w:left="100"/>
              <w:spacing w:after="0"/>
              <w:rPr>
                <w:sz w:val="20"/>
                <w:szCs w:val="20"/>
                <w:color w:val="auto"/>
              </w:rPr>
            </w:pPr>
            <w:r>
              <w:rPr>
                <w:rFonts w:ascii="Arial" w:cs="Arial" w:eastAsia="Arial" w:hAnsi="Arial"/>
                <w:sz w:val="12"/>
                <w:szCs w:val="12"/>
                <w:color w:val="auto"/>
              </w:rPr>
              <w:t>(8)</w:t>
            </w:r>
          </w:p>
        </w:tc>
        <w:tc>
          <w:tcPr>
            <w:tcW w:w="700" w:type="dxa"/>
            <w:vAlign w:val="bottom"/>
          </w:tcPr>
          <w:p>
            <w:pPr>
              <w:spacing w:after="0"/>
              <w:rPr>
                <w:sz w:val="16"/>
                <w:szCs w:val="16"/>
                <w:color w:val="auto"/>
              </w:rPr>
            </w:pPr>
          </w:p>
        </w:tc>
      </w:tr>
      <w:tr>
        <w:trPr>
          <w:trHeight w:val="648"/>
        </w:trPr>
        <w:tc>
          <w:tcPr>
            <w:tcW w:w="2540" w:type="dxa"/>
            <w:vAlign w:val="bottom"/>
          </w:tcPr>
          <w:p>
            <w:pPr>
              <w:spacing w:after="0"/>
              <w:rPr>
                <w:sz w:val="20"/>
                <w:szCs w:val="20"/>
                <w:color w:val="auto"/>
              </w:rPr>
            </w:pPr>
            <w:r>
              <w:rPr>
                <w:rFonts w:ascii="Arial" w:cs="Arial" w:eastAsia="Arial" w:hAnsi="Arial"/>
                <w:sz w:val="14"/>
                <w:szCs w:val="14"/>
                <w:color w:val="auto"/>
              </w:rPr>
              <w:t>Caregiver Services, Inc.</w:t>
            </w:r>
          </w:p>
        </w:tc>
        <w:tc>
          <w:tcPr>
            <w:tcW w:w="2180" w:type="dxa"/>
            <w:vAlign w:val="bottom"/>
          </w:tcPr>
          <w:p>
            <w:pPr>
              <w:ind w:left="100"/>
              <w:spacing w:after="0"/>
              <w:rPr>
                <w:sz w:val="20"/>
                <w:szCs w:val="20"/>
                <w:color w:val="auto"/>
              </w:rPr>
            </w:pPr>
            <w:r>
              <w:rPr>
                <w:rFonts w:ascii="Arial" w:cs="Arial" w:eastAsia="Arial" w:hAnsi="Arial"/>
                <w:sz w:val="14"/>
                <w:szCs w:val="14"/>
                <w:color w:val="auto"/>
              </w:rPr>
              <w:t>In-Home Healthcare Services</w:t>
            </w:r>
          </w:p>
        </w:tc>
        <w:tc>
          <w:tcPr>
            <w:tcW w:w="2480" w:type="dxa"/>
            <w:vAlign w:val="bottom"/>
          </w:tcPr>
          <w:p>
            <w:pPr>
              <w:ind w:left="100"/>
              <w:spacing w:after="0"/>
              <w:rPr>
                <w:sz w:val="20"/>
                <w:szCs w:val="20"/>
                <w:color w:val="auto"/>
              </w:rPr>
            </w:pPr>
            <w:r>
              <w:rPr>
                <w:rFonts w:ascii="Arial" w:cs="Arial" w:eastAsia="Arial" w:hAnsi="Arial"/>
                <w:sz w:val="14"/>
                <w:szCs w:val="14"/>
                <w:color w:val="auto"/>
              </w:rPr>
              <w:t>Common Stock (293,186 shares)</w:t>
            </w:r>
          </w:p>
        </w:tc>
        <w:tc>
          <w:tcPr>
            <w:tcW w:w="700" w:type="dxa"/>
            <w:vAlign w:val="bottom"/>
          </w:tcPr>
          <w:p>
            <w:pPr>
              <w:spacing w:after="0"/>
              <w:rPr>
                <w:sz w:val="24"/>
                <w:szCs w:val="24"/>
                <w:color w:val="auto"/>
              </w:rPr>
            </w:pPr>
          </w:p>
        </w:tc>
      </w:tr>
      <w:tr>
        <w:trPr>
          <w:trHeight w:val="273"/>
        </w:trPr>
        <w:tc>
          <w:tcPr>
            <w:tcW w:w="254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2480" w:type="dxa"/>
            <w:vAlign w:val="bottom"/>
          </w:tcPr>
          <w:p>
            <w:pPr>
              <w:ind w:left="100"/>
              <w:spacing w:after="0"/>
              <w:rPr>
                <w:sz w:val="20"/>
                <w:szCs w:val="20"/>
                <w:color w:val="auto"/>
              </w:rPr>
            </w:pPr>
            <w:r>
              <w:rPr>
                <w:rFonts w:ascii="Arial" w:cs="Arial" w:eastAsia="Arial" w:hAnsi="Arial"/>
                <w:sz w:val="14"/>
                <w:szCs w:val="14"/>
                <w:color w:val="auto"/>
              </w:rPr>
              <w:t>Common Stock Warrants (655,908</w:t>
            </w:r>
          </w:p>
        </w:tc>
        <w:tc>
          <w:tcPr>
            <w:tcW w:w="700" w:type="dxa"/>
            <w:vAlign w:val="bottom"/>
          </w:tcPr>
          <w:p>
            <w:pPr>
              <w:spacing w:after="0"/>
              <w:rPr>
                <w:sz w:val="23"/>
                <w:szCs w:val="23"/>
                <w:color w:val="auto"/>
              </w:rPr>
            </w:pPr>
          </w:p>
        </w:tc>
      </w:tr>
      <w:tr>
        <w:trPr>
          <w:trHeight w:val="313"/>
        </w:trPr>
        <w:tc>
          <w:tcPr>
            <w:tcW w:w="2540" w:type="dxa"/>
            <w:vAlign w:val="bottom"/>
          </w:tcPr>
          <w:p>
            <w:pPr>
              <w:spacing w:after="0"/>
              <w:rPr>
                <w:sz w:val="20"/>
                <w:szCs w:val="20"/>
                <w:color w:val="auto"/>
              </w:rPr>
            </w:pPr>
            <w:r>
              <w:rPr>
                <w:rFonts w:ascii="Arial" w:cs="Arial" w:eastAsia="Arial" w:hAnsi="Arial"/>
                <w:sz w:val="14"/>
                <w:szCs w:val="14"/>
                <w:color w:val="auto"/>
              </w:rPr>
              <w:t>Caregiver Services, Inc.</w:t>
            </w:r>
          </w:p>
        </w:tc>
        <w:tc>
          <w:tcPr>
            <w:tcW w:w="2180" w:type="dxa"/>
            <w:vAlign w:val="bottom"/>
          </w:tcPr>
          <w:p>
            <w:pPr>
              <w:ind w:left="100"/>
              <w:spacing w:after="0"/>
              <w:rPr>
                <w:sz w:val="20"/>
                <w:szCs w:val="20"/>
                <w:color w:val="auto"/>
              </w:rPr>
            </w:pPr>
            <w:r>
              <w:rPr>
                <w:rFonts w:ascii="Arial" w:cs="Arial" w:eastAsia="Arial" w:hAnsi="Arial"/>
                <w:sz w:val="14"/>
                <w:szCs w:val="14"/>
                <w:color w:val="auto"/>
              </w:rPr>
              <w:t>In-Home Healthcare Services</w:t>
            </w:r>
          </w:p>
        </w:tc>
        <w:tc>
          <w:tcPr>
            <w:tcW w:w="2480" w:type="dxa"/>
            <w:vAlign w:val="bottom"/>
          </w:tcPr>
          <w:p>
            <w:pPr>
              <w:ind w:left="100"/>
              <w:spacing w:after="0"/>
              <w:rPr>
                <w:sz w:val="20"/>
                <w:szCs w:val="20"/>
                <w:color w:val="auto"/>
              </w:rPr>
            </w:pPr>
            <w:r>
              <w:rPr>
                <w:rFonts w:ascii="Arial" w:cs="Arial" w:eastAsia="Arial" w:hAnsi="Arial"/>
                <w:sz w:val="14"/>
                <w:szCs w:val="14"/>
                <w:color w:val="auto"/>
              </w:rPr>
              <w:t xml:space="preserve">units) </w:t>
            </w:r>
            <w:r>
              <w:rPr>
                <w:rFonts w:ascii="Arial" w:cs="Arial" w:eastAsia="Arial" w:hAnsi="Arial"/>
                <w:sz w:val="23"/>
                <w:szCs w:val="23"/>
                <w:color w:val="auto"/>
                <w:vertAlign w:val="superscript"/>
              </w:rPr>
              <w:t>(7)</w:t>
            </w:r>
          </w:p>
        </w:tc>
        <w:tc>
          <w:tcPr>
            <w:tcW w:w="700" w:type="dxa"/>
            <w:vAlign w:val="bottom"/>
          </w:tcPr>
          <w:p>
            <w:pPr>
              <w:spacing w:after="0"/>
              <w:rPr>
                <w:sz w:val="24"/>
                <w:szCs w:val="24"/>
                <w:color w:val="auto"/>
              </w:rPr>
            </w:pPr>
          </w:p>
        </w:tc>
      </w:tr>
      <w:tr>
        <w:trPr>
          <w:trHeight w:val="514"/>
        </w:trPr>
        <w:tc>
          <w:tcPr>
            <w:tcW w:w="25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480" w:type="dxa"/>
            <w:vAlign w:val="bottom"/>
          </w:tcPr>
          <w:p>
            <w:pPr>
              <w:ind w:left="100"/>
              <w:spacing w:after="0"/>
              <w:rPr>
                <w:sz w:val="20"/>
                <w:szCs w:val="20"/>
                <w:color w:val="auto"/>
              </w:rPr>
            </w:pPr>
            <w:r>
              <w:rPr>
                <w:rFonts w:ascii="Arial" w:cs="Arial" w:eastAsia="Arial" w:hAnsi="Arial"/>
                <w:sz w:val="14"/>
                <w:szCs w:val="14"/>
                <w:color w:val="auto"/>
              </w:rPr>
              <w:t>Subordinated Debt (11.5% Cash,</w:t>
            </w:r>
          </w:p>
        </w:tc>
        <w:tc>
          <w:tcPr>
            <w:tcW w:w="700" w:type="dxa"/>
            <w:vAlign w:val="bottom"/>
          </w:tcPr>
          <w:p>
            <w:pPr>
              <w:spacing w:after="0"/>
              <w:rPr>
                <w:sz w:val="24"/>
                <w:szCs w:val="24"/>
                <w:color w:val="auto"/>
              </w:rPr>
            </w:pPr>
          </w:p>
        </w:tc>
      </w:tr>
      <w:tr>
        <w:trPr>
          <w:trHeight w:val="182"/>
        </w:trPr>
        <w:tc>
          <w:tcPr>
            <w:tcW w:w="2540" w:type="dxa"/>
            <w:vAlign w:val="bottom"/>
          </w:tcPr>
          <w:p>
            <w:pPr>
              <w:spacing w:after="0"/>
              <w:rPr>
                <w:sz w:val="20"/>
                <w:szCs w:val="20"/>
                <w:color w:val="auto"/>
              </w:rPr>
            </w:pPr>
            <w:r>
              <w:rPr>
                <w:rFonts w:ascii="Arial" w:cs="Arial" w:eastAsia="Arial" w:hAnsi="Arial"/>
                <w:sz w:val="14"/>
                <w:szCs w:val="14"/>
                <w:color w:val="auto"/>
              </w:rPr>
              <w:t>Construction Partners, Inc.</w:t>
            </w:r>
          </w:p>
        </w:tc>
        <w:tc>
          <w:tcPr>
            <w:tcW w:w="2180" w:type="dxa"/>
            <w:vAlign w:val="bottom"/>
          </w:tcPr>
          <w:p>
            <w:pPr>
              <w:ind w:left="100"/>
              <w:spacing w:after="0"/>
              <w:rPr>
                <w:sz w:val="20"/>
                <w:szCs w:val="20"/>
                <w:color w:val="auto"/>
              </w:rPr>
            </w:pPr>
            <w:r>
              <w:rPr>
                <w:rFonts w:ascii="Arial" w:cs="Arial" w:eastAsia="Arial" w:hAnsi="Arial"/>
                <w:sz w:val="14"/>
                <w:szCs w:val="14"/>
                <w:color w:val="auto"/>
              </w:rPr>
              <w:t>Construction Services</w:t>
            </w:r>
          </w:p>
        </w:tc>
        <w:tc>
          <w:tcPr>
            <w:tcW w:w="2480" w:type="dxa"/>
            <w:vAlign w:val="bottom"/>
          </w:tcPr>
          <w:p>
            <w:pPr>
              <w:ind w:left="100"/>
              <w:spacing w:after="0"/>
              <w:rPr>
                <w:sz w:val="20"/>
                <w:szCs w:val="20"/>
                <w:color w:val="auto"/>
              </w:rPr>
            </w:pPr>
            <w:r>
              <w:rPr>
                <w:rFonts w:ascii="Arial" w:cs="Arial" w:eastAsia="Arial" w:hAnsi="Arial"/>
                <w:sz w:val="14"/>
                <w:szCs w:val="14"/>
                <w:color w:val="auto"/>
              </w:rPr>
              <w:t>Due 6/12/2020)</w:t>
            </w:r>
          </w:p>
        </w:tc>
        <w:tc>
          <w:tcPr>
            <w:tcW w:w="700" w:type="dxa"/>
            <w:vAlign w:val="bottom"/>
          </w:tcPr>
          <w:p>
            <w:pPr>
              <w:jc w:val="right"/>
              <w:spacing w:after="0"/>
              <w:rPr>
                <w:sz w:val="20"/>
                <w:szCs w:val="20"/>
                <w:color w:val="auto"/>
              </w:rPr>
            </w:pPr>
            <w:r>
              <w:rPr>
                <w:rFonts w:ascii="Arial" w:cs="Arial" w:eastAsia="Arial" w:hAnsi="Arial"/>
                <w:sz w:val="14"/>
                <w:szCs w:val="14"/>
                <w:color w:val="auto"/>
              </w:rPr>
              <w:t>12,500</w:t>
            </w:r>
          </w:p>
        </w:tc>
      </w:tr>
      <w:tr>
        <w:trPr>
          <w:trHeight w:val="615"/>
        </w:trPr>
        <w:tc>
          <w:tcPr>
            <w:tcW w:w="25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480" w:type="dxa"/>
            <w:vAlign w:val="bottom"/>
          </w:tcPr>
          <w:p>
            <w:pPr>
              <w:ind w:left="100"/>
              <w:spacing w:after="0"/>
              <w:rPr>
                <w:sz w:val="20"/>
                <w:szCs w:val="20"/>
                <w:color w:val="auto"/>
              </w:rPr>
            </w:pPr>
            <w:r>
              <w:rPr>
                <w:rFonts w:ascii="Arial" w:cs="Arial" w:eastAsia="Arial" w:hAnsi="Arial"/>
                <w:sz w:val="14"/>
                <w:szCs w:val="14"/>
                <w:color w:val="auto"/>
              </w:rPr>
              <w:t>Series A Income Preferred Shares</w:t>
            </w:r>
          </w:p>
        </w:tc>
        <w:tc>
          <w:tcPr>
            <w:tcW w:w="700" w:type="dxa"/>
            <w:vAlign w:val="bottom"/>
          </w:tcPr>
          <w:p>
            <w:pPr>
              <w:spacing w:after="0"/>
              <w:rPr>
                <w:sz w:val="24"/>
                <w:szCs w:val="24"/>
                <w:color w:val="auto"/>
              </w:rPr>
            </w:pPr>
          </w:p>
        </w:tc>
      </w:tr>
      <w:tr>
        <w:trPr>
          <w:trHeight w:val="158"/>
        </w:trPr>
        <w:tc>
          <w:tcPr>
            <w:tcW w:w="25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480" w:type="dxa"/>
            <w:vAlign w:val="bottom"/>
          </w:tcPr>
          <w:p>
            <w:pPr>
              <w:ind w:left="100"/>
              <w:spacing w:after="0" w:line="159" w:lineRule="exact"/>
              <w:rPr>
                <w:sz w:val="20"/>
                <w:szCs w:val="20"/>
                <w:color w:val="auto"/>
              </w:rPr>
            </w:pPr>
            <w:r>
              <w:rPr>
                <w:rFonts w:ascii="Arial" w:cs="Arial" w:eastAsia="Arial" w:hAnsi="Arial"/>
                <w:sz w:val="14"/>
                <w:szCs w:val="14"/>
                <w:color w:val="auto"/>
              </w:rPr>
              <w:t>(6,000 shares, 10% Cash, 2% PIK</w:t>
            </w:r>
          </w:p>
        </w:tc>
        <w:tc>
          <w:tcPr>
            <w:tcW w:w="700" w:type="dxa"/>
            <w:vAlign w:val="bottom"/>
          </w:tcPr>
          <w:p>
            <w:pPr>
              <w:spacing w:after="0"/>
              <w:rPr>
                <w:sz w:val="13"/>
                <w:szCs w:val="13"/>
                <w:color w:val="auto"/>
              </w:rPr>
            </w:pPr>
          </w:p>
        </w:tc>
      </w:tr>
      <w:tr>
        <w:trPr>
          <w:trHeight w:val="313"/>
        </w:trPr>
        <w:tc>
          <w:tcPr>
            <w:tcW w:w="2540" w:type="dxa"/>
            <w:vAlign w:val="bottom"/>
          </w:tcPr>
          <w:p>
            <w:pPr>
              <w:spacing w:after="0"/>
              <w:rPr>
                <w:sz w:val="20"/>
                <w:szCs w:val="20"/>
                <w:color w:val="auto"/>
              </w:rPr>
            </w:pPr>
            <w:r>
              <w:rPr>
                <w:rFonts w:ascii="Arial" w:cs="Arial" w:eastAsia="Arial" w:hAnsi="Arial"/>
                <w:sz w:val="14"/>
                <w:szCs w:val="14"/>
                <w:color w:val="auto"/>
              </w:rPr>
              <w:t>Crowley Holdings, Inc.</w:t>
            </w:r>
          </w:p>
        </w:tc>
        <w:tc>
          <w:tcPr>
            <w:tcW w:w="2180" w:type="dxa"/>
            <w:vAlign w:val="bottom"/>
          </w:tcPr>
          <w:p>
            <w:pPr>
              <w:ind w:left="100"/>
              <w:spacing w:after="0"/>
              <w:rPr>
                <w:sz w:val="20"/>
                <w:szCs w:val="20"/>
                <w:color w:val="auto"/>
              </w:rPr>
            </w:pPr>
            <w:r>
              <w:rPr>
                <w:rFonts w:ascii="Arial" w:cs="Arial" w:eastAsia="Arial" w:hAnsi="Arial"/>
                <w:sz w:val="14"/>
                <w:szCs w:val="14"/>
                <w:color w:val="auto"/>
              </w:rPr>
              <w:t>Transportation</w:t>
            </w:r>
          </w:p>
        </w:tc>
        <w:tc>
          <w:tcPr>
            <w:tcW w:w="2480" w:type="dxa"/>
            <w:vAlign w:val="bottom"/>
          </w:tcPr>
          <w:p>
            <w:pPr>
              <w:ind w:left="100"/>
              <w:spacing w:after="0"/>
              <w:rPr>
                <w:sz w:val="20"/>
                <w:szCs w:val="20"/>
                <w:color w:val="auto"/>
              </w:rPr>
            </w:pPr>
            <w:r>
              <w:rPr>
                <w:rFonts w:ascii="Arial" w:cs="Arial" w:eastAsia="Arial" w:hAnsi="Arial"/>
                <w:sz w:val="14"/>
                <w:szCs w:val="14"/>
                <w:color w:val="auto"/>
              </w:rPr>
              <w:t xml:space="preserve">dividend) </w:t>
            </w:r>
            <w:r>
              <w:rPr>
                <w:rFonts w:ascii="Arial" w:cs="Arial" w:eastAsia="Arial" w:hAnsi="Arial"/>
                <w:sz w:val="23"/>
                <w:szCs w:val="23"/>
                <w:color w:val="auto"/>
                <w:vertAlign w:val="superscript"/>
              </w:rPr>
              <w:t>(6)</w:t>
            </w:r>
          </w:p>
        </w:tc>
        <w:tc>
          <w:tcPr>
            <w:tcW w:w="700" w:type="dxa"/>
            <w:vAlign w:val="bottom"/>
          </w:tcPr>
          <w:p>
            <w:pPr>
              <w:spacing w:after="0"/>
              <w:rPr>
                <w:sz w:val="24"/>
                <w:szCs w:val="24"/>
                <w:color w:val="auto"/>
              </w:rPr>
            </w:pPr>
          </w:p>
        </w:tc>
      </w:tr>
      <w:tr>
        <w:trPr>
          <w:trHeight w:val="514"/>
        </w:trPr>
        <w:tc>
          <w:tcPr>
            <w:tcW w:w="25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480" w:type="dxa"/>
            <w:vAlign w:val="bottom"/>
          </w:tcPr>
          <w:p>
            <w:pPr>
              <w:ind w:left="100"/>
              <w:spacing w:after="0"/>
              <w:rPr>
                <w:sz w:val="20"/>
                <w:szCs w:val="20"/>
                <w:color w:val="auto"/>
              </w:rPr>
            </w:pPr>
            <w:r>
              <w:rPr>
                <w:rFonts w:ascii="Arial" w:cs="Arial" w:eastAsia="Arial" w:hAnsi="Arial"/>
                <w:sz w:val="14"/>
                <w:szCs w:val="14"/>
                <w:color w:val="auto"/>
              </w:rPr>
              <w:t>Subordinated Debt (L+7.75%</w:t>
            </w:r>
          </w:p>
        </w:tc>
        <w:tc>
          <w:tcPr>
            <w:tcW w:w="700" w:type="dxa"/>
            <w:vAlign w:val="bottom"/>
          </w:tcPr>
          <w:p>
            <w:pPr>
              <w:spacing w:after="0"/>
              <w:rPr>
                <w:sz w:val="24"/>
                <w:szCs w:val="24"/>
                <w:color w:val="auto"/>
              </w:rPr>
            </w:pPr>
          </w:p>
        </w:tc>
      </w:tr>
      <w:tr>
        <w:trPr>
          <w:trHeight w:val="182"/>
        </w:trPr>
        <w:tc>
          <w:tcPr>
            <w:tcW w:w="2540" w:type="dxa"/>
            <w:vAlign w:val="bottom"/>
          </w:tcPr>
          <w:p>
            <w:pPr>
              <w:spacing w:after="0"/>
              <w:rPr>
                <w:sz w:val="20"/>
                <w:szCs w:val="20"/>
                <w:color w:val="auto"/>
              </w:rPr>
            </w:pPr>
            <w:r>
              <w:rPr>
                <w:rFonts w:ascii="Arial" w:cs="Arial" w:eastAsia="Arial" w:hAnsi="Arial"/>
                <w:sz w:val="14"/>
                <w:szCs w:val="14"/>
                <w:color w:val="auto"/>
              </w:rPr>
              <w:t>CSM Bakery Solutions, LLC</w:t>
            </w:r>
          </w:p>
        </w:tc>
        <w:tc>
          <w:tcPr>
            <w:tcW w:w="2180" w:type="dxa"/>
            <w:vAlign w:val="bottom"/>
          </w:tcPr>
          <w:p>
            <w:pPr>
              <w:ind w:left="100"/>
              <w:spacing w:after="0"/>
              <w:rPr>
                <w:sz w:val="20"/>
                <w:szCs w:val="20"/>
                <w:color w:val="auto"/>
              </w:rPr>
            </w:pPr>
            <w:r>
              <w:rPr>
                <w:rFonts w:ascii="Arial" w:cs="Arial" w:eastAsia="Arial" w:hAnsi="Arial"/>
                <w:sz w:val="14"/>
                <w:szCs w:val="14"/>
                <w:color w:val="auto"/>
              </w:rPr>
              <w:t>Bakery Supplies Distributor</w:t>
            </w:r>
          </w:p>
        </w:tc>
        <w:tc>
          <w:tcPr>
            <w:tcW w:w="2480" w:type="dxa"/>
            <w:vAlign w:val="bottom"/>
          </w:tcPr>
          <w:p>
            <w:pPr>
              <w:ind w:left="100"/>
              <w:spacing w:after="0"/>
              <w:rPr>
                <w:sz w:val="20"/>
                <w:szCs w:val="20"/>
                <w:color w:val="auto"/>
              </w:rPr>
            </w:pPr>
            <w:r>
              <w:rPr>
                <w:rFonts w:ascii="Arial" w:cs="Arial" w:eastAsia="Arial" w:hAnsi="Arial"/>
                <w:sz w:val="14"/>
                <w:szCs w:val="14"/>
                <w:color w:val="auto"/>
              </w:rPr>
              <w:t>Cash, 1% Floor, Due 8/7/22)</w:t>
            </w:r>
          </w:p>
        </w:tc>
        <w:tc>
          <w:tcPr>
            <w:tcW w:w="700" w:type="dxa"/>
            <w:vAlign w:val="bottom"/>
          </w:tcPr>
          <w:p>
            <w:pPr>
              <w:jc w:val="right"/>
              <w:spacing w:after="0"/>
              <w:rPr>
                <w:sz w:val="20"/>
                <w:szCs w:val="20"/>
                <w:color w:val="auto"/>
              </w:rPr>
            </w:pPr>
            <w:r>
              <w:rPr>
                <w:rFonts w:ascii="Arial" w:cs="Arial" w:eastAsia="Arial" w:hAnsi="Arial"/>
                <w:sz w:val="14"/>
                <w:szCs w:val="14"/>
                <w:color w:val="auto"/>
              </w:rPr>
              <w:t>17,000</w:t>
            </w:r>
          </w:p>
        </w:tc>
      </w:tr>
      <w:tr>
        <w:trPr>
          <w:trHeight w:val="615"/>
        </w:trPr>
        <w:tc>
          <w:tcPr>
            <w:tcW w:w="25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480" w:type="dxa"/>
            <w:vAlign w:val="bottom"/>
          </w:tcPr>
          <w:p>
            <w:pPr>
              <w:ind w:left="100"/>
              <w:spacing w:after="0"/>
              <w:rPr>
                <w:sz w:val="20"/>
                <w:szCs w:val="20"/>
                <w:color w:val="auto"/>
              </w:rPr>
            </w:pPr>
            <w:r>
              <w:rPr>
                <w:rFonts w:ascii="Arial" w:cs="Arial" w:eastAsia="Arial" w:hAnsi="Arial"/>
                <w:sz w:val="14"/>
                <w:szCs w:val="14"/>
                <w:color w:val="auto"/>
              </w:rPr>
              <w:t>Senior Secured Term Debt</w:t>
            </w:r>
          </w:p>
        </w:tc>
        <w:tc>
          <w:tcPr>
            <w:tcW w:w="700" w:type="dxa"/>
            <w:vAlign w:val="bottom"/>
          </w:tcPr>
          <w:p>
            <w:pPr>
              <w:spacing w:after="0"/>
              <w:rPr>
                <w:sz w:val="24"/>
                <w:szCs w:val="24"/>
                <w:color w:val="auto"/>
              </w:rPr>
            </w:pPr>
          </w:p>
        </w:tc>
      </w:tr>
      <w:tr>
        <w:trPr>
          <w:trHeight w:val="149"/>
        </w:trPr>
        <w:tc>
          <w:tcPr>
            <w:tcW w:w="25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480" w:type="dxa"/>
            <w:vAlign w:val="bottom"/>
          </w:tcPr>
          <w:p>
            <w:pPr>
              <w:ind w:left="100"/>
              <w:spacing w:after="0" w:line="149" w:lineRule="exact"/>
              <w:rPr>
                <w:sz w:val="20"/>
                <w:szCs w:val="20"/>
                <w:color w:val="auto"/>
              </w:rPr>
            </w:pPr>
            <w:r>
              <w:rPr>
                <w:rFonts w:ascii="Arial" w:cs="Arial" w:eastAsia="Arial" w:hAnsi="Arial"/>
                <w:sz w:val="14"/>
                <w:szCs w:val="14"/>
                <w:color w:val="auto"/>
              </w:rPr>
              <w:t>(L+5.75% Cash, 1% Floor, Due</w:t>
            </w:r>
          </w:p>
        </w:tc>
        <w:tc>
          <w:tcPr>
            <w:tcW w:w="700" w:type="dxa"/>
            <w:vAlign w:val="bottom"/>
          </w:tcPr>
          <w:p>
            <w:pPr>
              <w:spacing w:after="0"/>
              <w:rPr>
                <w:sz w:val="12"/>
                <w:szCs w:val="12"/>
                <w:color w:val="auto"/>
              </w:rPr>
            </w:pPr>
          </w:p>
        </w:tc>
      </w:tr>
      <w:tr>
        <w:trPr>
          <w:trHeight w:val="182"/>
        </w:trPr>
        <w:tc>
          <w:tcPr>
            <w:tcW w:w="2540" w:type="dxa"/>
            <w:vAlign w:val="bottom"/>
          </w:tcPr>
          <w:p>
            <w:pPr>
              <w:spacing w:after="0"/>
              <w:rPr>
                <w:sz w:val="20"/>
                <w:szCs w:val="20"/>
                <w:color w:val="auto"/>
              </w:rPr>
            </w:pPr>
            <w:r>
              <w:rPr>
                <w:rFonts w:ascii="Arial" w:cs="Arial" w:eastAsia="Arial" w:hAnsi="Arial"/>
                <w:sz w:val="14"/>
                <w:szCs w:val="14"/>
                <w:color w:val="auto"/>
              </w:rPr>
              <w:t>Flavors Holdings, Inc.</w:t>
            </w:r>
          </w:p>
        </w:tc>
        <w:tc>
          <w:tcPr>
            <w:tcW w:w="2180" w:type="dxa"/>
            <w:vAlign w:val="bottom"/>
          </w:tcPr>
          <w:p>
            <w:pPr>
              <w:ind w:left="100"/>
              <w:spacing w:after="0"/>
              <w:rPr>
                <w:sz w:val="20"/>
                <w:szCs w:val="20"/>
                <w:color w:val="auto"/>
              </w:rPr>
            </w:pPr>
            <w:r>
              <w:rPr>
                <w:rFonts w:ascii="Arial" w:cs="Arial" w:eastAsia="Arial" w:hAnsi="Arial"/>
                <w:sz w:val="14"/>
                <w:szCs w:val="14"/>
                <w:color w:val="auto"/>
              </w:rPr>
              <w:t>Food Product Manufacturer</w:t>
            </w:r>
          </w:p>
        </w:tc>
        <w:tc>
          <w:tcPr>
            <w:tcW w:w="2480" w:type="dxa"/>
            <w:vAlign w:val="bottom"/>
          </w:tcPr>
          <w:p>
            <w:pPr>
              <w:ind w:left="100"/>
              <w:spacing w:after="0"/>
              <w:rPr>
                <w:sz w:val="20"/>
                <w:szCs w:val="20"/>
                <w:color w:val="auto"/>
              </w:rPr>
            </w:pPr>
            <w:r>
              <w:rPr>
                <w:rFonts w:ascii="Arial" w:cs="Arial" w:eastAsia="Arial" w:hAnsi="Arial"/>
                <w:sz w:val="14"/>
                <w:szCs w:val="14"/>
                <w:color w:val="auto"/>
              </w:rPr>
              <w:t>4/3/2020)</w:t>
            </w:r>
          </w:p>
        </w:tc>
        <w:tc>
          <w:tcPr>
            <w:tcW w:w="700" w:type="dxa"/>
            <w:vAlign w:val="bottom"/>
          </w:tcPr>
          <w:p>
            <w:pPr>
              <w:jc w:val="right"/>
              <w:spacing w:after="0"/>
              <w:rPr>
                <w:sz w:val="20"/>
                <w:szCs w:val="20"/>
                <w:color w:val="auto"/>
              </w:rPr>
            </w:pPr>
            <w:r>
              <w:rPr>
                <w:rFonts w:ascii="Arial" w:cs="Arial" w:eastAsia="Arial" w:hAnsi="Arial"/>
                <w:sz w:val="14"/>
                <w:szCs w:val="14"/>
                <w:color w:val="auto"/>
              </w:rPr>
              <w:t>7,900</w:t>
            </w:r>
          </w:p>
        </w:tc>
      </w:tr>
      <w:tr>
        <w:trPr>
          <w:trHeight w:val="263"/>
        </w:trPr>
        <w:tc>
          <w:tcPr>
            <w:tcW w:w="254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2480" w:type="dxa"/>
            <w:vAlign w:val="bottom"/>
          </w:tcPr>
          <w:p>
            <w:pPr>
              <w:ind w:left="100"/>
              <w:spacing w:after="0"/>
              <w:rPr>
                <w:sz w:val="20"/>
                <w:szCs w:val="20"/>
                <w:color w:val="auto"/>
              </w:rPr>
            </w:pPr>
            <w:r>
              <w:rPr>
                <w:rFonts w:ascii="Arial" w:cs="Arial" w:eastAsia="Arial" w:hAnsi="Arial"/>
                <w:sz w:val="14"/>
                <w:szCs w:val="14"/>
                <w:color w:val="auto"/>
              </w:rPr>
              <w:t>Subordinated Debt (L+10%, 1%</w:t>
            </w:r>
          </w:p>
        </w:tc>
        <w:tc>
          <w:tcPr>
            <w:tcW w:w="700" w:type="dxa"/>
            <w:vAlign w:val="bottom"/>
          </w:tcPr>
          <w:p>
            <w:pPr>
              <w:spacing w:after="0"/>
              <w:rPr>
                <w:sz w:val="22"/>
                <w:szCs w:val="22"/>
                <w:color w:val="auto"/>
              </w:rPr>
            </w:pPr>
          </w:p>
        </w:tc>
      </w:tr>
      <w:tr>
        <w:trPr>
          <w:trHeight w:val="182"/>
        </w:trPr>
        <w:tc>
          <w:tcPr>
            <w:tcW w:w="2540" w:type="dxa"/>
            <w:vAlign w:val="bottom"/>
          </w:tcPr>
          <w:p>
            <w:pPr>
              <w:spacing w:after="0"/>
              <w:rPr>
                <w:sz w:val="20"/>
                <w:szCs w:val="20"/>
                <w:color w:val="auto"/>
              </w:rPr>
            </w:pPr>
            <w:r>
              <w:rPr>
                <w:rFonts w:ascii="Arial" w:cs="Arial" w:eastAsia="Arial" w:hAnsi="Arial"/>
                <w:sz w:val="14"/>
                <w:szCs w:val="14"/>
                <w:color w:val="auto"/>
              </w:rPr>
              <w:t>Flavors Holdings, Inc.</w:t>
            </w:r>
          </w:p>
        </w:tc>
        <w:tc>
          <w:tcPr>
            <w:tcW w:w="2180" w:type="dxa"/>
            <w:vAlign w:val="bottom"/>
          </w:tcPr>
          <w:p>
            <w:pPr>
              <w:ind w:left="100"/>
              <w:spacing w:after="0"/>
              <w:rPr>
                <w:sz w:val="20"/>
                <w:szCs w:val="20"/>
                <w:color w:val="auto"/>
              </w:rPr>
            </w:pPr>
            <w:r>
              <w:rPr>
                <w:rFonts w:ascii="Arial" w:cs="Arial" w:eastAsia="Arial" w:hAnsi="Arial"/>
                <w:sz w:val="14"/>
                <w:szCs w:val="14"/>
                <w:color w:val="auto"/>
              </w:rPr>
              <w:t>Food Product Manufacturer</w:t>
            </w:r>
          </w:p>
        </w:tc>
        <w:tc>
          <w:tcPr>
            <w:tcW w:w="2480" w:type="dxa"/>
            <w:vAlign w:val="bottom"/>
          </w:tcPr>
          <w:p>
            <w:pPr>
              <w:ind w:left="100"/>
              <w:spacing w:after="0"/>
              <w:rPr>
                <w:sz w:val="20"/>
                <w:szCs w:val="20"/>
                <w:color w:val="auto"/>
              </w:rPr>
            </w:pPr>
            <w:r>
              <w:rPr>
                <w:rFonts w:ascii="Arial" w:cs="Arial" w:eastAsia="Arial" w:hAnsi="Arial"/>
                <w:sz w:val="14"/>
                <w:szCs w:val="14"/>
                <w:color w:val="auto"/>
              </w:rPr>
              <w:t>Floor, Due 10/3/2021)</w:t>
            </w:r>
          </w:p>
        </w:tc>
        <w:tc>
          <w:tcPr>
            <w:tcW w:w="700" w:type="dxa"/>
            <w:vAlign w:val="bottom"/>
          </w:tcPr>
          <w:p>
            <w:pPr>
              <w:jc w:val="right"/>
              <w:spacing w:after="0"/>
              <w:rPr>
                <w:sz w:val="20"/>
                <w:szCs w:val="20"/>
                <w:color w:val="auto"/>
              </w:rPr>
            </w:pPr>
            <w:r>
              <w:rPr>
                <w:rFonts w:ascii="Arial" w:cs="Arial" w:eastAsia="Arial" w:hAnsi="Arial"/>
                <w:sz w:val="14"/>
                <w:szCs w:val="14"/>
                <w:color w:val="auto"/>
              </w:rPr>
              <w:t>12,000</w:t>
            </w:r>
          </w:p>
        </w:tc>
      </w:tr>
      <w:tr>
        <w:trPr>
          <w:trHeight w:val="615"/>
        </w:trPr>
        <w:tc>
          <w:tcPr>
            <w:tcW w:w="25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480" w:type="dxa"/>
            <w:vAlign w:val="bottom"/>
          </w:tcPr>
          <w:p>
            <w:pPr>
              <w:ind w:left="100"/>
              <w:spacing w:after="0"/>
              <w:rPr>
                <w:sz w:val="20"/>
                <w:szCs w:val="20"/>
                <w:color w:val="auto"/>
              </w:rPr>
            </w:pPr>
            <w:r>
              <w:rPr>
                <w:rFonts w:ascii="Arial" w:cs="Arial" w:eastAsia="Arial" w:hAnsi="Arial"/>
                <w:sz w:val="14"/>
                <w:szCs w:val="14"/>
                <w:color w:val="auto"/>
              </w:rPr>
              <w:t>Senior Secured Term Debt (13%</w:t>
            </w:r>
          </w:p>
        </w:tc>
        <w:tc>
          <w:tcPr>
            <w:tcW w:w="700" w:type="dxa"/>
            <w:vAlign w:val="bottom"/>
          </w:tcPr>
          <w:p>
            <w:pPr>
              <w:spacing w:after="0"/>
              <w:rPr>
                <w:sz w:val="24"/>
                <w:szCs w:val="24"/>
                <w:color w:val="auto"/>
              </w:rPr>
            </w:pPr>
          </w:p>
        </w:tc>
      </w:tr>
      <w:tr>
        <w:trPr>
          <w:trHeight w:val="182"/>
        </w:trPr>
        <w:tc>
          <w:tcPr>
            <w:tcW w:w="2540" w:type="dxa"/>
            <w:vAlign w:val="bottom"/>
          </w:tcPr>
          <w:p>
            <w:pPr>
              <w:spacing w:after="0"/>
              <w:rPr>
                <w:sz w:val="20"/>
                <w:szCs w:val="20"/>
                <w:color w:val="auto"/>
              </w:rPr>
            </w:pPr>
            <w:r>
              <w:rPr>
                <w:rFonts w:ascii="Arial" w:cs="Arial" w:eastAsia="Arial" w:hAnsi="Arial"/>
                <w:sz w:val="14"/>
                <w:szCs w:val="14"/>
                <w:color w:val="auto"/>
                <w:w w:val="99"/>
              </w:rPr>
              <w:t>Immersive Media Tactical Solutions, LLC</w:t>
            </w:r>
          </w:p>
        </w:tc>
        <w:tc>
          <w:tcPr>
            <w:tcW w:w="2180" w:type="dxa"/>
            <w:vAlign w:val="bottom"/>
          </w:tcPr>
          <w:p>
            <w:pPr>
              <w:ind w:left="100"/>
              <w:spacing w:after="0"/>
              <w:rPr>
                <w:sz w:val="20"/>
                <w:szCs w:val="20"/>
                <w:color w:val="auto"/>
              </w:rPr>
            </w:pPr>
            <w:r>
              <w:rPr>
                <w:rFonts w:ascii="Arial" w:cs="Arial" w:eastAsia="Arial" w:hAnsi="Arial"/>
                <w:sz w:val="14"/>
                <w:szCs w:val="14"/>
                <w:color w:val="auto"/>
              </w:rPr>
              <w:t>Specialty Defense Contractor</w:t>
            </w:r>
          </w:p>
        </w:tc>
        <w:tc>
          <w:tcPr>
            <w:tcW w:w="2480" w:type="dxa"/>
            <w:vAlign w:val="bottom"/>
          </w:tcPr>
          <w:p>
            <w:pPr>
              <w:ind w:left="100"/>
              <w:spacing w:after="0"/>
              <w:rPr>
                <w:sz w:val="20"/>
                <w:szCs w:val="20"/>
                <w:color w:val="auto"/>
              </w:rPr>
            </w:pPr>
            <w:r>
              <w:rPr>
                <w:rFonts w:ascii="Arial" w:cs="Arial" w:eastAsia="Arial" w:hAnsi="Arial"/>
                <w:sz w:val="14"/>
                <w:szCs w:val="14"/>
                <w:color w:val="auto"/>
              </w:rPr>
              <w:t>Cash, Due 10/6/16)</w:t>
            </w:r>
          </w:p>
        </w:tc>
        <w:tc>
          <w:tcPr>
            <w:tcW w:w="700" w:type="dxa"/>
            <w:vAlign w:val="bottom"/>
          </w:tcPr>
          <w:p>
            <w:pPr>
              <w:jc w:val="right"/>
              <w:spacing w:after="0"/>
              <w:rPr>
                <w:sz w:val="20"/>
                <w:szCs w:val="20"/>
                <w:color w:val="auto"/>
              </w:rPr>
            </w:pPr>
            <w:r>
              <w:rPr>
                <w:rFonts w:ascii="Arial" w:cs="Arial" w:eastAsia="Arial" w:hAnsi="Arial"/>
                <w:sz w:val="14"/>
                <w:szCs w:val="14"/>
                <w:color w:val="auto"/>
              </w:rPr>
              <w:t>2,000</w:t>
            </w:r>
          </w:p>
        </w:tc>
      </w:tr>
      <w:tr>
        <w:trPr>
          <w:trHeight w:val="263"/>
        </w:trPr>
        <w:tc>
          <w:tcPr>
            <w:tcW w:w="254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2480" w:type="dxa"/>
            <w:vAlign w:val="bottom"/>
          </w:tcPr>
          <w:p>
            <w:pPr>
              <w:ind w:left="100"/>
              <w:spacing w:after="0"/>
              <w:rPr>
                <w:sz w:val="20"/>
                <w:szCs w:val="20"/>
                <w:color w:val="auto"/>
              </w:rPr>
            </w:pPr>
            <w:r>
              <w:rPr>
                <w:rFonts w:ascii="Arial" w:cs="Arial" w:eastAsia="Arial" w:hAnsi="Arial"/>
                <w:sz w:val="14"/>
                <w:szCs w:val="14"/>
                <w:color w:val="auto"/>
              </w:rPr>
              <w:t>Common Unit Warrants (12% fully</w:t>
            </w:r>
          </w:p>
        </w:tc>
        <w:tc>
          <w:tcPr>
            <w:tcW w:w="700" w:type="dxa"/>
            <w:vAlign w:val="bottom"/>
          </w:tcPr>
          <w:p>
            <w:pPr>
              <w:spacing w:after="0"/>
              <w:rPr>
                <w:sz w:val="22"/>
                <w:szCs w:val="22"/>
                <w:color w:val="auto"/>
              </w:rPr>
            </w:pPr>
          </w:p>
        </w:tc>
      </w:tr>
      <w:tr>
        <w:trPr>
          <w:trHeight w:val="182"/>
        </w:trPr>
        <w:tc>
          <w:tcPr>
            <w:tcW w:w="2540" w:type="dxa"/>
            <w:vAlign w:val="bottom"/>
          </w:tcPr>
          <w:p>
            <w:pPr>
              <w:spacing w:after="0"/>
              <w:rPr>
                <w:sz w:val="20"/>
                <w:szCs w:val="20"/>
                <w:color w:val="auto"/>
              </w:rPr>
            </w:pPr>
            <w:r>
              <w:rPr>
                <w:rFonts w:ascii="Arial" w:cs="Arial" w:eastAsia="Arial" w:hAnsi="Arial"/>
                <w:sz w:val="14"/>
                <w:szCs w:val="14"/>
                <w:color w:val="auto"/>
                <w:w w:val="99"/>
              </w:rPr>
              <w:t>Immersive Media Tactical Solutions, LLC</w:t>
            </w:r>
          </w:p>
        </w:tc>
        <w:tc>
          <w:tcPr>
            <w:tcW w:w="2180" w:type="dxa"/>
            <w:vAlign w:val="bottom"/>
          </w:tcPr>
          <w:p>
            <w:pPr>
              <w:ind w:left="100"/>
              <w:spacing w:after="0"/>
              <w:rPr>
                <w:sz w:val="20"/>
                <w:szCs w:val="20"/>
                <w:color w:val="auto"/>
              </w:rPr>
            </w:pPr>
            <w:r>
              <w:rPr>
                <w:rFonts w:ascii="Arial" w:cs="Arial" w:eastAsia="Arial" w:hAnsi="Arial"/>
                <w:sz w:val="14"/>
                <w:szCs w:val="14"/>
                <w:color w:val="auto"/>
              </w:rPr>
              <w:t>Specialty Defense Contractor</w:t>
            </w:r>
          </w:p>
        </w:tc>
        <w:tc>
          <w:tcPr>
            <w:tcW w:w="2480" w:type="dxa"/>
            <w:vAlign w:val="bottom"/>
          </w:tcPr>
          <w:p>
            <w:pPr>
              <w:ind w:left="100"/>
              <w:spacing w:after="0"/>
              <w:rPr>
                <w:sz w:val="20"/>
                <w:szCs w:val="20"/>
                <w:color w:val="auto"/>
              </w:rPr>
            </w:pPr>
            <w:r>
              <w:rPr>
                <w:rFonts w:ascii="Arial" w:cs="Arial" w:eastAsia="Arial" w:hAnsi="Arial"/>
                <w:sz w:val="14"/>
                <w:szCs w:val="14"/>
                <w:color w:val="auto"/>
              </w:rPr>
              <w:t>diluted)</w:t>
            </w:r>
          </w:p>
        </w:tc>
        <w:tc>
          <w:tcPr>
            <w:tcW w:w="700" w:type="dxa"/>
            <w:vAlign w:val="bottom"/>
          </w:tcPr>
          <w:p>
            <w:pPr>
              <w:spacing w:after="0"/>
              <w:rPr>
                <w:sz w:val="15"/>
                <w:szCs w:val="15"/>
                <w:color w:val="auto"/>
              </w:rPr>
            </w:pPr>
          </w:p>
        </w:tc>
      </w:tr>
      <w:tr>
        <w:trPr>
          <w:trHeight w:val="615"/>
        </w:trPr>
        <w:tc>
          <w:tcPr>
            <w:tcW w:w="25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480" w:type="dxa"/>
            <w:vAlign w:val="bottom"/>
          </w:tcPr>
          <w:p>
            <w:pPr>
              <w:ind w:left="100"/>
              <w:spacing w:after="0"/>
              <w:rPr>
                <w:sz w:val="20"/>
                <w:szCs w:val="20"/>
                <w:color w:val="auto"/>
              </w:rPr>
            </w:pPr>
            <w:r>
              <w:rPr>
                <w:rFonts w:ascii="Arial" w:cs="Arial" w:eastAsia="Arial" w:hAnsi="Arial"/>
                <w:sz w:val="14"/>
                <w:szCs w:val="14"/>
                <w:color w:val="auto"/>
              </w:rPr>
              <w:t>Senior Secured Debt (14% Cash,</w:t>
            </w:r>
          </w:p>
        </w:tc>
        <w:tc>
          <w:tcPr>
            <w:tcW w:w="700" w:type="dxa"/>
            <w:vAlign w:val="bottom"/>
          </w:tcPr>
          <w:p>
            <w:pPr>
              <w:spacing w:after="0"/>
              <w:rPr>
                <w:sz w:val="24"/>
                <w:szCs w:val="24"/>
                <w:color w:val="auto"/>
              </w:rPr>
            </w:pPr>
          </w:p>
        </w:tc>
      </w:tr>
      <w:tr>
        <w:trPr>
          <w:trHeight w:val="182"/>
        </w:trPr>
        <w:tc>
          <w:tcPr>
            <w:tcW w:w="2540" w:type="dxa"/>
            <w:vAlign w:val="bottom"/>
          </w:tcPr>
          <w:p>
            <w:pPr>
              <w:spacing w:after="0"/>
              <w:rPr>
                <w:sz w:val="20"/>
                <w:szCs w:val="20"/>
                <w:color w:val="auto"/>
              </w:rPr>
            </w:pPr>
            <w:r>
              <w:rPr>
                <w:rFonts w:ascii="Arial" w:cs="Arial" w:eastAsia="Arial" w:hAnsi="Arial"/>
                <w:sz w:val="14"/>
                <w:szCs w:val="14"/>
                <w:color w:val="auto"/>
              </w:rPr>
              <w:t>Kelle's Transport Service, LLC</w:t>
            </w:r>
          </w:p>
        </w:tc>
        <w:tc>
          <w:tcPr>
            <w:tcW w:w="2180" w:type="dxa"/>
            <w:vAlign w:val="bottom"/>
          </w:tcPr>
          <w:p>
            <w:pPr>
              <w:ind w:left="100"/>
              <w:spacing w:after="0"/>
              <w:rPr>
                <w:sz w:val="20"/>
                <w:szCs w:val="20"/>
                <w:color w:val="auto"/>
              </w:rPr>
            </w:pPr>
            <w:r>
              <w:rPr>
                <w:rFonts w:ascii="Arial" w:cs="Arial" w:eastAsia="Arial" w:hAnsi="Arial"/>
                <w:sz w:val="14"/>
                <w:szCs w:val="14"/>
                <w:color w:val="auto"/>
              </w:rPr>
              <w:t>Transportation</w:t>
            </w:r>
          </w:p>
        </w:tc>
        <w:tc>
          <w:tcPr>
            <w:tcW w:w="2480" w:type="dxa"/>
            <w:vAlign w:val="bottom"/>
          </w:tcPr>
          <w:p>
            <w:pPr>
              <w:ind w:left="100"/>
              <w:spacing w:after="0"/>
              <w:rPr>
                <w:sz w:val="20"/>
                <w:szCs w:val="20"/>
                <w:color w:val="auto"/>
              </w:rPr>
            </w:pPr>
            <w:r>
              <w:rPr>
                <w:rFonts w:ascii="Arial" w:cs="Arial" w:eastAsia="Arial" w:hAnsi="Arial"/>
                <w:sz w:val="14"/>
                <w:szCs w:val="14"/>
                <w:color w:val="auto"/>
              </w:rPr>
              <w:t>Due 3/31/19)</w:t>
            </w:r>
          </w:p>
        </w:tc>
        <w:tc>
          <w:tcPr>
            <w:tcW w:w="700" w:type="dxa"/>
            <w:vAlign w:val="bottom"/>
          </w:tcPr>
          <w:p>
            <w:pPr>
              <w:jc w:val="right"/>
              <w:spacing w:after="0"/>
              <w:rPr>
                <w:sz w:val="20"/>
                <w:szCs w:val="20"/>
                <w:color w:val="auto"/>
              </w:rPr>
            </w:pPr>
            <w:r>
              <w:rPr>
                <w:rFonts w:ascii="Arial" w:cs="Arial" w:eastAsia="Arial" w:hAnsi="Arial"/>
                <w:sz w:val="14"/>
                <w:szCs w:val="14"/>
                <w:color w:val="auto"/>
              </w:rPr>
              <w:t>15,366</w:t>
            </w:r>
          </w:p>
        </w:tc>
      </w:tr>
      <w:tr>
        <w:trPr>
          <w:trHeight w:val="273"/>
        </w:trPr>
        <w:tc>
          <w:tcPr>
            <w:tcW w:w="254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2480" w:type="dxa"/>
            <w:vAlign w:val="bottom"/>
          </w:tcPr>
          <w:p>
            <w:pPr>
              <w:ind w:left="100"/>
              <w:spacing w:after="0"/>
              <w:rPr>
                <w:sz w:val="20"/>
                <w:szCs w:val="20"/>
                <w:color w:val="auto"/>
              </w:rPr>
            </w:pPr>
            <w:r>
              <w:rPr>
                <w:rFonts w:ascii="Arial" w:cs="Arial" w:eastAsia="Arial" w:hAnsi="Arial"/>
                <w:sz w:val="14"/>
                <w:szCs w:val="14"/>
                <w:color w:val="auto"/>
              </w:rPr>
              <w:t>Preferred Units (1,000 units, 10%</w:t>
            </w:r>
          </w:p>
        </w:tc>
        <w:tc>
          <w:tcPr>
            <w:tcW w:w="700" w:type="dxa"/>
            <w:vAlign w:val="bottom"/>
          </w:tcPr>
          <w:p>
            <w:pPr>
              <w:spacing w:after="0"/>
              <w:rPr>
                <w:sz w:val="23"/>
                <w:szCs w:val="23"/>
                <w:color w:val="auto"/>
              </w:rPr>
            </w:pPr>
          </w:p>
        </w:tc>
      </w:tr>
      <w:tr>
        <w:trPr>
          <w:trHeight w:val="313"/>
        </w:trPr>
        <w:tc>
          <w:tcPr>
            <w:tcW w:w="2540" w:type="dxa"/>
            <w:vAlign w:val="bottom"/>
          </w:tcPr>
          <w:p>
            <w:pPr>
              <w:spacing w:after="0"/>
              <w:rPr>
                <w:sz w:val="20"/>
                <w:szCs w:val="20"/>
                <w:color w:val="auto"/>
              </w:rPr>
            </w:pPr>
            <w:r>
              <w:rPr>
                <w:rFonts w:ascii="Arial" w:cs="Arial" w:eastAsia="Arial" w:hAnsi="Arial"/>
                <w:sz w:val="14"/>
                <w:szCs w:val="14"/>
                <w:color w:val="auto"/>
              </w:rPr>
              <w:t>Kelle's Transport Service, LLC</w:t>
            </w:r>
          </w:p>
        </w:tc>
        <w:tc>
          <w:tcPr>
            <w:tcW w:w="2180" w:type="dxa"/>
            <w:vAlign w:val="bottom"/>
          </w:tcPr>
          <w:p>
            <w:pPr>
              <w:ind w:left="100"/>
              <w:spacing w:after="0"/>
              <w:rPr>
                <w:sz w:val="20"/>
                <w:szCs w:val="20"/>
                <w:color w:val="auto"/>
              </w:rPr>
            </w:pPr>
            <w:r>
              <w:rPr>
                <w:rFonts w:ascii="Arial" w:cs="Arial" w:eastAsia="Arial" w:hAnsi="Arial"/>
                <w:sz w:val="14"/>
                <w:szCs w:val="14"/>
                <w:color w:val="auto"/>
              </w:rPr>
              <w:t>Transportation</w:t>
            </w:r>
          </w:p>
        </w:tc>
        <w:tc>
          <w:tcPr>
            <w:tcW w:w="2480" w:type="dxa"/>
            <w:vAlign w:val="bottom"/>
          </w:tcPr>
          <w:p>
            <w:pPr>
              <w:ind w:left="100"/>
              <w:spacing w:after="0"/>
              <w:rPr>
                <w:sz w:val="20"/>
                <w:szCs w:val="20"/>
                <w:color w:val="auto"/>
              </w:rPr>
            </w:pPr>
            <w:r>
              <w:rPr>
                <w:rFonts w:ascii="Arial" w:cs="Arial" w:eastAsia="Arial" w:hAnsi="Arial"/>
                <w:sz w:val="14"/>
                <w:szCs w:val="14"/>
                <w:color w:val="auto"/>
              </w:rPr>
              <w:t xml:space="preserve">PIK Dividend) </w:t>
            </w:r>
            <w:r>
              <w:rPr>
                <w:rFonts w:ascii="Arial" w:cs="Arial" w:eastAsia="Arial" w:hAnsi="Arial"/>
                <w:sz w:val="23"/>
                <w:szCs w:val="23"/>
                <w:color w:val="auto"/>
                <w:vertAlign w:val="superscript"/>
              </w:rPr>
              <w:t>(6)</w:t>
            </w:r>
          </w:p>
        </w:tc>
        <w:tc>
          <w:tcPr>
            <w:tcW w:w="700" w:type="dxa"/>
            <w:vAlign w:val="bottom"/>
          </w:tcPr>
          <w:p>
            <w:pPr>
              <w:spacing w:after="0"/>
              <w:rPr>
                <w:sz w:val="24"/>
                <w:szCs w:val="24"/>
                <w:color w:val="auto"/>
              </w:rPr>
            </w:pPr>
          </w:p>
        </w:tc>
      </w:tr>
      <w:tr>
        <w:trPr>
          <w:trHeight w:val="163"/>
        </w:trPr>
        <w:tc>
          <w:tcPr>
            <w:tcW w:w="25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480" w:type="dxa"/>
            <w:vAlign w:val="bottom"/>
          </w:tcPr>
          <w:p>
            <w:pPr>
              <w:ind w:left="100"/>
              <w:spacing w:after="0"/>
              <w:rPr>
                <w:sz w:val="20"/>
                <w:szCs w:val="20"/>
                <w:color w:val="auto"/>
              </w:rPr>
            </w:pPr>
            <w:r>
              <w:rPr>
                <w:rFonts w:ascii="Arial" w:cs="Arial" w:eastAsia="Arial" w:hAnsi="Arial"/>
                <w:sz w:val="14"/>
                <w:szCs w:val="14"/>
                <w:color w:val="auto"/>
              </w:rPr>
              <w:t>Common Stock Warrants (15%</w:t>
            </w:r>
          </w:p>
        </w:tc>
        <w:tc>
          <w:tcPr>
            <w:tcW w:w="700" w:type="dxa"/>
            <w:vAlign w:val="bottom"/>
          </w:tcPr>
          <w:p>
            <w:pPr>
              <w:spacing w:after="0"/>
              <w:rPr>
                <w:sz w:val="14"/>
                <w:szCs w:val="14"/>
                <w:color w:val="auto"/>
              </w:rPr>
            </w:pPr>
          </w:p>
        </w:tc>
      </w:tr>
      <w:tr>
        <w:trPr>
          <w:trHeight w:val="182"/>
        </w:trPr>
        <w:tc>
          <w:tcPr>
            <w:tcW w:w="2540" w:type="dxa"/>
            <w:vAlign w:val="bottom"/>
          </w:tcPr>
          <w:p>
            <w:pPr>
              <w:spacing w:after="0"/>
              <w:rPr>
                <w:sz w:val="20"/>
                <w:szCs w:val="20"/>
                <w:color w:val="auto"/>
              </w:rPr>
            </w:pPr>
            <w:r>
              <w:rPr>
                <w:rFonts w:ascii="Arial" w:cs="Arial" w:eastAsia="Arial" w:hAnsi="Arial"/>
                <w:sz w:val="14"/>
                <w:szCs w:val="14"/>
                <w:color w:val="auto"/>
              </w:rPr>
              <w:t>Kelle's Transport Service, LLC</w:t>
            </w:r>
          </w:p>
        </w:tc>
        <w:tc>
          <w:tcPr>
            <w:tcW w:w="2180" w:type="dxa"/>
            <w:vAlign w:val="bottom"/>
          </w:tcPr>
          <w:p>
            <w:pPr>
              <w:ind w:left="100"/>
              <w:spacing w:after="0"/>
              <w:rPr>
                <w:sz w:val="20"/>
                <w:szCs w:val="20"/>
                <w:color w:val="auto"/>
              </w:rPr>
            </w:pPr>
            <w:r>
              <w:rPr>
                <w:rFonts w:ascii="Arial" w:cs="Arial" w:eastAsia="Arial" w:hAnsi="Arial"/>
                <w:sz w:val="14"/>
                <w:szCs w:val="14"/>
                <w:color w:val="auto"/>
              </w:rPr>
              <w:t>Transportation</w:t>
            </w:r>
          </w:p>
        </w:tc>
        <w:tc>
          <w:tcPr>
            <w:tcW w:w="2480" w:type="dxa"/>
            <w:vAlign w:val="bottom"/>
          </w:tcPr>
          <w:p>
            <w:pPr>
              <w:ind w:left="100"/>
              <w:spacing w:after="0"/>
              <w:rPr>
                <w:sz w:val="20"/>
                <w:szCs w:val="20"/>
                <w:color w:val="auto"/>
              </w:rPr>
            </w:pPr>
            <w:r>
              <w:rPr>
                <w:rFonts w:ascii="Arial" w:cs="Arial" w:eastAsia="Arial" w:hAnsi="Arial"/>
                <w:sz w:val="14"/>
                <w:szCs w:val="14"/>
                <w:color w:val="auto"/>
              </w:rPr>
              <w:t>fully diluted)</w:t>
            </w:r>
          </w:p>
        </w:tc>
        <w:tc>
          <w:tcPr>
            <w:tcW w:w="7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-7590155</wp:posOffset>
            </wp:positionV>
            <wp:extent cx="7246620" cy="1974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-7289800</wp:posOffset>
            </wp:positionV>
            <wp:extent cx="7246620" cy="1028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-7084060</wp:posOffset>
            </wp:positionV>
            <wp:extent cx="7246620" cy="2146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-6775450</wp:posOffset>
            </wp:positionV>
            <wp:extent cx="7246620" cy="2146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-6466205</wp:posOffset>
            </wp:positionV>
            <wp:extent cx="7246620" cy="2228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-6140450</wp:posOffset>
            </wp:positionV>
            <wp:extent cx="7246620" cy="1028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-5934710</wp:posOffset>
            </wp:positionV>
            <wp:extent cx="7246620" cy="291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-5540375</wp:posOffset>
            </wp:positionV>
            <wp:extent cx="7246620" cy="1028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-5334635</wp:posOffset>
            </wp:positionV>
            <wp:extent cx="7246620" cy="2057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-5026025</wp:posOffset>
            </wp:positionV>
            <wp:extent cx="7246620" cy="1028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-4819650</wp:posOffset>
            </wp:positionV>
            <wp:extent cx="7246620" cy="946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-4631055</wp:posOffset>
            </wp:positionV>
            <wp:extent cx="7246620" cy="2228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-4305300</wp:posOffset>
            </wp:positionV>
            <wp:extent cx="7246620" cy="1028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-4099560</wp:posOffset>
            </wp:positionV>
            <wp:extent cx="7246620" cy="1974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-3799205</wp:posOffset>
            </wp:positionV>
            <wp:extent cx="7246620" cy="1028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-3593465</wp:posOffset>
            </wp:positionV>
            <wp:extent cx="7246620" cy="3175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3175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-3173095</wp:posOffset>
            </wp:positionV>
            <wp:extent cx="7246620" cy="1028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-2967355</wp:posOffset>
            </wp:positionV>
            <wp:extent cx="7246620" cy="1974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-2667635</wp:posOffset>
            </wp:positionV>
            <wp:extent cx="7246620" cy="1028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-2461260</wp:posOffset>
            </wp:positionV>
            <wp:extent cx="7246620" cy="2832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-2084070</wp:posOffset>
            </wp:positionV>
            <wp:extent cx="7246620" cy="1974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-1784350</wp:posOffset>
            </wp:positionV>
            <wp:extent cx="7246620" cy="1028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-1577975</wp:posOffset>
            </wp:positionV>
            <wp:extent cx="7246620" cy="1885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-1295400</wp:posOffset>
            </wp:positionV>
            <wp:extent cx="7246620" cy="1974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-995045</wp:posOffset>
            </wp:positionV>
            <wp:extent cx="7246620" cy="1028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-789305</wp:posOffset>
            </wp:positionV>
            <wp:extent cx="7246620" cy="1885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-506095</wp:posOffset>
            </wp:positionV>
            <wp:extent cx="7246620" cy="2146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1974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1028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12,000</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12,000</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5.0%</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12,000</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12,000</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5.0%</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95"/>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3,157</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4,357</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1.8%</w:t>
            </w:r>
          </w:p>
        </w:tc>
      </w:tr>
      <w:tr>
        <w:trPr>
          <w:trHeight w:val="486"/>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415</w:t>
            </w:r>
          </w:p>
        </w:tc>
        <w:tc>
          <w:tcPr>
            <w:tcW w:w="920" w:type="dxa"/>
            <w:vAlign w:val="bottom"/>
          </w:tcPr>
          <w:p>
            <w:pPr>
              <w:jc w:val="right"/>
              <w:spacing w:after="0"/>
              <w:rPr>
                <w:sz w:val="20"/>
                <w:szCs w:val="20"/>
                <w:color w:val="auto"/>
              </w:rPr>
            </w:pPr>
            <w:r>
              <w:rPr>
                <w:rFonts w:ascii="Arial" w:cs="Arial" w:eastAsia="Arial" w:hAnsi="Arial"/>
                <w:sz w:val="14"/>
                <w:szCs w:val="14"/>
                <w:color w:val="auto"/>
              </w:rPr>
              <w:t>500</w:t>
            </w:r>
          </w:p>
        </w:tc>
        <w:tc>
          <w:tcPr>
            <w:tcW w:w="20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0.2%</w:t>
            </w:r>
          </w:p>
        </w:tc>
      </w:tr>
      <w:tr>
        <w:trPr>
          <w:trHeight w:val="485"/>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0.0%</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3,572</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4,857</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2.0%</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01"/>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4,804</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4,804</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2.0%</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4,804</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4,804</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2.0%</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66"/>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2,400</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10,920</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4.5%</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2,400</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10,920</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4.5%</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6"/>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258</w:t>
            </w:r>
          </w:p>
        </w:tc>
        <w:tc>
          <w:tcPr>
            <w:tcW w:w="920" w:type="dxa"/>
            <w:vAlign w:val="bottom"/>
          </w:tcPr>
          <w:p>
            <w:pPr>
              <w:jc w:val="right"/>
              <w:spacing w:after="0"/>
              <w:rPr>
                <w:sz w:val="20"/>
                <w:szCs w:val="20"/>
                <w:color w:val="auto"/>
              </w:rPr>
            </w:pPr>
            <w:r>
              <w:rPr>
                <w:rFonts w:ascii="Arial" w:cs="Arial" w:eastAsia="Arial" w:hAnsi="Arial"/>
                <w:sz w:val="14"/>
                <w:szCs w:val="14"/>
                <w:color w:val="auto"/>
              </w:rPr>
              <w:t>193</w:t>
            </w:r>
          </w:p>
        </w:tc>
        <w:tc>
          <w:tcPr>
            <w:tcW w:w="20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0.1%</w:t>
            </w:r>
          </w:p>
        </w:tc>
      </w:tr>
      <w:tr>
        <w:trPr>
          <w:trHeight w:val="485"/>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264</w:t>
            </w:r>
          </w:p>
        </w:tc>
        <w:tc>
          <w:tcPr>
            <w:tcW w:w="920" w:type="dxa"/>
            <w:vAlign w:val="bottom"/>
          </w:tcPr>
          <w:p>
            <w:pPr>
              <w:jc w:val="right"/>
              <w:spacing w:after="0"/>
              <w:rPr>
                <w:sz w:val="20"/>
                <w:szCs w:val="20"/>
                <w:color w:val="auto"/>
              </w:rPr>
            </w:pPr>
            <w:r>
              <w:rPr>
                <w:rFonts w:ascii="Arial" w:cs="Arial" w:eastAsia="Arial" w:hAnsi="Arial"/>
                <w:sz w:val="14"/>
                <w:szCs w:val="14"/>
                <w:color w:val="auto"/>
              </w:rPr>
              <w:t>431</w:t>
            </w:r>
          </w:p>
        </w:tc>
        <w:tc>
          <w:tcPr>
            <w:tcW w:w="20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0.2%</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522</w:t>
            </w:r>
          </w:p>
        </w:tc>
        <w:tc>
          <w:tcPr>
            <w:tcW w:w="920" w:type="dxa"/>
            <w:vAlign w:val="bottom"/>
          </w:tcPr>
          <w:p>
            <w:pPr>
              <w:jc w:val="right"/>
              <w:spacing w:after="0"/>
              <w:rPr>
                <w:sz w:val="20"/>
                <w:szCs w:val="20"/>
                <w:color w:val="auto"/>
              </w:rPr>
            </w:pPr>
            <w:r>
              <w:rPr>
                <w:rFonts w:ascii="Arial" w:cs="Arial" w:eastAsia="Arial" w:hAnsi="Arial"/>
                <w:sz w:val="14"/>
                <w:szCs w:val="14"/>
                <w:color w:val="auto"/>
              </w:rPr>
              <w:t>624</w:t>
            </w:r>
          </w:p>
        </w:tc>
        <w:tc>
          <w:tcPr>
            <w:tcW w:w="20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0.3%</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12,500</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12,500</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5.2%</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12,500</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12,500</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5.2%</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42"/>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6,145</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6,145</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2.6%</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6,145</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6,145</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2.6%</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16,640</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16,297</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6.8%</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16,640</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16,297</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6.8%</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03"/>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7,594</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7,594</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3.2%</w:t>
            </w:r>
          </w:p>
        </w:tc>
      </w:tr>
      <w:tr>
        <w:trPr>
          <w:trHeight w:val="444"/>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11,532</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11,532</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4.7%</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19,126</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19,126</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7.9%</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4"/>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2,000</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1,850</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0.8%</w:t>
            </w:r>
          </w:p>
        </w:tc>
      </w:tr>
      <w:tr>
        <w:trPr>
          <w:trHeight w:val="444"/>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0.0%</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2,000</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1,850</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0.8%</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4"/>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15,351</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15,366</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6.3%</w:t>
            </w:r>
          </w:p>
        </w:tc>
      </w:tr>
      <w:tr>
        <w:trPr>
          <w:trHeight w:val="486"/>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2,802</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2,802</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1.2%</w:t>
            </w:r>
          </w:p>
        </w:tc>
      </w:tr>
      <w:tr>
        <w:trPr>
          <w:trHeight w:val="444"/>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23</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2,781</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1.2%</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18,176</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20,949</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8.7%</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97" w:orient="portrait"/>
          <w:cols w:equalWidth="0" w:num="2">
            <w:col w:w="7900" w:space="220"/>
            <w:col w:w="3300"/>
          </w:cols>
          <w:pgMar w:left="240" w:top="904" w:right="239" w:bottom="0" w:gutter="0" w:footer="0" w:header="0"/>
          <w:type w:val="continuous"/>
        </w:sectPr>
      </w:pPr>
    </w:p>
    <w:bookmarkStart w:id="12" w:name="page13"/>
    <w:bookmarkEnd w:id="12"/>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2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Subordinated Debt (14% Cash, Due</w:t>
            </w: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Medical Depot, Inc.</w:t>
            </w:r>
          </w:p>
        </w:tc>
        <w:tc>
          <w:tcPr>
            <w:tcW w:w="22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Medical Device Distributor</w:t>
            </w:r>
          </w:p>
        </w:tc>
        <w:tc>
          <w:tcPr>
            <w:tcW w:w="2500" w:type="dxa"/>
            <w:vAlign w:val="bottom"/>
            <w:shd w:val="clear" w:color="auto" w:fill="CCEEFF"/>
          </w:tcPr>
          <w:p>
            <w:pPr>
              <w:ind w:left="120"/>
              <w:spacing w:after="0" w:line="198" w:lineRule="exact"/>
              <w:rPr>
                <w:sz w:val="20"/>
                <w:szCs w:val="20"/>
                <w:color w:val="auto"/>
              </w:rPr>
            </w:pPr>
            <w:r>
              <w:rPr>
                <w:rFonts w:ascii="Arial" w:cs="Arial" w:eastAsia="Arial" w:hAnsi="Arial"/>
                <w:sz w:val="14"/>
                <w:szCs w:val="14"/>
                <w:color w:val="auto"/>
              </w:rPr>
              <w:t xml:space="preserve">9/27/20) </w:t>
            </w:r>
            <w:r>
              <w:rPr>
                <w:rFonts w:ascii="Arial" w:cs="Arial" w:eastAsia="Arial" w:hAnsi="Arial"/>
                <w:sz w:val="22"/>
                <w:szCs w:val="22"/>
                <w:color w:val="auto"/>
                <w:vertAlign w:val="superscript"/>
              </w:rPr>
              <w:t>(1)</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4,667</w:t>
            </w: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4,667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4,667</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2220" w:type="dxa"/>
            <w:vAlign w:val="bottom"/>
            <w:shd w:val="clear" w:color="auto" w:fill="CCEEFF"/>
          </w:tcPr>
          <w:p>
            <w:pPr>
              <w:spacing w:after="0"/>
              <w:rPr>
                <w:sz w:val="11"/>
                <w:szCs w:val="11"/>
                <w:color w:val="auto"/>
              </w:rPr>
            </w:pPr>
          </w:p>
        </w:tc>
        <w:tc>
          <w:tcPr>
            <w:tcW w:w="25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Series C Convertible Preferred</w:t>
            </w:r>
          </w:p>
        </w:tc>
        <w:tc>
          <w:tcPr>
            <w:tcW w:w="9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Medical Depot, Inc.</w:t>
            </w:r>
          </w:p>
        </w:tc>
        <w:tc>
          <w:tcPr>
            <w:tcW w:w="22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Medical Device Distributor</w:t>
            </w:r>
          </w:p>
        </w:tc>
        <w:tc>
          <w:tcPr>
            <w:tcW w:w="2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 (740 shares)</w:t>
            </w:r>
          </w:p>
        </w:tc>
        <w:tc>
          <w:tcPr>
            <w:tcW w:w="9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1,333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5,283</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6,000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9,950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2220" w:type="dxa"/>
            <w:vAlign w:val="bottom"/>
            <w:shd w:val="clear" w:color="auto" w:fill="CCEEFF"/>
          </w:tcPr>
          <w:p>
            <w:pPr>
              <w:spacing w:after="0"/>
              <w:rPr>
                <w:sz w:val="11"/>
                <w:szCs w:val="11"/>
                <w:color w:val="auto"/>
              </w:rPr>
            </w:pPr>
          </w:p>
        </w:tc>
        <w:tc>
          <w:tcPr>
            <w:tcW w:w="25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Subordinated Debt (L+9% Cash,</w:t>
            </w:r>
          </w:p>
        </w:tc>
        <w:tc>
          <w:tcPr>
            <w:tcW w:w="9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Meritas Schools Holdings, LLC</w:t>
            </w:r>
          </w:p>
        </w:tc>
        <w:tc>
          <w:tcPr>
            <w:tcW w:w="22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Education Services</w:t>
            </w:r>
          </w:p>
        </w:tc>
        <w:tc>
          <w:tcPr>
            <w:tcW w:w="2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1% Floor, Due 1/23/2021)</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3,000</w:t>
            </w: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2,986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3,000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2,986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3,000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2220" w:type="dxa"/>
            <w:vAlign w:val="bottom"/>
            <w:shd w:val="clear" w:color="auto" w:fill="CCEEFF"/>
          </w:tcPr>
          <w:p>
            <w:pPr>
              <w:spacing w:after="0"/>
              <w:rPr>
                <w:sz w:val="11"/>
                <w:szCs w:val="11"/>
                <w:color w:val="auto"/>
              </w:rPr>
            </w:pPr>
          </w:p>
        </w:tc>
        <w:tc>
          <w:tcPr>
            <w:tcW w:w="25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Subordinated Debt (12.5% Cash,</w:t>
            </w:r>
          </w:p>
        </w:tc>
        <w:tc>
          <w:tcPr>
            <w:tcW w:w="9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Merlin International, Inc.</w:t>
            </w:r>
          </w:p>
        </w:tc>
        <w:tc>
          <w:tcPr>
            <w:tcW w:w="22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IT Government Contracting</w:t>
            </w:r>
          </w:p>
        </w:tc>
        <w:tc>
          <w:tcPr>
            <w:tcW w:w="2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Due 12/16/2019)</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20,000</w:t>
            </w: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20,000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20,000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20,000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20,000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2220" w:type="dxa"/>
            <w:vAlign w:val="bottom"/>
            <w:shd w:val="clear" w:color="auto" w:fill="CCEEFF"/>
          </w:tcPr>
          <w:p>
            <w:pPr>
              <w:spacing w:after="0"/>
              <w:rPr>
                <w:sz w:val="11"/>
                <w:szCs w:val="11"/>
                <w:color w:val="auto"/>
              </w:rPr>
            </w:pPr>
          </w:p>
        </w:tc>
        <w:tc>
          <w:tcPr>
            <w:tcW w:w="25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Subordinated Debt (L+9.25%</w:t>
            </w:r>
          </w:p>
        </w:tc>
        <w:tc>
          <w:tcPr>
            <w:tcW w:w="9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Nielsen &amp; Bainbridge, LLC</w:t>
            </w:r>
          </w:p>
        </w:tc>
        <w:tc>
          <w:tcPr>
            <w:tcW w:w="22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Home Décor Manufacturer</w:t>
            </w:r>
          </w:p>
        </w:tc>
        <w:tc>
          <w:tcPr>
            <w:tcW w:w="2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Cash, 1% Floor, Due 8/15/21)</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15,000</w:t>
            </w: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14,785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14,611</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14,785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14,611</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2500" w:type="dxa"/>
            <w:vAlign w:val="bottom"/>
            <w:shd w:val="clear" w:color="auto" w:fill="CCEEFF"/>
          </w:tcPr>
          <w:p>
            <w:pPr>
              <w:ind w:left="120"/>
              <w:spacing w:after="0" w:line="140" w:lineRule="exact"/>
              <w:rPr>
                <w:sz w:val="20"/>
                <w:szCs w:val="20"/>
                <w:color w:val="auto"/>
              </w:rPr>
            </w:pPr>
            <w:r>
              <w:rPr>
                <w:rFonts w:ascii="Arial" w:cs="Arial" w:eastAsia="Arial" w:hAnsi="Arial"/>
                <w:sz w:val="14"/>
                <w:szCs w:val="14"/>
                <w:color w:val="auto"/>
              </w:rPr>
              <w:t>Subordinated Debt (14% Cash, Due</w:t>
            </w: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Precision Manufacturing, LLC</w:t>
            </w:r>
          </w:p>
        </w:tc>
        <w:tc>
          <w:tcPr>
            <w:tcW w:w="22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Industrial Boiler Manufacturer</w:t>
            </w:r>
          </w:p>
        </w:tc>
        <w:tc>
          <w:tcPr>
            <w:tcW w:w="2500" w:type="dxa"/>
            <w:vAlign w:val="bottom"/>
            <w:shd w:val="clear" w:color="auto" w:fill="CCEEFF"/>
          </w:tcPr>
          <w:p>
            <w:pPr>
              <w:ind w:left="120"/>
              <w:spacing w:after="0" w:line="198" w:lineRule="exact"/>
              <w:rPr>
                <w:sz w:val="20"/>
                <w:szCs w:val="20"/>
                <w:color w:val="auto"/>
              </w:rPr>
            </w:pPr>
            <w:r>
              <w:rPr>
                <w:rFonts w:ascii="Arial" w:cs="Arial" w:eastAsia="Arial" w:hAnsi="Arial"/>
                <w:sz w:val="14"/>
                <w:szCs w:val="14"/>
                <w:color w:val="auto"/>
              </w:rPr>
              <w:t xml:space="preserve">2/13/15) </w:t>
            </w:r>
            <w:r>
              <w:rPr>
                <w:rFonts w:ascii="Arial" w:cs="Arial" w:eastAsia="Arial" w:hAnsi="Arial"/>
                <w:sz w:val="22"/>
                <w:szCs w:val="22"/>
                <w:color w:val="auto"/>
                <w:vertAlign w:val="superscript"/>
              </w:rPr>
              <w:t>(2)</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200</w:t>
            </w: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2500" w:type="dxa"/>
            <w:vAlign w:val="bottom"/>
            <w:shd w:val="clear" w:color="auto" w:fill="CCEEFF"/>
          </w:tcPr>
          <w:p>
            <w:pPr>
              <w:ind w:left="120"/>
              <w:spacing w:after="0" w:line="140" w:lineRule="exact"/>
              <w:rPr>
                <w:sz w:val="20"/>
                <w:szCs w:val="20"/>
                <w:color w:val="auto"/>
              </w:rPr>
            </w:pPr>
            <w:r>
              <w:rPr>
                <w:rFonts w:ascii="Arial" w:cs="Arial" w:eastAsia="Arial" w:hAnsi="Arial"/>
                <w:sz w:val="14"/>
                <w:szCs w:val="14"/>
                <w:color w:val="auto"/>
              </w:rPr>
              <w:t>Subordinated Debt (14% Cash, Due</w:t>
            </w: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Precision Manufacturing, LLC</w:t>
            </w:r>
          </w:p>
        </w:tc>
        <w:tc>
          <w:tcPr>
            <w:tcW w:w="22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Industrial Boiler Manufacturer</w:t>
            </w:r>
          </w:p>
        </w:tc>
        <w:tc>
          <w:tcPr>
            <w:tcW w:w="2500" w:type="dxa"/>
            <w:vAlign w:val="bottom"/>
            <w:shd w:val="clear" w:color="auto" w:fill="CCEEFF"/>
          </w:tcPr>
          <w:p>
            <w:pPr>
              <w:ind w:left="120"/>
              <w:spacing w:after="0" w:line="198" w:lineRule="exact"/>
              <w:rPr>
                <w:sz w:val="20"/>
                <w:szCs w:val="20"/>
                <w:color w:val="auto"/>
              </w:rPr>
            </w:pPr>
            <w:r>
              <w:rPr>
                <w:rFonts w:ascii="Arial" w:cs="Arial" w:eastAsia="Arial" w:hAnsi="Arial"/>
                <w:sz w:val="14"/>
                <w:szCs w:val="14"/>
                <w:color w:val="auto"/>
              </w:rPr>
              <w:t xml:space="preserve">2/28/15) </w:t>
            </w:r>
            <w:r>
              <w:rPr>
                <w:rFonts w:ascii="Arial" w:cs="Arial" w:eastAsia="Arial" w:hAnsi="Arial"/>
                <w:sz w:val="22"/>
                <w:szCs w:val="22"/>
                <w:color w:val="auto"/>
                <w:vertAlign w:val="superscript"/>
              </w:rPr>
              <w:t>(2)</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300</w:t>
            </w: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300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2500" w:type="dxa"/>
            <w:vAlign w:val="bottom"/>
            <w:shd w:val="clear" w:color="auto" w:fill="CCEEFF"/>
          </w:tcPr>
          <w:p>
            <w:pPr>
              <w:ind w:left="120"/>
              <w:spacing w:after="0" w:line="140" w:lineRule="exact"/>
              <w:rPr>
                <w:sz w:val="20"/>
                <w:szCs w:val="20"/>
                <w:color w:val="auto"/>
              </w:rPr>
            </w:pPr>
            <w:r>
              <w:rPr>
                <w:rFonts w:ascii="Arial" w:cs="Arial" w:eastAsia="Arial" w:hAnsi="Arial"/>
                <w:sz w:val="14"/>
                <w:szCs w:val="14"/>
                <w:color w:val="auto"/>
              </w:rPr>
              <w:t>Subordinated Debt (13% Cash, Due</w:t>
            </w: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Precision Manufacturing, LLC</w:t>
            </w:r>
          </w:p>
        </w:tc>
        <w:tc>
          <w:tcPr>
            <w:tcW w:w="22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Industrial Boiler Manufacturer</w:t>
            </w:r>
          </w:p>
        </w:tc>
        <w:tc>
          <w:tcPr>
            <w:tcW w:w="2500" w:type="dxa"/>
            <w:vAlign w:val="bottom"/>
            <w:shd w:val="clear" w:color="auto" w:fill="CCEEFF"/>
          </w:tcPr>
          <w:p>
            <w:pPr>
              <w:ind w:left="120"/>
              <w:spacing w:after="0" w:line="198" w:lineRule="exact"/>
              <w:rPr>
                <w:sz w:val="20"/>
                <w:szCs w:val="20"/>
                <w:color w:val="auto"/>
              </w:rPr>
            </w:pPr>
            <w:r>
              <w:rPr>
                <w:rFonts w:ascii="Arial" w:cs="Arial" w:eastAsia="Arial" w:hAnsi="Arial"/>
                <w:sz w:val="14"/>
                <w:szCs w:val="14"/>
                <w:color w:val="auto"/>
              </w:rPr>
              <w:t xml:space="preserve">2/10/17) </w:t>
            </w:r>
            <w:r>
              <w:rPr>
                <w:rFonts w:ascii="Arial" w:cs="Arial" w:eastAsia="Arial" w:hAnsi="Arial"/>
                <w:sz w:val="22"/>
                <w:szCs w:val="22"/>
                <w:color w:val="auto"/>
                <w:vertAlign w:val="superscript"/>
              </w:rPr>
              <w:t>(2)</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2,850</w:t>
            </w: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2,850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2220" w:type="dxa"/>
            <w:vAlign w:val="bottom"/>
            <w:shd w:val="clear" w:color="auto" w:fill="CCEEFF"/>
          </w:tcPr>
          <w:p>
            <w:pPr>
              <w:spacing w:after="0"/>
              <w:rPr>
                <w:sz w:val="11"/>
                <w:szCs w:val="11"/>
                <w:color w:val="auto"/>
              </w:rPr>
            </w:pPr>
          </w:p>
        </w:tc>
        <w:tc>
          <w:tcPr>
            <w:tcW w:w="25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Membership Unit Warrants (6.65%</w:t>
            </w:r>
          </w:p>
        </w:tc>
        <w:tc>
          <w:tcPr>
            <w:tcW w:w="9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Precision Manufacturing, LLC</w:t>
            </w:r>
          </w:p>
        </w:tc>
        <w:tc>
          <w:tcPr>
            <w:tcW w:w="22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Industrial Boiler Manufacturer</w:t>
            </w:r>
          </w:p>
        </w:tc>
        <w:tc>
          <w:tcPr>
            <w:tcW w:w="2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fully diluted)</w:t>
            </w:r>
          </w:p>
        </w:tc>
        <w:tc>
          <w:tcPr>
            <w:tcW w:w="9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3,350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2220" w:type="dxa"/>
            <w:vAlign w:val="bottom"/>
            <w:shd w:val="clear" w:color="auto" w:fill="CCEEFF"/>
          </w:tcPr>
          <w:p>
            <w:pPr>
              <w:spacing w:after="0"/>
              <w:rPr>
                <w:sz w:val="11"/>
                <w:szCs w:val="11"/>
                <w:color w:val="auto"/>
              </w:rPr>
            </w:pPr>
          </w:p>
        </w:tc>
        <w:tc>
          <w:tcPr>
            <w:tcW w:w="25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Senior Secured Term Debt (12%</w:t>
            </w:r>
          </w:p>
        </w:tc>
        <w:tc>
          <w:tcPr>
            <w:tcW w:w="9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Sequoia Healthcare Management, LLC</w:t>
            </w:r>
          </w:p>
        </w:tc>
        <w:tc>
          <w:tcPr>
            <w:tcW w:w="22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Healthcare Management</w:t>
            </w:r>
          </w:p>
        </w:tc>
        <w:tc>
          <w:tcPr>
            <w:tcW w:w="2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cash, 4% PIK, due 7/17/2019)</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12,420</w:t>
            </w: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12,195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12,420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12,195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12,420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222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Oil &amp; Gas Engineering and</w:t>
            </w:r>
          </w:p>
        </w:tc>
        <w:tc>
          <w:tcPr>
            <w:tcW w:w="25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Senior Secured Debt (12.25%</w:t>
            </w:r>
          </w:p>
        </w:tc>
        <w:tc>
          <w:tcPr>
            <w:tcW w:w="9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Sierra Hamilton, LLC</w:t>
            </w:r>
          </w:p>
        </w:tc>
        <w:tc>
          <w:tcPr>
            <w:tcW w:w="22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Consulting Services</w:t>
            </w:r>
          </w:p>
        </w:tc>
        <w:tc>
          <w:tcPr>
            <w:tcW w:w="2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Cash, Due 12/15/18)</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15,000</w:t>
            </w: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15,000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14,547</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15,000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14,547</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2500" w:type="dxa"/>
            <w:vAlign w:val="bottom"/>
            <w:shd w:val="clear" w:color="auto" w:fill="CCEEFF"/>
          </w:tcPr>
          <w:p>
            <w:pPr>
              <w:ind w:left="120"/>
              <w:spacing w:after="0" w:line="140" w:lineRule="exact"/>
              <w:rPr>
                <w:sz w:val="20"/>
                <w:szCs w:val="20"/>
                <w:color w:val="auto"/>
              </w:rPr>
            </w:pPr>
            <w:r>
              <w:rPr>
                <w:rFonts w:ascii="Arial" w:cs="Arial" w:eastAsia="Arial" w:hAnsi="Arial"/>
                <w:sz w:val="14"/>
                <w:szCs w:val="14"/>
                <w:color w:val="auto"/>
              </w:rPr>
              <w:t>Senior Secured Term Debt (13%</w:t>
            </w: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Southern Pump &amp; Tank Company, LLC</w:t>
            </w:r>
          </w:p>
        </w:tc>
        <w:tc>
          <w:tcPr>
            <w:tcW w:w="22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Petroleum Equipment Supplier</w:t>
            </w:r>
          </w:p>
        </w:tc>
        <w:tc>
          <w:tcPr>
            <w:tcW w:w="2500" w:type="dxa"/>
            <w:vAlign w:val="bottom"/>
            <w:shd w:val="clear" w:color="auto" w:fill="CCEEFF"/>
          </w:tcPr>
          <w:p>
            <w:pPr>
              <w:ind w:left="120"/>
              <w:spacing w:after="0" w:line="198" w:lineRule="exact"/>
              <w:rPr>
                <w:sz w:val="20"/>
                <w:szCs w:val="20"/>
                <w:color w:val="auto"/>
              </w:rPr>
            </w:pPr>
            <w:r>
              <w:rPr>
                <w:rFonts w:ascii="Arial" w:cs="Arial" w:eastAsia="Arial" w:hAnsi="Arial"/>
                <w:sz w:val="14"/>
                <w:szCs w:val="14"/>
                <w:color w:val="auto"/>
              </w:rPr>
              <w:t xml:space="preserve">Cash, 6% PIK, Due 1/15/15) </w:t>
            </w:r>
            <w:r>
              <w:rPr>
                <w:rFonts w:ascii="Arial" w:cs="Arial" w:eastAsia="Arial" w:hAnsi="Arial"/>
                <w:sz w:val="22"/>
                <w:szCs w:val="22"/>
                <w:color w:val="auto"/>
                <w:vertAlign w:val="superscript"/>
              </w:rPr>
              <w:t>(1)</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4,316</w:t>
            </w: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3,495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3,850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2220" w:type="dxa"/>
            <w:vAlign w:val="bottom"/>
            <w:shd w:val="clear" w:color="auto" w:fill="CCEEFF"/>
          </w:tcPr>
          <w:p>
            <w:pPr>
              <w:spacing w:after="0"/>
              <w:rPr>
                <w:sz w:val="11"/>
                <w:szCs w:val="11"/>
                <w:color w:val="auto"/>
              </w:rPr>
            </w:pPr>
          </w:p>
        </w:tc>
        <w:tc>
          <w:tcPr>
            <w:tcW w:w="25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Common Stock Warrants (10%</w:t>
            </w:r>
          </w:p>
        </w:tc>
        <w:tc>
          <w:tcPr>
            <w:tcW w:w="9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Southern Pump &amp; Tank Company, LLC</w:t>
            </w:r>
          </w:p>
        </w:tc>
        <w:tc>
          <w:tcPr>
            <w:tcW w:w="22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Petroleum Equipment Supplier</w:t>
            </w:r>
          </w:p>
        </w:tc>
        <w:tc>
          <w:tcPr>
            <w:tcW w:w="2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fully diluted)</w:t>
            </w:r>
          </w:p>
        </w:tc>
        <w:tc>
          <w:tcPr>
            <w:tcW w:w="9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3,495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3,850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2220" w:type="dxa"/>
            <w:vAlign w:val="bottom"/>
            <w:shd w:val="clear" w:color="auto" w:fill="CCEEFF"/>
          </w:tcPr>
          <w:p>
            <w:pPr>
              <w:spacing w:after="0"/>
              <w:rPr>
                <w:sz w:val="11"/>
                <w:szCs w:val="11"/>
                <w:color w:val="auto"/>
              </w:rPr>
            </w:pPr>
          </w:p>
        </w:tc>
        <w:tc>
          <w:tcPr>
            <w:tcW w:w="25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Class D Preferred Units (132,159</w:t>
            </w:r>
          </w:p>
        </w:tc>
        <w:tc>
          <w:tcPr>
            <w:tcW w:w="9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Stoddard Hill Media Holdings, LLC</w:t>
            </w:r>
          </w:p>
        </w:tc>
        <w:tc>
          <w:tcPr>
            <w:tcW w:w="22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IT Hosting Services</w:t>
            </w:r>
          </w:p>
        </w:tc>
        <w:tc>
          <w:tcPr>
            <w:tcW w:w="2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shares)</w:t>
            </w:r>
          </w:p>
        </w:tc>
        <w:tc>
          <w:tcPr>
            <w:tcW w:w="9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300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w:t>
            </w:r>
          </w:p>
        </w:tc>
        <w:tc>
          <w:tcPr>
            <w:tcW w:w="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300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w:t>
            </w: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2220" w:type="dxa"/>
            <w:vAlign w:val="bottom"/>
            <w:shd w:val="clear" w:color="auto" w:fill="CCEEFF"/>
          </w:tcPr>
          <w:p>
            <w:pPr>
              <w:spacing w:after="0"/>
              <w:rPr>
                <w:sz w:val="11"/>
                <w:szCs w:val="11"/>
                <w:color w:val="auto"/>
              </w:rPr>
            </w:pPr>
          </w:p>
        </w:tc>
        <w:tc>
          <w:tcPr>
            <w:tcW w:w="25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Series C Preferred Stock (379</w:t>
            </w:r>
          </w:p>
        </w:tc>
        <w:tc>
          <w:tcPr>
            <w:tcW w:w="9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Taylor Precision Products, Inc.</w:t>
            </w:r>
          </w:p>
        </w:tc>
        <w:tc>
          <w:tcPr>
            <w:tcW w:w="222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9"/>
              </w:rPr>
              <w:t>Household Product Manufacturer</w:t>
            </w:r>
          </w:p>
        </w:tc>
        <w:tc>
          <w:tcPr>
            <w:tcW w:w="2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shares)</w:t>
            </w:r>
          </w:p>
        </w:tc>
        <w:tc>
          <w:tcPr>
            <w:tcW w:w="9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758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w:t>
            </w:r>
          </w:p>
        </w:tc>
        <w:tc>
          <w:tcPr>
            <w:tcW w:w="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758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w:t>
            </w: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2500" w:type="dxa"/>
            <w:vAlign w:val="bottom"/>
            <w:shd w:val="clear" w:color="auto" w:fill="CCEEFF"/>
          </w:tcPr>
          <w:p>
            <w:pPr>
              <w:ind w:left="120"/>
              <w:spacing w:after="0" w:line="140" w:lineRule="exact"/>
              <w:rPr>
                <w:sz w:val="20"/>
                <w:szCs w:val="20"/>
                <w:color w:val="auto"/>
              </w:rPr>
            </w:pPr>
            <w:r>
              <w:rPr>
                <w:rFonts w:ascii="Arial" w:cs="Arial" w:eastAsia="Arial" w:hAnsi="Arial"/>
                <w:sz w:val="14"/>
                <w:szCs w:val="14"/>
                <w:color w:val="auto"/>
              </w:rPr>
              <w:t>Senior Secured Term Debt (11%</w:t>
            </w: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Tenere, Inc.</w:t>
            </w:r>
          </w:p>
        </w:tc>
        <w:tc>
          <w:tcPr>
            <w:tcW w:w="22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Industrial Manufacturing</w:t>
            </w:r>
          </w:p>
        </w:tc>
        <w:tc>
          <w:tcPr>
            <w:tcW w:w="2500" w:type="dxa"/>
            <w:vAlign w:val="bottom"/>
            <w:shd w:val="clear" w:color="auto" w:fill="CCEEFF"/>
          </w:tcPr>
          <w:p>
            <w:pPr>
              <w:ind w:left="120"/>
              <w:spacing w:after="0" w:line="211" w:lineRule="exact"/>
              <w:rPr>
                <w:sz w:val="20"/>
                <w:szCs w:val="20"/>
                <w:color w:val="auto"/>
              </w:rPr>
            </w:pPr>
            <w:r>
              <w:rPr>
                <w:rFonts w:ascii="Arial" w:cs="Arial" w:eastAsia="Arial" w:hAnsi="Arial"/>
                <w:sz w:val="14"/>
                <w:szCs w:val="14"/>
                <w:color w:val="auto"/>
              </w:rPr>
              <w:t xml:space="preserve">Cash, 2% PIK, Due 12/15/17) </w:t>
            </w:r>
            <w:r>
              <w:rPr>
                <w:rFonts w:ascii="Arial" w:cs="Arial" w:eastAsia="Arial" w:hAnsi="Arial"/>
                <w:sz w:val="23"/>
                <w:szCs w:val="23"/>
                <w:color w:val="auto"/>
                <w:vertAlign w:val="superscript"/>
              </w:rPr>
              <w:t>(9)</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3,510</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3,510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3,510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3,510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3,510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2220" w:type="dxa"/>
            <w:vAlign w:val="bottom"/>
            <w:shd w:val="clear" w:color="auto" w:fill="CCEEFF"/>
          </w:tcPr>
          <w:p>
            <w:pPr>
              <w:spacing w:after="0"/>
              <w:rPr>
                <w:sz w:val="11"/>
                <w:szCs w:val="11"/>
                <w:color w:val="auto"/>
              </w:rPr>
            </w:pPr>
          </w:p>
        </w:tc>
        <w:tc>
          <w:tcPr>
            <w:tcW w:w="25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Subordinated Debt (L+8.25%</w:t>
            </w:r>
          </w:p>
        </w:tc>
        <w:tc>
          <w:tcPr>
            <w:tcW w:w="9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TGI Friday's, Inc.</w:t>
            </w:r>
          </w:p>
        </w:tc>
        <w:tc>
          <w:tcPr>
            <w:tcW w:w="22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Restaurant Chain</w:t>
            </w:r>
          </w:p>
        </w:tc>
        <w:tc>
          <w:tcPr>
            <w:tcW w:w="2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Cash, 1% Floor, Due 7/15/21)</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10,000</w:t>
            </w: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9,962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9,738</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9,962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9,738</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2220" w:type="dxa"/>
            <w:vAlign w:val="bottom"/>
            <w:shd w:val="clear" w:color="auto" w:fill="CCEEFF"/>
          </w:tcPr>
          <w:p>
            <w:pPr>
              <w:spacing w:after="0"/>
              <w:rPr>
                <w:sz w:val="11"/>
                <w:szCs w:val="11"/>
                <w:color w:val="auto"/>
              </w:rPr>
            </w:pPr>
          </w:p>
        </w:tc>
        <w:tc>
          <w:tcPr>
            <w:tcW w:w="25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Senior Secured Debt (L+7.0%</w:t>
            </w:r>
          </w:p>
        </w:tc>
        <w:tc>
          <w:tcPr>
            <w:tcW w:w="9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US LBM Holdings, LLC</w:t>
            </w:r>
          </w:p>
        </w:tc>
        <w:tc>
          <w:tcPr>
            <w:tcW w:w="22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Building Products</w:t>
            </w:r>
          </w:p>
        </w:tc>
        <w:tc>
          <w:tcPr>
            <w:tcW w:w="2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Cash, 1% Floor, Due 5/2/2020)</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4,992</w:t>
            </w: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4,895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4,895</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4,895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4,895</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2500" w:type="dxa"/>
            <w:vAlign w:val="bottom"/>
            <w:shd w:val="clear" w:color="auto" w:fill="CCEEFF"/>
          </w:tcPr>
          <w:p>
            <w:pPr>
              <w:ind w:left="120"/>
              <w:spacing w:after="0" w:line="140" w:lineRule="exact"/>
              <w:rPr>
                <w:sz w:val="20"/>
                <w:szCs w:val="20"/>
                <w:color w:val="auto"/>
              </w:rPr>
            </w:pPr>
            <w:r>
              <w:rPr>
                <w:rFonts w:ascii="Arial" w:cs="Arial" w:eastAsia="Arial" w:hAnsi="Arial"/>
                <w:sz w:val="14"/>
                <w:szCs w:val="14"/>
                <w:color w:val="auto"/>
              </w:rPr>
              <w:t>Senior Secured Debt (L+11.5%</w:t>
            </w: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U.S. Well Services, LLC</w:t>
            </w:r>
          </w:p>
        </w:tc>
        <w:tc>
          <w:tcPr>
            <w:tcW w:w="22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Oil &amp; Gas Services</w:t>
            </w:r>
          </w:p>
        </w:tc>
        <w:tc>
          <w:tcPr>
            <w:tcW w:w="2500" w:type="dxa"/>
            <w:vAlign w:val="bottom"/>
            <w:shd w:val="clear" w:color="auto" w:fill="CCEEFF"/>
          </w:tcPr>
          <w:p>
            <w:pPr>
              <w:ind w:left="120"/>
              <w:spacing w:after="0" w:line="211" w:lineRule="exact"/>
              <w:rPr>
                <w:sz w:val="20"/>
                <w:szCs w:val="20"/>
                <w:color w:val="auto"/>
              </w:rPr>
            </w:pPr>
            <w:r>
              <w:rPr>
                <w:rFonts w:ascii="Arial" w:cs="Arial" w:eastAsia="Arial" w:hAnsi="Arial"/>
                <w:sz w:val="14"/>
                <w:szCs w:val="14"/>
                <w:color w:val="auto"/>
              </w:rPr>
              <w:t xml:space="preserve">Cash, 0.5% floor, Due 5/2/19) </w:t>
            </w:r>
            <w:r>
              <w:rPr>
                <w:rFonts w:ascii="Arial" w:cs="Arial" w:eastAsia="Arial" w:hAnsi="Arial"/>
                <w:sz w:val="23"/>
                <w:szCs w:val="23"/>
                <w:color w:val="auto"/>
                <w:vertAlign w:val="superscript"/>
              </w:rPr>
              <w:t>(10)</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4,822</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4,727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4,761</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4,727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4,761</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2500" w:type="dxa"/>
            <w:vAlign w:val="bottom"/>
            <w:shd w:val="clear" w:color="auto" w:fill="CCEEFF"/>
          </w:tcPr>
          <w:p>
            <w:pPr>
              <w:ind w:left="120"/>
              <w:spacing w:after="0" w:line="140" w:lineRule="exact"/>
              <w:rPr>
                <w:sz w:val="20"/>
                <w:szCs w:val="20"/>
                <w:color w:val="auto"/>
              </w:rPr>
            </w:pPr>
            <w:r>
              <w:rPr>
                <w:rFonts w:ascii="Arial" w:cs="Arial" w:eastAsia="Arial" w:hAnsi="Arial"/>
                <w:sz w:val="14"/>
                <w:szCs w:val="14"/>
                <w:color w:val="auto"/>
              </w:rPr>
              <w:t>Senior Secured Debt (15% Cash,</w:t>
            </w: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w w:val="99"/>
              </w:rPr>
              <w:t>Velum Global Credit Management, LLC</w:t>
            </w:r>
          </w:p>
        </w:tc>
        <w:tc>
          <w:tcPr>
            <w:tcW w:w="22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Financial Services</w:t>
            </w:r>
          </w:p>
        </w:tc>
        <w:tc>
          <w:tcPr>
            <w:tcW w:w="2500" w:type="dxa"/>
            <w:vAlign w:val="bottom"/>
            <w:shd w:val="clear" w:color="auto" w:fill="CCEEFF"/>
          </w:tcPr>
          <w:p>
            <w:pPr>
              <w:ind w:left="120"/>
              <w:spacing w:after="0" w:line="211" w:lineRule="exact"/>
              <w:rPr>
                <w:sz w:val="20"/>
                <w:szCs w:val="20"/>
                <w:color w:val="auto"/>
              </w:rPr>
            </w:pPr>
            <w:r>
              <w:rPr>
                <w:rFonts w:ascii="Arial" w:cs="Arial" w:eastAsia="Arial" w:hAnsi="Arial"/>
                <w:sz w:val="14"/>
                <w:szCs w:val="14"/>
                <w:color w:val="auto"/>
              </w:rPr>
              <w:t xml:space="preserve">Due 12/31/15) </w:t>
            </w:r>
            <w:r>
              <w:rPr>
                <w:rFonts w:ascii="Arial" w:cs="Arial" w:eastAsia="Arial" w:hAnsi="Arial"/>
                <w:sz w:val="23"/>
                <w:szCs w:val="23"/>
                <w:color w:val="auto"/>
                <w:vertAlign w:val="superscript"/>
              </w:rPr>
              <w:t>(8)</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8,300</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8,300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8,300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8,300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8,300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222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Professional Employer</w:t>
            </w:r>
          </w:p>
        </w:tc>
        <w:tc>
          <w:tcPr>
            <w:tcW w:w="25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Common Stock Warrants (3.84%</w:t>
            </w:r>
          </w:p>
        </w:tc>
        <w:tc>
          <w:tcPr>
            <w:tcW w:w="9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Worklife America, Inc.</w:t>
            </w:r>
          </w:p>
        </w:tc>
        <w:tc>
          <w:tcPr>
            <w:tcW w:w="22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Organization</w:t>
            </w:r>
          </w:p>
        </w:tc>
        <w:tc>
          <w:tcPr>
            <w:tcW w:w="2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ownership)</w:t>
            </w: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2,311</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222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Professional Employer</w:t>
            </w:r>
          </w:p>
        </w:tc>
        <w:tc>
          <w:tcPr>
            <w:tcW w:w="25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Preferred Stock Warrants (3.84%</w:t>
            </w:r>
          </w:p>
        </w:tc>
        <w:tc>
          <w:tcPr>
            <w:tcW w:w="9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Worklife America, Inc.</w:t>
            </w:r>
          </w:p>
        </w:tc>
        <w:tc>
          <w:tcPr>
            <w:tcW w:w="22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Organization</w:t>
            </w:r>
          </w:p>
        </w:tc>
        <w:tc>
          <w:tcPr>
            <w:tcW w:w="2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ownership)</w:t>
            </w:r>
          </w:p>
        </w:tc>
        <w:tc>
          <w:tcPr>
            <w:tcW w:w="9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w:t>
            </w:r>
          </w:p>
        </w:tc>
        <w:tc>
          <w:tcPr>
            <w:tcW w:w="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2,700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46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Sub Total Non-control/Non-affiliated</w:t>
            </w:r>
          </w:p>
        </w:tc>
        <w:tc>
          <w:tcPr>
            <w:tcW w:w="2220" w:type="dxa"/>
            <w:vAlign w:val="bottom"/>
            <w:shd w:val="clear" w:color="auto" w:fill="CCEEFF"/>
          </w:tcPr>
          <w:p>
            <w:pPr>
              <w:spacing w:after="0"/>
              <w:rPr>
                <w:sz w:val="10"/>
                <w:szCs w:val="10"/>
                <w:color w:val="auto"/>
              </w:rPr>
            </w:pPr>
          </w:p>
        </w:tc>
        <w:tc>
          <w:tcPr>
            <w:tcW w:w="25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investments</w:t>
            </w:r>
          </w:p>
        </w:tc>
        <w:tc>
          <w:tcPr>
            <w:tcW w:w="222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219,163</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236,804</w:t>
            </w:r>
          </w:p>
        </w:tc>
        <w:tc>
          <w:tcPr>
            <w:tcW w:w="1060" w:type="dxa"/>
            <w:vAlign w:val="bottom"/>
            <w:gridSpan w:val="2"/>
            <w:shd w:val="clear" w:color="auto" w:fill="CCEEFF"/>
          </w:tcPr>
          <w:p>
            <w:pPr>
              <w:jc w:val="right"/>
              <w:ind w:right="20"/>
              <w:spacing w:after="0" w:line="199" w:lineRule="exact"/>
              <w:rPr>
                <w:sz w:val="20"/>
                <w:szCs w:val="20"/>
                <w:color w:val="auto"/>
              </w:rPr>
            </w:pPr>
            <w:r>
              <w:rPr>
                <w:rFonts w:ascii="Arial" w:cs="Arial" w:eastAsia="Arial" w:hAnsi="Arial"/>
                <w:sz w:val="12"/>
                <w:szCs w:val="12"/>
                <w:color w:val="auto"/>
              </w:rPr>
              <w:t>98.3</w:t>
            </w:r>
            <w:r>
              <w:rPr>
                <w:rFonts w:ascii="Arial" w:cs="Arial" w:eastAsia="Arial" w:hAnsi="Arial"/>
                <w:sz w:val="22"/>
                <w:szCs w:val="22"/>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Affiliate investments - 71.1%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246620" cy="946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ectPr>
          <w:pgSz w:w="11900" w:h="16887" w:orient="portrait"/>
          <w:cols w:equalWidth="0" w:num="1">
            <w:col w:w="11420"/>
          </w:cols>
          <w:pgMar w:left="240" w:top="267" w:right="239" w:bottom="0" w:gutter="0" w:footer="0" w:header="0"/>
        </w:sectPr>
      </w:pPr>
    </w:p>
    <w:bookmarkStart w:id="13" w:name="page14"/>
    <w:bookmarkEnd w:id="1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200" w:type="dxa"/>
            <w:vAlign w:val="bottom"/>
            <w:shd w:val="clear" w:color="auto" w:fill="CCEEFF"/>
          </w:tcPr>
          <w:p>
            <w:pPr>
              <w:ind w:left="80"/>
              <w:spacing w:after="0"/>
              <w:rPr>
                <w:sz w:val="20"/>
                <w:szCs w:val="20"/>
                <w:color w:val="auto"/>
              </w:rPr>
            </w:pPr>
            <w:r>
              <w:rPr>
                <w:rFonts w:ascii="Arial" w:cs="Arial" w:eastAsia="Arial" w:hAnsi="Arial"/>
                <w:sz w:val="14"/>
                <w:szCs w:val="14"/>
                <w:color w:val="auto"/>
              </w:rPr>
              <w:t>Senior Subordinated Debt (14%</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Burgaflex Holdings, LLC</w:t>
            </w:r>
          </w:p>
        </w:tc>
        <w:tc>
          <w:tcPr>
            <w:tcW w:w="25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Automobile Part Manufacturer</w:t>
            </w:r>
          </w:p>
        </w:tc>
        <w:tc>
          <w:tcPr>
            <w:tcW w:w="2200" w:type="dxa"/>
            <w:vAlign w:val="bottom"/>
            <w:shd w:val="clear" w:color="auto" w:fill="CCEEFF"/>
          </w:tcPr>
          <w:p>
            <w:pPr>
              <w:ind w:left="80"/>
              <w:spacing w:after="0"/>
              <w:rPr>
                <w:sz w:val="20"/>
                <w:szCs w:val="20"/>
                <w:color w:val="auto"/>
              </w:rPr>
            </w:pPr>
            <w:r>
              <w:rPr>
                <w:rFonts w:ascii="Arial" w:cs="Arial" w:eastAsia="Arial" w:hAnsi="Arial"/>
                <w:sz w:val="14"/>
                <w:szCs w:val="14"/>
                <w:color w:val="auto"/>
              </w:rPr>
              <w:t>Cash, due 8/19/2019)</w:t>
            </w:r>
          </w:p>
        </w:tc>
        <w:tc>
          <w:tcPr>
            <w:tcW w:w="3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5,000</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5,000</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5,000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00" w:type="dxa"/>
            <w:vAlign w:val="bottom"/>
            <w:shd w:val="clear" w:color="auto" w:fill="CCEEFF"/>
          </w:tcPr>
          <w:p>
            <w:pPr>
              <w:spacing w:after="0"/>
              <w:rPr>
                <w:sz w:val="11"/>
                <w:szCs w:val="11"/>
                <w:color w:val="auto"/>
              </w:rPr>
            </w:pPr>
          </w:p>
        </w:tc>
        <w:tc>
          <w:tcPr>
            <w:tcW w:w="2520" w:type="dxa"/>
            <w:vAlign w:val="bottom"/>
            <w:shd w:val="clear" w:color="auto" w:fill="CCEEFF"/>
          </w:tcPr>
          <w:p>
            <w:pPr>
              <w:spacing w:after="0"/>
              <w:rPr>
                <w:sz w:val="11"/>
                <w:szCs w:val="11"/>
                <w:color w:val="auto"/>
              </w:rPr>
            </w:pPr>
          </w:p>
        </w:tc>
        <w:tc>
          <w:tcPr>
            <w:tcW w:w="22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Junior Subordinated Debt (12%</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Burgaflex Holdings, LLC</w:t>
            </w:r>
          </w:p>
        </w:tc>
        <w:tc>
          <w:tcPr>
            <w:tcW w:w="25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Automobile Part Manufacturer</w:t>
            </w:r>
          </w:p>
        </w:tc>
        <w:tc>
          <w:tcPr>
            <w:tcW w:w="2200" w:type="dxa"/>
            <w:vAlign w:val="bottom"/>
            <w:shd w:val="clear" w:color="auto" w:fill="CCEEFF"/>
          </w:tcPr>
          <w:p>
            <w:pPr>
              <w:ind w:left="80"/>
              <w:spacing w:after="0"/>
              <w:rPr>
                <w:sz w:val="20"/>
                <w:szCs w:val="20"/>
                <w:color w:val="auto"/>
              </w:rPr>
            </w:pPr>
            <w:r>
              <w:rPr>
                <w:rFonts w:ascii="Arial" w:cs="Arial" w:eastAsia="Arial" w:hAnsi="Arial"/>
                <w:sz w:val="14"/>
                <w:szCs w:val="14"/>
                <w:color w:val="auto"/>
              </w:rPr>
              <w:t>Cash, due 8/19/2019)</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7,200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7,200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7,200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Burgaflex Holdings, LLC</w:t>
            </w:r>
          </w:p>
        </w:tc>
        <w:tc>
          <w:tcPr>
            <w:tcW w:w="25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Automobile Part Manufacturer</w:t>
            </w:r>
          </w:p>
        </w:tc>
        <w:tc>
          <w:tcPr>
            <w:tcW w:w="2200" w:type="dxa"/>
            <w:vAlign w:val="bottom"/>
            <w:shd w:val="clear" w:color="auto" w:fill="CCEEFF"/>
          </w:tcPr>
          <w:p>
            <w:pPr>
              <w:ind w:left="80"/>
              <w:spacing w:after="0"/>
              <w:rPr>
                <w:sz w:val="20"/>
                <w:szCs w:val="20"/>
                <w:color w:val="auto"/>
              </w:rPr>
            </w:pPr>
            <w:r>
              <w:rPr>
                <w:rFonts w:ascii="Arial" w:cs="Arial" w:eastAsia="Arial" w:hAnsi="Arial"/>
                <w:sz w:val="14"/>
                <w:szCs w:val="14"/>
                <w:color w:val="auto"/>
                <w:w w:val="96"/>
              </w:rPr>
              <w:t>Common Stock (1,253,198 shares)</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1,504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3,646</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13,704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15,846</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00" w:type="dxa"/>
            <w:vAlign w:val="bottom"/>
            <w:shd w:val="clear" w:color="auto" w:fill="CCEEFF"/>
          </w:tcPr>
          <w:p>
            <w:pPr>
              <w:spacing w:after="0"/>
              <w:rPr>
                <w:sz w:val="11"/>
                <w:szCs w:val="11"/>
                <w:color w:val="auto"/>
              </w:rPr>
            </w:pPr>
          </w:p>
        </w:tc>
        <w:tc>
          <w:tcPr>
            <w:tcW w:w="2520" w:type="dxa"/>
            <w:vAlign w:val="bottom"/>
            <w:shd w:val="clear" w:color="auto" w:fill="CCEEFF"/>
          </w:tcPr>
          <w:p>
            <w:pPr>
              <w:spacing w:after="0"/>
              <w:rPr>
                <w:sz w:val="11"/>
                <w:szCs w:val="11"/>
                <w:color w:val="auto"/>
              </w:rPr>
            </w:pPr>
          </w:p>
        </w:tc>
        <w:tc>
          <w:tcPr>
            <w:tcW w:w="22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w w:val="94"/>
              </w:rPr>
              <w:t>Subordinated Debt (13% Cash, Due</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City Gear, LLC</w:t>
            </w:r>
          </w:p>
        </w:tc>
        <w:tc>
          <w:tcPr>
            <w:tcW w:w="25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Footwear Retail</w:t>
            </w:r>
          </w:p>
        </w:tc>
        <w:tc>
          <w:tcPr>
            <w:tcW w:w="2200" w:type="dxa"/>
            <w:vAlign w:val="bottom"/>
            <w:shd w:val="clear" w:color="auto" w:fill="CCEEFF"/>
          </w:tcPr>
          <w:p>
            <w:pPr>
              <w:ind w:left="80"/>
              <w:spacing w:after="0"/>
              <w:rPr>
                <w:sz w:val="20"/>
                <w:szCs w:val="20"/>
                <w:color w:val="auto"/>
              </w:rPr>
            </w:pPr>
            <w:r>
              <w:rPr>
                <w:rFonts w:ascii="Arial" w:cs="Arial" w:eastAsia="Arial" w:hAnsi="Arial"/>
                <w:sz w:val="14"/>
                <w:szCs w:val="14"/>
                <w:color w:val="auto"/>
              </w:rPr>
              <w:t>9/28/16)</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8,231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8,231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8,213</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2200" w:type="dxa"/>
            <w:vAlign w:val="bottom"/>
            <w:shd w:val="clear" w:color="auto" w:fill="CCEEFF"/>
          </w:tcPr>
          <w:p>
            <w:pPr>
              <w:ind w:left="80"/>
              <w:spacing w:after="0" w:line="140" w:lineRule="exact"/>
              <w:rPr>
                <w:sz w:val="20"/>
                <w:szCs w:val="20"/>
                <w:color w:val="auto"/>
              </w:rPr>
            </w:pPr>
            <w:r>
              <w:rPr>
                <w:rFonts w:ascii="Arial" w:cs="Arial" w:eastAsia="Arial" w:hAnsi="Arial"/>
                <w:sz w:val="14"/>
                <w:szCs w:val="14"/>
                <w:color w:val="auto"/>
              </w:rPr>
              <w:t>Preferred Membership Units (9%</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City Gear, LLC</w:t>
            </w:r>
          </w:p>
        </w:tc>
        <w:tc>
          <w:tcPr>
            <w:tcW w:w="25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Footwear Retail</w:t>
            </w:r>
          </w:p>
        </w:tc>
        <w:tc>
          <w:tcPr>
            <w:tcW w:w="2200" w:type="dxa"/>
            <w:vAlign w:val="bottom"/>
            <w:shd w:val="clear" w:color="auto" w:fill="CCEEFF"/>
          </w:tcPr>
          <w:p>
            <w:pPr>
              <w:ind w:left="80"/>
              <w:spacing w:after="0" w:line="198" w:lineRule="exact"/>
              <w:rPr>
                <w:sz w:val="20"/>
                <w:szCs w:val="20"/>
                <w:color w:val="auto"/>
              </w:rPr>
            </w:pPr>
            <w:r>
              <w:rPr>
                <w:rFonts w:ascii="Arial" w:cs="Arial" w:eastAsia="Arial" w:hAnsi="Arial"/>
                <w:sz w:val="14"/>
                <w:szCs w:val="14"/>
                <w:color w:val="auto"/>
              </w:rPr>
              <w:t xml:space="preserve">Cash dividend) </w:t>
            </w:r>
            <w:r>
              <w:rPr>
                <w:rFonts w:ascii="Arial" w:cs="Arial" w:eastAsia="Arial" w:hAnsi="Arial"/>
                <w:sz w:val="22"/>
                <w:szCs w:val="22"/>
                <w:color w:val="auto"/>
                <w:vertAlign w:val="superscript"/>
              </w:rPr>
              <w:t>(6)</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1,269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1,269</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00" w:type="dxa"/>
            <w:vAlign w:val="bottom"/>
            <w:shd w:val="clear" w:color="auto" w:fill="CCEEFF"/>
          </w:tcPr>
          <w:p>
            <w:pPr>
              <w:spacing w:after="0"/>
              <w:rPr>
                <w:sz w:val="11"/>
                <w:szCs w:val="11"/>
                <w:color w:val="auto"/>
              </w:rPr>
            </w:pPr>
          </w:p>
        </w:tc>
        <w:tc>
          <w:tcPr>
            <w:tcW w:w="2520" w:type="dxa"/>
            <w:vAlign w:val="bottom"/>
            <w:shd w:val="clear" w:color="auto" w:fill="CCEEFF"/>
          </w:tcPr>
          <w:p>
            <w:pPr>
              <w:spacing w:after="0"/>
              <w:rPr>
                <w:sz w:val="11"/>
                <w:szCs w:val="11"/>
                <w:color w:val="auto"/>
              </w:rPr>
            </w:pPr>
          </w:p>
        </w:tc>
        <w:tc>
          <w:tcPr>
            <w:tcW w:w="22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Membership Unit Warrants</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City Gear, LLC</w:t>
            </w:r>
          </w:p>
        </w:tc>
        <w:tc>
          <w:tcPr>
            <w:tcW w:w="25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Footwear Retail</w:t>
            </w:r>
          </w:p>
        </w:tc>
        <w:tc>
          <w:tcPr>
            <w:tcW w:w="2200" w:type="dxa"/>
            <w:vAlign w:val="bottom"/>
            <w:shd w:val="clear" w:color="auto" w:fill="CCEEFF"/>
          </w:tcPr>
          <w:p>
            <w:pPr>
              <w:ind w:left="80"/>
              <w:spacing w:after="0"/>
              <w:rPr>
                <w:sz w:val="20"/>
                <w:szCs w:val="20"/>
                <w:color w:val="auto"/>
              </w:rPr>
            </w:pPr>
            <w:r>
              <w:rPr>
                <w:rFonts w:ascii="Arial" w:cs="Arial" w:eastAsia="Arial" w:hAnsi="Arial"/>
                <w:sz w:val="14"/>
                <w:szCs w:val="14"/>
                <w:color w:val="auto"/>
              </w:rPr>
              <w:t>(14.15% fully diluted)</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6,205</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9,500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15,687</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00" w:type="dxa"/>
            <w:vAlign w:val="bottom"/>
            <w:shd w:val="clear" w:color="auto" w:fill="CCEEFF"/>
          </w:tcPr>
          <w:p>
            <w:pPr>
              <w:spacing w:after="0"/>
              <w:rPr>
                <w:sz w:val="11"/>
                <w:szCs w:val="11"/>
                <w:color w:val="auto"/>
              </w:rPr>
            </w:pPr>
          </w:p>
        </w:tc>
        <w:tc>
          <w:tcPr>
            <w:tcW w:w="2520" w:type="dxa"/>
            <w:vAlign w:val="bottom"/>
            <w:shd w:val="clear" w:color="auto" w:fill="CCEEFF"/>
          </w:tcPr>
          <w:p>
            <w:pPr>
              <w:spacing w:after="0"/>
              <w:rPr>
                <w:sz w:val="11"/>
                <w:szCs w:val="11"/>
                <w:color w:val="auto"/>
              </w:rPr>
            </w:pPr>
          </w:p>
        </w:tc>
        <w:tc>
          <w:tcPr>
            <w:tcW w:w="22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w w:val="96"/>
              </w:rPr>
              <w:t>Subordinated Debt (14% Cash, 2%</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Corporate Visions, Inc.</w:t>
            </w:r>
          </w:p>
        </w:tc>
        <w:tc>
          <w:tcPr>
            <w:tcW w:w="25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Sales &amp; Marketing Services</w:t>
            </w:r>
          </w:p>
        </w:tc>
        <w:tc>
          <w:tcPr>
            <w:tcW w:w="2200" w:type="dxa"/>
            <w:vAlign w:val="bottom"/>
            <w:shd w:val="clear" w:color="auto" w:fill="CCEEFF"/>
          </w:tcPr>
          <w:p>
            <w:pPr>
              <w:ind w:left="80"/>
              <w:spacing w:after="0"/>
              <w:rPr>
                <w:sz w:val="20"/>
                <w:szCs w:val="20"/>
                <w:color w:val="auto"/>
              </w:rPr>
            </w:pPr>
            <w:r>
              <w:rPr>
                <w:rFonts w:ascii="Arial" w:cs="Arial" w:eastAsia="Arial" w:hAnsi="Arial"/>
                <w:sz w:val="14"/>
                <w:szCs w:val="14"/>
                <w:color w:val="auto"/>
              </w:rPr>
              <w:t>PIK, Due 3/22/18)</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11,402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11,402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11,402</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Corporate Visions, Inc.</w:t>
            </w:r>
          </w:p>
        </w:tc>
        <w:tc>
          <w:tcPr>
            <w:tcW w:w="2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Sales &amp; Marketing Services</w:t>
            </w:r>
          </w:p>
        </w:tc>
        <w:tc>
          <w:tcPr>
            <w:tcW w:w="22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96"/>
              </w:rPr>
              <w:t>Common Stock (2,216,463 shares)</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2,576</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10,348</w:t>
            </w:r>
          </w:p>
        </w:tc>
        <w:tc>
          <w:tcPr>
            <w:tcW w:w="10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00" w:type="dxa"/>
            <w:vAlign w:val="bottom"/>
            <w:shd w:val="clear" w:color="auto" w:fill="CCEEFF"/>
          </w:tcPr>
          <w:p>
            <w:pPr>
              <w:spacing w:after="0"/>
              <w:rPr>
                <w:sz w:val="11"/>
                <w:szCs w:val="11"/>
                <w:color w:val="auto"/>
              </w:rPr>
            </w:pPr>
          </w:p>
        </w:tc>
        <w:tc>
          <w:tcPr>
            <w:tcW w:w="2520" w:type="dxa"/>
            <w:vAlign w:val="bottom"/>
            <w:shd w:val="clear" w:color="auto" w:fill="CCEEFF"/>
          </w:tcPr>
          <w:p>
            <w:pPr>
              <w:spacing w:after="0"/>
              <w:rPr>
                <w:sz w:val="11"/>
                <w:szCs w:val="11"/>
                <w:color w:val="auto"/>
              </w:rPr>
            </w:pPr>
          </w:p>
        </w:tc>
        <w:tc>
          <w:tcPr>
            <w:tcW w:w="22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Common Stock Warrant (403,257</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Corporate Visions, Inc.</w:t>
            </w:r>
          </w:p>
        </w:tc>
        <w:tc>
          <w:tcPr>
            <w:tcW w:w="25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Sales &amp; Marketing Services</w:t>
            </w:r>
          </w:p>
        </w:tc>
        <w:tc>
          <w:tcPr>
            <w:tcW w:w="2200" w:type="dxa"/>
            <w:vAlign w:val="bottom"/>
            <w:shd w:val="clear" w:color="auto" w:fill="CCEEFF"/>
          </w:tcPr>
          <w:p>
            <w:pPr>
              <w:ind w:left="80"/>
              <w:spacing w:after="0"/>
              <w:rPr>
                <w:sz w:val="20"/>
                <w:szCs w:val="20"/>
                <w:color w:val="auto"/>
              </w:rPr>
            </w:pPr>
            <w:r>
              <w:rPr>
                <w:rFonts w:ascii="Arial" w:cs="Arial" w:eastAsia="Arial" w:hAnsi="Arial"/>
                <w:sz w:val="14"/>
                <w:szCs w:val="14"/>
                <w:color w:val="auto"/>
              </w:rPr>
              <w:t>shares)</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1,882</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13,978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23,632</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2200" w:type="dxa"/>
            <w:vAlign w:val="bottom"/>
            <w:shd w:val="clear" w:color="auto" w:fill="CCEEFF"/>
          </w:tcPr>
          <w:p>
            <w:pPr>
              <w:ind w:left="80"/>
              <w:spacing w:after="0" w:line="140" w:lineRule="exact"/>
              <w:rPr>
                <w:sz w:val="20"/>
                <w:szCs w:val="20"/>
                <w:color w:val="auto"/>
              </w:rPr>
            </w:pPr>
            <w:r>
              <w:rPr>
                <w:rFonts w:ascii="Arial" w:cs="Arial" w:eastAsia="Arial" w:hAnsi="Arial"/>
                <w:sz w:val="14"/>
                <w:szCs w:val="14"/>
                <w:color w:val="auto"/>
                <w:w w:val="99"/>
              </w:rPr>
              <w:t>Series A-1 Preferred Stock (1,998</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GA Communications, Inc.</w:t>
            </w:r>
          </w:p>
        </w:tc>
        <w:tc>
          <w:tcPr>
            <w:tcW w:w="25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Advertising &amp; Marketing Services</w:t>
            </w:r>
          </w:p>
        </w:tc>
        <w:tc>
          <w:tcPr>
            <w:tcW w:w="2200" w:type="dxa"/>
            <w:vAlign w:val="bottom"/>
            <w:shd w:val="clear" w:color="auto" w:fill="CCEEFF"/>
          </w:tcPr>
          <w:p>
            <w:pPr>
              <w:ind w:left="80"/>
              <w:spacing w:after="0" w:line="198" w:lineRule="exact"/>
              <w:rPr>
                <w:sz w:val="20"/>
                <w:szCs w:val="20"/>
                <w:color w:val="auto"/>
              </w:rPr>
            </w:pPr>
            <w:r>
              <w:rPr>
                <w:rFonts w:ascii="Arial" w:cs="Arial" w:eastAsia="Arial" w:hAnsi="Arial"/>
                <w:sz w:val="14"/>
                <w:szCs w:val="14"/>
                <w:color w:val="auto"/>
              </w:rPr>
              <w:t xml:space="preserve">shares, 8% PIK dividend) </w:t>
            </w:r>
            <w:r>
              <w:rPr>
                <w:rFonts w:ascii="Arial" w:cs="Arial" w:eastAsia="Arial" w:hAnsi="Arial"/>
                <w:sz w:val="22"/>
                <w:szCs w:val="22"/>
                <w:color w:val="auto"/>
                <w:vertAlign w:val="superscript"/>
              </w:rPr>
              <w:t>(6)</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2,197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2,559</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00" w:type="dxa"/>
            <w:vAlign w:val="bottom"/>
            <w:shd w:val="clear" w:color="auto" w:fill="CCEEFF"/>
          </w:tcPr>
          <w:p>
            <w:pPr>
              <w:spacing w:after="0"/>
              <w:rPr>
                <w:sz w:val="11"/>
                <w:szCs w:val="11"/>
                <w:color w:val="auto"/>
              </w:rPr>
            </w:pPr>
          </w:p>
        </w:tc>
        <w:tc>
          <w:tcPr>
            <w:tcW w:w="2520" w:type="dxa"/>
            <w:vAlign w:val="bottom"/>
            <w:shd w:val="clear" w:color="auto" w:fill="CCEEFF"/>
          </w:tcPr>
          <w:p>
            <w:pPr>
              <w:spacing w:after="0"/>
              <w:rPr>
                <w:sz w:val="11"/>
                <w:szCs w:val="11"/>
                <w:color w:val="auto"/>
              </w:rPr>
            </w:pPr>
          </w:p>
        </w:tc>
        <w:tc>
          <w:tcPr>
            <w:tcW w:w="22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Series B-1 Common Stock</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GA Communications, Inc.</w:t>
            </w:r>
          </w:p>
        </w:tc>
        <w:tc>
          <w:tcPr>
            <w:tcW w:w="25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Advertising &amp; Marketing Services</w:t>
            </w:r>
          </w:p>
        </w:tc>
        <w:tc>
          <w:tcPr>
            <w:tcW w:w="2200" w:type="dxa"/>
            <w:vAlign w:val="bottom"/>
            <w:shd w:val="clear" w:color="auto" w:fill="CCEEFF"/>
          </w:tcPr>
          <w:p>
            <w:pPr>
              <w:ind w:left="80"/>
              <w:spacing w:after="0"/>
              <w:rPr>
                <w:sz w:val="20"/>
                <w:szCs w:val="20"/>
                <w:color w:val="auto"/>
              </w:rPr>
            </w:pPr>
            <w:r>
              <w:rPr>
                <w:rFonts w:ascii="Arial" w:cs="Arial" w:eastAsia="Arial" w:hAnsi="Arial"/>
                <w:sz w:val="14"/>
                <w:szCs w:val="14"/>
                <w:color w:val="auto"/>
              </w:rPr>
              <w:t>(200,000 shares)</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1,660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2,199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4,219</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00" w:type="dxa"/>
            <w:vAlign w:val="bottom"/>
            <w:shd w:val="clear" w:color="auto" w:fill="CCEEFF"/>
          </w:tcPr>
          <w:p>
            <w:pPr>
              <w:spacing w:after="0"/>
              <w:rPr>
                <w:sz w:val="11"/>
                <w:szCs w:val="11"/>
                <w:color w:val="auto"/>
              </w:rPr>
            </w:pPr>
          </w:p>
        </w:tc>
        <w:tc>
          <w:tcPr>
            <w:tcW w:w="2520" w:type="dxa"/>
            <w:vAlign w:val="bottom"/>
            <w:shd w:val="clear" w:color="auto" w:fill="CCEEFF"/>
          </w:tcPr>
          <w:p>
            <w:pPr>
              <w:spacing w:after="0"/>
              <w:rPr>
                <w:sz w:val="11"/>
                <w:szCs w:val="11"/>
                <w:color w:val="auto"/>
              </w:rPr>
            </w:pPr>
          </w:p>
        </w:tc>
        <w:tc>
          <w:tcPr>
            <w:tcW w:w="22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w w:val="94"/>
              </w:rPr>
              <w:t>Subordinated Debt (13% Cash, Due</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J&amp;J Produce Holdings, Inc.</w:t>
            </w:r>
          </w:p>
        </w:tc>
        <w:tc>
          <w:tcPr>
            <w:tcW w:w="25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Produce Distribution</w:t>
            </w:r>
          </w:p>
        </w:tc>
        <w:tc>
          <w:tcPr>
            <w:tcW w:w="2200" w:type="dxa"/>
            <w:vAlign w:val="bottom"/>
            <w:shd w:val="clear" w:color="auto" w:fill="CCEEFF"/>
          </w:tcPr>
          <w:p>
            <w:pPr>
              <w:ind w:left="80"/>
              <w:spacing w:after="0"/>
              <w:rPr>
                <w:sz w:val="20"/>
                <w:szCs w:val="20"/>
                <w:color w:val="auto"/>
              </w:rPr>
            </w:pPr>
            <w:r>
              <w:rPr>
                <w:rFonts w:ascii="Arial" w:cs="Arial" w:eastAsia="Arial" w:hAnsi="Arial"/>
                <w:sz w:val="14"/>
                <w:szCs w:val="14"/>
                <w:color w:val="auto"/>
              </w:rPr>
              <w:t>7/16/18)</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5,182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5,182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5,182</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J&amp;J Produce Holdings, Inc.</w:t>
            </w:r>
          </w:p>
        </w:tc>
        <w:tc>
          <w:tcPr>
            <w:tcW w:w="2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Produce Distribution</w:t>
            </w:r>
          </w:p>
        </w:tc>
        <w:tc>
          <w:tcPr>
            <w:tcW w:w="22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Common Stock (8,182 shares)</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818</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341</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00" w:type="dxa"/>
            <w:vAlign w:val="bottom"/>
            <w:shd w:val="clear" w:color="auto" w:fill="CCEEFF"/>
          </w:tcPr>
          <w:p>
            <w:pPr>
              <w:spacing w:after="0"/>
              <w:rPr>
                <w:sz w:val="11"/>
                <w:szCs w:val="11"/>
                <w:color w:val="auto"/>
              </w:rPr>
            </w:pPr>
          </w:p>
        </w:tc>
        <w:tc>
          <w:tcPr>
            <w:tcW w:w="2520" w:type="dxa"/>
            <w:vAlign w:val="bottom"/>
            <w:shd w:val="clear" w:color="auto" w:fill="CCEEFF"/>
          </w:tcPr>
          <w:p>
            <w:pPr>
              <w:spacing w:after="0"/>
              <w:rPr>
                <w:sz w:val="11"/>
                <w:szCs w:val="11"/>
                <w:color w:val="auto"/>
              </w:rPr>
            </w:pPr>
          </w:p>
        </w:tc>
        <w:tc>
          <w:tcPr>
            <w:tcW w:w="22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Common Stock Warrants (4,506</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J&amp;J Produce Holdings, Inc.</w:t>
            </w:r>
          </w:p>
        </w:tc>
        <w:tc>
          <w:tcPr>
            <w:tcW w:w="25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Produce Distribution</w:t>
            </w:r>
          </w:p>
        </w:tc>
        <w:tc>
          <w:tcPr>
            <w:tcW w:w="2200" w:type="dxa"/>
            <w:vAlign w:val="bottom"/>
            <w:shd w:val="clear" w:color="auto" w:fill="CCEEFF"/>
          </w:tcPr>
          <w:p>
            <w:pPr>
              <w:ind w:left="80"/>
              <w:spacing w:after="0"/>
              <w:rPr>
                <w:sz w:val="20"/>
                <w:szCs w:val="20"/>
                <w:color w:val="auto"/>
              </w:rPr>
            </w:pPr>
            <w:r>
              <w:rPr>
                <w:rFonts w:ascii="Arial" w:cs="Arial" w:eastAsia="Arial" w:hAnsi="Arial"/>
                <w:sz w:val="14"/>
                <w:szCs w:val="14"/>
                <w:color w:val="auto"/>
              </w:rPr>
              <w:t>shares)</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6,000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5,711</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LJS Partners, LLC</w:t>
            </w:r>
          </w:p>
        </w:tc>
        <w:tc>
          <w:tcPr>
            <w:tcW w:w="25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QSR Franchisor</w:t>
            </w:r>
          </w:p>
        </w:tc>
        <w:tc>
          <w:tcPr>
            <w:tcW w:w="2200" w:type="dxa"/>
            <w:vAlign w:val="bottom"/>
            <w:shd w:val="clear" w:color="auto" w:fill="CCEEFF"/>
          </w:tcPr>
          <w:p>
            <w:pPr>
              <w:ind w:left="80"/>
              <w:spacing w:after="0"/>
              <w:rPr>
                <w:sz w:val="20"/>
                <w:szCs w:val="20"/>
                <w:color w:val="auto"/>
              </w:rPr>
            </w:pPr>
            <w:r>
              <w:rPr>
                <w:rFonts w:ascii="Arial" w:cs="Arial" w:eastAsia="Arial" w:hAnsi="Arial"/>
                <w:sz w:val="14"/>
                <w:szCs w:val="14"/>
                <w:color w:val="auto"/>
                <w:w w:val="96"/>
              </w:rPr>
              <w:t>Common Stock (1,500,000 shares)</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1,500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2,506</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1,500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2,506</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00" w:type="dxa"/>
            <w:vAlign w:val="bottom"/>
            <w:shd w:val="clear" w:color="auto" w:fill="CCEEFF"/>
          </w:tcPr>
          <w:p>
            <w:pPr>
              <w:spacing w:after="0"/>
              <w:rPr>
                <w:sz w:val="11"/>
                <w:szCs w:val="11"/>
                <w:color w:val="auto"/>
              </w:rPr>
            </w:pPr>
          </w:p>
        </w:tc>
        <w:tc>
          <w:tcPr>
            <w:tcW w:w="2520" w:type="dxa"/>
            <w:vAlign w:val="bottom"/>
            <w:shd w:val="clear" w:color="auto" w:fill="CCEEFF"/>
          </w:tcPr>
          <w:p>
            <w:pPr>
              <w:spacing w:after="0"/>
              <w:rPr>
                <w:sz w:val="11"/>
                <w:szCs w:val="11"/>
                <w:color w:val="auto"/>
              </w:rPr>
            </w:pPr>
          </w:p>
        </w:tc>
        <w:tc>
          <w:tcPr>
            <w:tcW w:w="22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Series A Preferred Units</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MJC Holdings, LLC</w:t>
            </w:r>
          </w:p>
        </w:tc>
        <w:tc>
          <w:tcPr>
            <w:tcW w:w="25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Specialty Clothing</w:t>
            </w:r>
          </w:p>
        </w:tc>
        <w:tc>
          <w:tcPr>
            <w:tcW w:w="2200" w:type="dxa"/>
            <w:vAlign w:val="bottom"/>
            <w:shd w:val="clear" w:color="auto" w:fill="CCEEFF"/>
          </w:tcPr>
          <w:p>
            <w:pPr>
              <w:ind w:left="80"/>
              <w:spacing w:after="0"/>
              <w:rPr>
                <w:sz w:val="20"/>
                <w:szCs w:val="20"/>
                <w:color w:val="auto"/>
              </w:rPr>
            </w:pPr>
            <w:r>
              <w:rPr>
                <w:rFonts w:ascii="Arial" w:cs="Arial" w:eastAsia="Arial" w:hAnsi="Arial"/>
                <w:sz w:val="14"/>
                <w:szCs w:val="14"/>
                <w:color w:val="auto"/>
              </w:rPr>
              <w:t>(2,000,000 units)</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2,000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5,723</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2,000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5,723</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2200" w:type="dxa"/>
            <w:vAlign w:val="bottom"/>
            <w:shd w:val="clear" w:color="auto" w:fill="CCEEFF"/>
          </w:tcPr>
          <w:p>
            <w:pPr>
              <w:ind w:left="80"/>
              <w:spacing w:after="0" w:line="140" w:lineRule="exact"/>
              <w:rPr>
                <w:sz w:val="20"/>
                <w:szCs w:val="20"/>
                <w:color w:val="auto"/>
              </w:rPr>
            </w:pPr>
            <w:r>
              <w:rPr>
                <w:rFonts w:ascii="Arial" w:cs="Arial" w:eastAsia="Arial" w:hAnsi="Arial"/>
                <w:sz w:val="14"/>
                <w:szCs w:val="14"/>
                <w:color w:val="auto"/>
              </w:rPr>
              <w:t>Senior Secured Debt (12% Cash,</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MMI Holdings, LLC</w:t>
            </w:r>
          </w:p>
        </w:tc>
        <w:tc>
          <w:tcPr>
            <w:tcW w:w="25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Medical Device Distributor</w:t>
            </w:r>
          </w:p>
        </w:tc>
        <w:tc>
          <w:tcPr>
            <w:tcW w:w="2200" w:type="dxa"/>
            <w:vAlign w:val="bottom"/>
            <w:shd w:val="clear" w:color="auto" w:fill="CCEEFF"/>
          </w:tcPr>
          <w:p>
            <w:pPr>
              <w:ind w:left="80"/>
              <w:spacing w:after="0" w:line="198" w:lineRule="exact"/>
              <w:rPr>
                <w:sz w:val="20"/>
                <w:szCs w:val="20"/>
                <w:color w:val="auto"/>
              </w:rPr>
            </w:pPr>
            <w:r>
              <w:rPr>
                <w:rFonts w:ascii="Arial" w:cs="Arial" w:eastAsia="Arial" w:hAnsi="Arial"/>
                <w:sz w:val="14"/>
                <w:szCs w:val="14"/>
                <w:color w:val="auto"/>
              </w:rPr>
              <w:t xml:space="preserve">Due 1/31/17) </w:t>
            </w:r>
            <w:r>
              <w:rPr>
                <w:rFonts w:ascii="Arial" w:cs="Arial" w:eastAsia="Arial" w:hAnsi="Arial"/>
                <w:sz w:val="22"/>
                <w:szCs w:val="22"/>
                <w:color w:val="auto"/>
                <w:vertAlign w:val="superscript"/>
              </w:rPr>
              <w:t>(1)</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2,600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2,600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2,600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2200" w:type="dxa"/>
            <w:vAlign w:val="bottom"/>
            <w:shd w:val="clear" w:color="auto" w:fill="CCEEFF"/>
          </w:tcPr>
          <w:p>
            <w:pPr>
              <w:ind w:left="80"/>
              <w:spacing w:after="0" w:line="140" w:lineRule="exact"/>
              <w:rPr>
                <w:sz w:val="20"/>
                <w:szCs w:val="20"/>
                <w:color w:val="auto"/>
              </w:rPr>
            </w:pPr>
            <w:r>
              <w:rPr>
                <w:rFonts w:ascii="Arial" w:cs="Arial" w:eastAsia="Arial" w:hAnsi="Arial"/>
                <w:sz w:val="14"/>
                <w:szCs w:val="14"/>
                <w:color w:val="auto"/>
                <w:w w:val="97"/>
              </w:rPr>
              <w:t>Subordinated Debt (6% Cash, Due</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MMI Holdings, LLC</w:t>
            </w:r>
          </w:p>
        </w:tc>
        <w:tc>
          <w:tcPr>
            <w:tcW w:w="25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Medical Device Distributor</w:t>
            </w:r>
          </w:p>
        </w:tc>
        <w:tc>
          <w:tcPr>
            <w:tcW w:w="2200" w:type="dxa"/>
            <w:vAlign w:val="bottom"/>
            <w:shd w:val="clear" w:color="auto" w:fill="CCEEFF"/>
          </w:tcPr>
          <w:p>
            <w:pPr>
              <w:ind w:left="80"/>
              <w:spacing w:after="0" w:line="198" w:lineRule="exact"/>
              <w:rPr>
                <w:sz w:val="20"/>
                <w:szCs w:val="20"/>
                <w:color w:val="auto"/>
              </w:rPr>
            </w:pPr>
            <w:r>
              <w:rPr>
                <w:rFonts w:ascii="Arial" w:cs="Arial" w:eastAsia="Arial" w:hAnsi="Arial"/>
                <w:sz w:val="14"/>
                <w:szCs w:val="14"/>
                <w:color w:val="auto"/>
              </w:rPr>
              <w:t xml:space="preserve">1/31/17) </w:t>
            </w:r>
            <w:r>
              <w:rPr>
                <w:rFonts w:ascii="Arial" w:cs="Arial" w:eastAsia="Arial" w:hAnsi="Arial"/>
                <w:sz w:val="22"/>
                <w:szCs w:val="22"/>
                <w:color w:val="auto"/>
                <w:vertAlign w:val="superscript"/>
              </w:rPr>
              <w:t>(1)</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388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2200" w:type="dxa"/>
            <w:vAlign w:val="bottom"/>
            <w:shd w:val="clear" w:color="auto" w:fill="CCEEFF"/>
          </w:tcPr>
          <w:p>
            <w:pPr>
              <w:ind w:left="80"/>
              <w:spacing w:after="0" w:line="140" w:lineRule="exact"/>
              <w:rPr>
                <w:sz w:val="20"/>
                <w:szCs w:val="20"/>
                <w:color w:val="auto"/>
              </w:rPr>
            </w:pPr>
            <w:r>
              <w:rPr>
                <w:rFonts w:ascii="Arial" w:cs="Arial" w:eastAsia="Arial" w:hAnsi="Arial"/>
                <w:sz w:val="14"/>
                <w:szCs w:val="14"/>
                <w:color w:val="auto"/>
              </w:rPr>
              <w:t>Preferred Units (1,000 units, 6%</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MMI Holdings, LLC</w:t>
            </w:r>
          </w:p>
        </w:tc>
        <w:tc>
          <w:tcPr>
            <w:tcW w:w="25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Medical Device Distributor</w:t>
            </w:r>
          </w:p>
        </w:tc>
        <w:tc>
          <w:tcPr>
            <w:tcW w:w="2200" w:type="dxa"/>
            <w:vAlign w:val="bottom"/>
            <w:shd w:val="clear" w:color="auto" w:fill="CCEEFF"/>
          </w:tcPr>
          <w:p>
            <w:pPr>
              <w:ind w:left="80"/>
              <w:spacing w:after="0" w:line="198" w:lineRule="exact"/>
              <w:rPr>
                <w:sz w:val="20"/>
                <w:szCs w:val="20"/>
                <w:color w:val="auto"/>
              </w:rPr>
            </w:pPr>
            <w:r>
              <w:rPr>
                <w:rFonts w:ascii="Arial" w:cs="Arial" w:eastAsia="Arial" w:hAnsi="Arial"/>
                <w:sz w:val="14"/>
                <w:szCs w:val="14"/>
                <w:color w:val="auto"/>
              </w:rPr>
              <w:t xml:space="preserve">PIK dividend) </w:t>
            </w:r>
            <w:r>
              <w:rPr>
                <w:rFonts w:ascii="Arial" w:cs="Arial" w:eastAsia="Arial" w:hAnsi="Arial"/>
                <w:sz w:val="22"/>
                <w:szCs w:val="22"/>
                <w:color w:val="auto"/>
                <w:vertAlign w:val="superscript"/>
              </w:rPr>
              <w:t>(6)</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1,136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1,273</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00" w:type="dxa"/>
            <w:vAlign w:val="bottom"/>
            <w:shd w:val="clear" w:color="auto" w:fill="CCEEFF"/>
          </w:tcPr>
          <w:p>
            <w:pPr>
              <w:spacing w:after="0"/>
              <w:rPr>
                <w:sz w:val="11"/>
                <w:szCs w:val="11"/>
                <w:color w:val="auto"/>
              </w:rPr>
            </w:pPr>
          </w:p>
        </w:tc>
        <w:tc>
          <w:tcPr>
            <w:tcW w:w="2520" w:type="dxa"/>
            <w:vAlign w:val="bottom"/>
            <w:shd w:val="clear" w:color="auto" w:fill="CCEEFF"/>
          </w:tcPr>
          <w:p>
            <w:pPr>
              <w:spacing w:after="0"/>
              <w:rPr>
                <w:sz w:val="11"/>
                <w:szCs w:val="11"/>
                <w:color w:val="auto"/>
              </w:rPr>
            </w:pPr>
          </w:p>
        </w:tc>
        <w:tc>
          <w:tcPr>
            <w:tcW w:w="22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Common Membership Units (45</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MMI Holdings, LLC</w:t>
            </w:r>
          </w:p>
        </w:tc>
        <w:tc>
          <w:tcPr>
            <w:tcW w:w="25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Medical Device Distributor</w:t>
            </w:r>
          </w:p>
        </w:tc>
        <w:tc>
          <w:tcPr>
            <w:tcW w:w="2200" w:type="dxa"/>
            <w:vAlign w:val="bottom"/>
            <w:shd w:val="clear" w:color="auto" w:fill="CCEEFF"/>
          </w:tcPr>
          <w:p>
            <w:pPr>
              <w:ind w:left="80"/>
              <w:spacing w:after="0"/>
              <w:rPr>
                <w:sz w:val="20"/>
                <w:szCs w:val="20"/>
                <w:color w:val="auto"/>
              </w:rPr>
            </w:pPr>
            <w:r>
              <w:rPr>
                <w:rFonts w:ascii="Arial" w:cs="Arial" w:eastAsia="Arial" w:hAnsi="Arial"/>
                <w:sz w:val="14"/>
                <w:szCs w:val="14"/>
                <w:color w:val="auto"/>
              </w:rPr>
              <w:t>units)</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4,124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4,399</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00" w:type="dxa"/>
            <w:vAlign w:val="bottom"/>
            <w:shd w:val="clear" w:color="auto" w:fill="CCEEFF"/>
          </w:tcPr>
          <w:p>
            <w:pPr>
              <w:spacing w:after="0"/>
              <w:rPr>
                <w:sz w:val="11"/>
                <w:szCs w:val="11"/>
                <w:color w:val="auto"/>
              </w:rPr>
            </w:pPr>
          </w:p>
        </w:tc>
        <w:tc>
          <w:tcPr>
            <w:tcW w:w="2520" w:type="dxa"/>
            <w:vAlign w:val="bottom"/>
            <w:shd w:val="clear" w:color="auto" w:fill="CCEEFF"/>
          </w:tcPr>
          <w:p>
            <w:pPr>
              <w:spacing w:after="0"/>
              <w:rPr>
                <w:sz w:val="11"/>
                <w:szCs w:val="11"/>
                <w:color w:val="auto"/>
              </w:rPr>
            </w:pPr>
          </w:p>
        </w:tc>
        <w:tc>
          <w:tcPr>
            <w:tcW w:w="22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w w:val="94"/>
              </w:rPr>
              <w:t>Subordinated Debt (12% Cash, Due</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MTI Holdings, LLC</w:t>
            </w:r>
          </w:p>
        </w:tc>
        <w:tc>
          <w:tcPr>
            <w:tcW w:w="2520" w:type="dxa"/>
            <w:vAlign w:val="bottom"/>
            <w:shd w:val="clear" w:color="auto" w:fill="CCEEFF"/>
          </w:tcPr>
          <w:p>
            <w:pPr>
              <w:ind w:left="420"/>
              <w:spacing w:after="0"/>
              <w:rPr>
                <w:sz w:val="20"/>
                <w:szCs w:val="20"/>
                <w:color w:val="auto"/>
              </w:rPr>
            </w:pPr>
            <w:r>
              <w:rPr>
                <w:rFonts w:ascii="Arial" w:cs="Arial" w:eastAsia="Arial" w:hAnsi="Arial"/>
                <w:sz w:val="14"/>
                <w:szCs w:val="14"/>
                <w:color w:val="auto"/>
                <w:w w:val="98"/>
              </w:rPr>
              <w:t>Retail Display &amp; Security Services</w:t>
            </w:r>
          </w:p>
        </w:tc>
        <w:tc>
          <w:tcPr>
            <w:tcW w:w="2200" w:type="dxa"/>
            <w:vAlign w:val="bottom"/>
            <w:shd w:val="clear" w:color="auto" w:fill="CCEEFF"/>
          </w:tcPr>
          <w:p>
            <w:pPr>
              <w:ind w:left="80"/>
              <w:spacing w:after="0"/>
              <w:rPr>
                <w:sz w:val="20"/>
                <w:szCs w:val="20"/>
                <w:color w:val="auto"/>
              </w:rPr>
            </w:pPr>
            <w:r>
              <w:rPr>
                <w:rFonts w:ascii="Arial" w:cs="Arial" w:eastAsia="Arial" w:hAnsi="Arial"/>
                <w:sz w:val="14"/>
                <w:szCs w:val="14"/>
                <w:color w:val="auto"/>
              </w:rPr>
              <w:t>11/1/18)</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8,000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8,000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8,000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00" w:type="dxa"/>
            <w:vAlign w:val="bottom"/>
            <w:shd w:val="clear" w:color="auto" w:fill="CCEEFF"/>
          </w:tcPr>
          <w:p>
            <w:pPr>
              <w:spacing w:after="0"/>
              <w:rPr>
                <w:sz w:val="11"/>
                <w:szCs w:val="11"/>
                <w:color w:val="auto"/>
              </w:rPr>
            </w:pPr>
          </w:p>
        </w:tc>
        <w:tc>
          <w:tcPr>
            <w:tcW w:w="2520" w:type="dxa"/>
            <w:vAlign w:val="bottom"/>
            <w:shd w:val="clear" w:color="auto" w:fill="CCEEFF"/>
          </w:tcPr>
          <w:p>
            <w:pPr>
              <w:spacing w:after="0"/>
              <w:rPr>
                <w:sz w:val="11"/>
                <w:szCs w:val="11"/>
                <w:color w:val="auto"/>
              </w:rPr>
            </w:pPr>
          </w:p>
        </w:tc>
        <w:tc>
          <w:tcPr>
            <w:tcW w:w="22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Membership Units (2,000,000</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MTI Holdings, LLC</w:t>
            </w:r>
          </w:p>
        </w:tc>
        <w:tc>
          <w:tcPr>
            <w:tcW w:w="2520" w:type="dxa"/>
            <w:vAlign w:val="bottom"/>
            <w:shd w:val="clear" w:color="auto" w:fill="CCEEFF"/>
          </w:tcPr>
          <w:p>
            <w:pPr>
              <w:ind w:left="420"/>
              <w:spacing w:after="0"/>
              <w:rPr>
                <w:sz w:val="20"/>
                <w:szCs w:val="20"/>
                <w:color w:val="auto"/>
              </w:rPr>
            </w:pPr>
            <w:r>
              <w:rPr>
                <w:rFonts w:ascii="Arial" w:cs="Arial" w:eastAsia="Arial" w:hAnsi="Arial"/>
                <w:sz w:val="14"/>
                <w:szCs w:val="14"/>
                <w:color w:val="auto"/>
                <w:w w:val="98"/>
              </w:rPr>
              <w:t>Retail Display &amp; Security Services</w:t>
            </w:r>
          </w:p>
        </w:tc>
        <w:tc>
          <w:tcPr>
            <w:tcW w:w="2200" w:type="dxa"/>
            <w:vAlign w:val="bottom"/>
            <w:shd w:val="clear" w:color="auto" w:fill="CCEEFF"/>
          </w:tcPr>
          <w:p>
            <w:pPr>
              <w:ind w:left="80"/>
              <w:spacing w:after="0"/>
              <w:rPr>
                <w:sz w:val="20"/>
                <w:szCs w:val="20"/>
                <w:color w:val="auto"/>
              </w:rPr>
            </w:pPr>
            <w:r>
              <w:rPr>
                <w:rFonts w:ascii="Arial" w:cs="Arial" w:eastAsia="Arial" w:hAnsi="Arial"/>
                <w:sz w:val="14"/>
                <w:szCs w:val="14"/>
                <w:color w:val="auto"/>
              </w:rPr>
              <w:t>units)</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2,000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4,958</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12,958</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00" w:type="dxa"/>
            <w:vAlign w:val="bottom"/>
            <w:shd w:val="clear" w:color="auto" w:fill="CCEEFF"/>
          </w:tcPr>
          <w:p>
            <w:pPr>
              <w:spacing w:after="0"/>
              <w:rPr>
                <w:sz w:val="11"/>
                <w:szCs w:val="11"/>
                <w:color w:val="auto"/>
              </w:rPr>
            </w:pPr>
          </w:p>
        </w:tc>
        <w:tc>
          <w:tcPr>
            <w:tcW w:w="2520" w:type="dxa"/>
            <w:vAlign w:val="bottom"/>
            <w:shd w:val="clear" w:color="auto" w:fill="CCEEFF"/>
          </w:tcPr>
          <w:p>
            <w:pPr>
              <w:spacing w:after="0"/>
              <w:rPr>
                <w:sz w:val="11"/>
                <w:szCs w:val="11"/>
                <w:color w:val="auto"/>
              </w:rPr>
            </w:pPr>
          </w:p>
        </w:tc>
        <w:tc>
          <w:tcPr>
            <w:tcW w:w="22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Senior Secured Term Debt (12%</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Source Capital ABUTEC, LLC</w:t>
            </w:r>
          </w:p>
        </w:tc>
        <w:tc>
          <w:tcPr>
            <w:tcW w:w="25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Oil &amp; Gas Services</w:t>
            </w:r>
          </w:p>
        </w:tc>
        <w:tc>
          <w:tcPr>
            <w:tcW w:w="2200" w:type="dxa"/>
            <w:vAlign w:val="bottom"/>
            <w:shd w:val="clear" w:color="auto" w:fill="CCEEFF"/>
          </w:tcPr>
          <w:p>
            <w:pPr>
              <w:ind w:left="80"/>
              <w:spacing w:after="0"/>
              <w:rPr>
                <w:sz w:val="20"/>
                <w:szCs w:val="20"/>
                <w:color w:val="auto"/>
              </w:rPr>
            </w:pPr>
            <w:r>
              <w:rPr>
                <w:rFonts w:ascii="Arial" w:cs="Arial" w:eastAsia="Arial" w:hAnsi="Arial"/>
                <w:sz w:val="14"/>
                <w:szCs w:val="14"/>
                <w:color w:val="auto"/>
              </w:rPr>
              <w:t>Cash, 3% PIK, Due 12/28/17)</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5,283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5,283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5,166</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00" w:type="dxa"/>
            <w:vAlign w:val="bottom"/>
            <w:shd w:val="clear" w:color="auto" w:fill="CCEEFF"/>
          </w:tcPr>
          <w:p>
            <w:pPr>
              <w:spacing w:after="0"/>
              <w:rPr>
                <w:sz w:val="11"/>
                <w:szCs w:val="11"/>
                <w:color w:val="auto"/>
              </w:rPr>
            </w:pPr>
          </w:p>
        </w:tc>
        <w:tc>
          <w:tcPr>
            <w:tcW w:w="2520" w:type="dxa"/>
            <w:vAlign w:val="bottom"/>
            <w:shd w:val="clear" w:color="auto" w:fill="CCEEFF"/>
          </w:tcPr>
          <w:p>
            <w:pPr>
              <w:spacing w:after="0"/>
              <w:rPr>
                <w:sz w:val="11"/>
                <w:szCs w:val="11"/>
                <w:color w:val="auto"/>
              </w:rPr>
            </w:pPr>
          </w:p>
        </w:tc>
        <w:tc>
          <w:tcPr>
            <w:tcW w:w="22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Preferred Membership Units</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Source Capital ABUTEC, LLC</w:t>
            </w:r>
          </w:p>
        </w:tc>
        <w:tc>
          <w:tcPr>
            <w:tcW w:w="25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Oil &amp; Gas Services</w:t>
            </w:r>
          </w:p>
        </w:tc>
        <w:tc>
          <w:tcPr>
            <w:tcW w:w="2200" w:type="dxa"/>
            <w:vAlign w:val="bottom"/>
            <w:shd w:val="clear" w:color="auto" w:fill="CCEEFF"/>
          </w:tcPr>
          <w:p>
            <w:pPr>
              <w:ind w:left="80"/>
              <w:spacing w:after="0"/>
              <w:rPr>
                <w:sz w:val="20"/>
                <w:szCs w:val="20"/>
                <w:color w:val="auto"/>
              </w:rPr>
            </w:pPr>
            <w:r>
              <w:rPr>
                <w:rFonts w:ascii="Arial" w:cs="Arial" w:eastAsia="Arial" w:hAnsi="Arial"/>
                <w:sz w:val="14"/>
                <w:szCs w:val="14"/>
                <w:color w:val="auto"/>
              </w:rPr>
              <w:t>(10.8% fully diluted)</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1,240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6,523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5,166</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00" w:type="dxa"/>
            <w:vAlign w:val="bottom"/>
            <w:shd w:val="clear" w:color="auto" w:fill="CCEEFF"/>
          </w:tcPr>
          <w:p>
            <w:pPr>
              <w:spacing w:after="0"/>
              <w:rPr>
                <w:sz w:val="11"/>
                <w:szCs w:val="11"/>
                <w:color w:val="auto"/>
              </w:rPr>
            </w:pPr>
          </w:p>
        </w:tc>
        <w:tc>
          <w:tcPr>
            <w:tcW w:w="252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Automotive Chemicals &amp;</w:t>
            </w:r>
          </w:p>
        </w:tc>
        <w:tc>
          <w:tcPr>
            <w:tcW w:w="22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w w:val="94"/>
              </w:rPr>
              <w:t>Subordinated Debt (13% Cash, Due</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Source Capital Penray, LLC</w:t>
            </w:r>
          </w:p>
        </w:tc>
        <w:tc>
          <w:tcPr>
            <w:tcW w:w="25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Lubricants</w:t>
            </w:r>
          </w:p>
        </w:tc>
        <w:tc>
          <w:tcPr>
            <w:tcW w:w="2200" w:type="dxa"/>
            <w:vAlign w:val="bottom"/>
            <w:shd w:val="clear" w:color="auto" w:fill="CCEEFF"/>
          </w:tcPr>
          <w:p>
            <w:pPr>
              <w:ind w:left="80"/>
              <w:spacing w:after="0"/>
              <w:rPr>
                <w:sz w:val="20"/>
                <w:szCs w:val="20"/>
                <w:color w:val="auto"/>
              </w:rPr>
            </w:pPr>
            <w:r>
              <w:rPr>
                <w:rFonts w:ascii="Arial" w:cs="Arial" w:eastAsia="Arial" w:hAnsi="Arial"/>
                <w:sz w:val="14"/>
                <w:szCs w:val="14"/>
                <w:color w:val="auto"/>
              </w:rPr>
              <w:t>2/17/17)</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2,500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2,500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2,500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00" w:type="dxa"/>
            <w:vAlign w:val="bottom"/>
            <w:shd w:val="clear" w:color="auto" w:fill="CCEEFF"/>
          </w:tcPr>
          <w:p>
            <w:pPr>
              <w:spacing w:after="0"/>
              <w:rPr>
                <w:sz w:val="11"/>
                <w:szCs w:val="11"/>
                <w:color w:val="auto"/>
              </w:rPr>
            </w:pPr>
          </w:p>
        </w:tc>
        <w:tc>
          <w:tcPr>
            <w:tcW w:w="252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Automotive Chemicals &amp;</w:t>
            </w:r>
          </w:p>
        </w:tc>
        <w:tc>
          <w:tcPr>
            <w:tcW w:w="22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Common Stock Warrants (6.65%</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Source Capital Penray, LLC</w:t>
            </w:r>
          </w:p>
        </w:tc>
        <w:tc>
          <w:tcPr>
            <w:tcW w:w="25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Lubricants</w:t>
            </w:r>
          </w:p>
        </w:tc>
        <w:tc>
          <w:tcPr>
            <w:tcW w:w="2200" w:type="dxa"/>
            <w:vAlign w:val="bottom"/>
            <w:shd w:val="clear" w:color="auto" w:fill="CCEEFF"/>
          </w:tcPr>
          <w:p>
            <w:pPr>
              <w:ind w:left="80"/>
              <w:spacing w:after="0"/>
              <w:rPr>
                <w:sz w:val="20"/>
                <w:szCs w:val="20"/>
                <w:color w:val="auto"/>
              </w:rPr>
            </w:pPr>
            <w:r>
              <w:rPr>
                <w:rFonts w:ascii="Arial" w:cs="Arial" w:eastAsia="Arial" w:hAnsi="Arial"/>
                <w:sz w:val="14"/>
                <w:szCs w:val="14"/>
                <w:color w:val="auto"/>
              </w:rPr>
              <w:t>ownership)</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w:t>
            </w: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00" w:type="dxa"/>
            <w:vAlign w:val="bottom"/>
            <w:shd w:val="clear" w:color="auto" w:fill="CCEEFF"/>
          </w:tcPr>
          <w:p>
            <w:pPr>
              <w:spacing w:after="0"/>
              <w:rPr>
                <w:sz w:val="11"/>
                <w:szCs w:val="11"/>
                <w:color w:val="auto"/>
              </w:rPr>
            </w:pPr>
          </w:p>
        </w:tc>
        <w:tc>
          <w:tcPr>
            <w:tcW w:w="252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Automotive Chemicals &amp;</w:t>
            </w:r>
          </w:p>
        </w:tc>
        <w:tc>
          <w:tcPr>
            <w:tcW w:w="22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Membership Units (11.3%</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Source Capital Penray, LLC</w:t>
            </w:r>
          </w:p>
        </w:tc>
        <w:tc>
          <w:tcPr>
            <w:tcW w:w="25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Lubricants</w:t>
            </w:r>
          </w:p>
        </w:tc>
        <w:tc>
          <w:tcPr>
            <w:tcW w:w="2200" w:type="dxa"/>
            <w:vAlign w:val="bottom"/>
            <w:shd w:val="clear" w:color="auto" w:fill="CCEEFF"/>
          </w:tcPr>
          <w:p>
            <w:pPr>
              <w:ind w:left="80"/>
              <w:spacing w:after="0"/>
              <w:rPr>
                <w:sz w:val="20"/>
                <w:szCs w:val="20"/>
                <w:color w:val="auto"/>
              </w:rPr>
            </w:pPr>
            <w:r>
              <w:rPr>
                <w:rFonts w:ascii="Arial" w:cs="Arial" w:eastAsia="Arial" w:hAnsi="Arial"/>
                <w:sz w:val="14"/>
                <w:szCs w:val="14"/>
                <w:color w:val="auto"/>
              </w:rPr>
              <w:t>ownership)</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750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813</w:t>
            </w:r>
          </w:p>
        </w:tc>
        <w:tc>
          <w:tcPr>
            <w:tcW w:w="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3,250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3,891</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00" w:type="dxa"/>
            <w:vAlign w:val="bottom"/>
            <w:shd w:val="clear" w:color="auto" w:fill="CCEEFF"/>
          </w:tcPr>
          <w:p>
            <w:pPr>
              <w:spacing w:after="0"/>
              <w:rPr>
                <w:sz w:val="11"/>
                <w:szCs w:val="11"/>
                <w:color w:val="auto"/>
              </w:rPr>
            </w:pPr>
          </w:p>
        </w:tc>
        <w:tc>
          <w:tcPr>
            <w:tcW w:w="2520" w:type="dxa"/>
            <w:vAlign w:val="bottom"/>
            <w:shd w:val="clear" w:color="auto" w:fill="CCEEFF"/>
          </w:tcPr>
          <w:p>
            <w:pPr>
              <w:spacing w:after="0"/>
              <w:rPr>
                <w:sz w:val="11"/>
                <w:szCs w:val="11"/>
                <w:color w:val="auto"/>
              </w:rPr>
            </w:pPr>
          </w:p>
        </w:tc>
        <w:tc>
          <w:tcPr>
            <w:tcW w:w="22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Senior Secured Term Debt (7%</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Source Capital SSCR, LLC</w:t>
            </w:r>
          </w:p>
        </w:tc>
        <w:tc>
          <w:tcPr>
            <w:tcW w:w="25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Personal Product Manufacturer</w:t>
            </w:r>
          </w:p>
        </w:tc>
        <w:tc>
          <w:tcPr>
            <w:tcW w:w="2200" w:type="dxa"/>
            <w:vAlign w:val="bottom"/>
            <w:shd w:val="clear" w:color="auto" w:fill="CCEEFF"/>
          </w:tcPr>
          <w:p>
            <w:pPr>
              <w:ind w:left="80"/>
              <w:spacing w:after="0"/>
              <w:rPr>
                <w:sz w:val="20"/>
                <w:szCs w:val="20"/>
                <w:color w:val="auto"/>
              </w:rPr>
            </w:pPr>
            <w:r>
              <w:rPr>
                <w:rFonts w:ascii="Arial" w:cs="Arial" w:eastAsia="Arial" w:hAnsi="Arial"/>
                <w:sz w:val="14"/>
                <w:szCs w:val="14"/>
                <w:color w:val="auto"/>
              </w:rPr>
              <w:t>Cash, Due 6/12/17)</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5,000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4,751</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00" w:type="dxa"/>
            <w:vAlign w:val="bottom"/>
            <w:shd w:val="clear" w:color="auto" w:fill="CCEEFF"/>
          </w:tcPr>
          <w:p>
            <w:pPr>
              <w:spacing w:after="0"/>
              <w:rPr>
                <w:sz w:val="11"/>
                <w:szCs w:val="11"/>
                <w:color w:val="auto"/>
              </w:rPr>
            </w:pPr>
          </w:p>
        </w:tc>
        <w:tc>
          <w:tcPr>
            <w:tcW w:w="2520" w:type="dxa"/>
            <w:vAlign w:val="bottom"/>
            <w:shd w:val="clear" w:color="auto" w:fill="CCEEFF"/>
          </w:tcPr>
          <w:p>
            <w:pPr>
              <w:spacing w:after="0"/>
              <w:rPr>
                <w:sz w:val="11"/>
                <w:szCs w:val="11"/>
                <w:color w:val="auto"/>
              </w:rPr>
            </w:pPr>
          </w:p>
        </w:tc>
        <w:tc>
          <w:tcPr>
            <w:tcW w:w="22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w w:val="97"/>
              </w:rPr>
              <w:t>Subordinated Debt (7% Cash, Due</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Source Capital SSCR, LLC</w:t>
            </w:r>
          </w:p>
        </w:tc>
        <w:tc>
          <w:tcPr>
            <w:tcW w:w="25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Personal Product Manufacturer</w:t>
            </w:r>
          </w:p>
        </w:tc>
        <w:tc>
          <w:tcPr>
            <w:tcW w:w="2200" w:type="dxa"/>
            <w:vAlign w:val="bottom"/>
            <w:shd w:val="clear" w:color="auto" w:fill="CCEEFF"/>
          </w:tcPr>
          <w:p>
            <w:pPr>
              <w:ind w:left="80"/>
              <w:spacing w:after="0"/>
              <w:rPr>
                <w:sz w:val="20"/>
                <w:szCs w:val="20"/>
                <w:color w:val="auto"/>
              </w:rPr>
            </w:pPr>
            <w:r>
              <w:rPr>
                <w:rFonts w:ascii="Arial" w:cs="Arial" w:eastAsia="Arial" w:hAnsi="Arial"/>
                <w:sz w:val="14"/>
                <w:szCs w:val="14"/>
                <w:color w:val="auto"/>
              </w:rPr>
              <w:t>9/15/17)</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17,125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17,125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11,490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Borders>
              <w:bottom w:val="single" w:sz="8" w:color="CCEEFF"/>
            </w:tcBorders>
          </w:tcPr>
          <w:p>
            <w:pPr>
              <w:spacing w:after="0"/>
              <w:rPr>
                <w:sz w:val="12"/>
                <w:szCs w:val="12"/>
                <w:color w:val="auto"/>
              </w:rPr>
            </w:pPr>
          </w:p>
        </w:tc>
        <w:tc>
          <w:tcPr>
            <w:tcW w:w="2520" w:type="dxa"/>
            <w:vAlign w:val="bottom"/>
            <w:tcBorders>
              <w:bottom w:val="single" w:sz="8" w:color="CCEEFF"/>
            </w:tcBorders>
          </w:tcPr>
          <w:p>
            <w:pPr>
              <w:spacing w:after="0"/>
              <w:rPr>
                <w:sz w:val="12"/>
                <w:szCs w:val="12"/>
                <w:color w:val="auto"/>
              </w:rPr>
            </w:pPr>
          </w:p>
        </w:tc>
        <w:tc>
          <w:tcPr>
            <w:tcW w:w="220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257" w:right="239"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Source Capital SSCR, LLC</w:t>
            </w:r>
          </w:p>
        </w:tc>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Personal Product Manufacturer</w:t>
            </w:r>
          </w:p>
        </w:tc>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Preferred Membership Units</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1,878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(15.8% ownership)</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2180" w:type="dxa"/>
            <w:vAlign w:val="bottom"/>
            <w:shd w:val="clear" w:color="auto" w:fill="CCEEFF"/>
          </w:tcPr>
          <w:p>
            <w:pPr>
              <w:spacing w:after="0"/>
              <w:rPr>
                <w:sz w:val="11"/>
                <w:szCs w:val="11"/>
                <w:color w:val="auto"/>
              </w:rPr>
            </w:pPr>
          </w:p>
        </w:tc>
        <w:tc>
          <w:tcPr>
            <w:tcW w:w="23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Membership Unit Warrant (0.31%</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Source Capital SSCR, LLC</w:t>
            </w:r>
          </w:p>
        </w:tc>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Personal Product Manufacturer</w:t>
            </w:r>
          </w:p>
        </w:tc>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ownership)</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24,013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16,241</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2180" w:type="dxa"/>
            <w:vAlign w:val="bottom"/>
            <w:shd w:val="clear" w:color="auto" w:fill="CCEEFF"/>
          </w:tcPr>
          <w:p>
            <w:pPr>
              <w:spacing w:after="0"/>
              <w:rPr>
                <w:sz w:val="11"/>
                <w:szCs w:val="11"/>
                <w:color w:val="auto"/>
              </w:rPr>
            </w:pPr>
          </w:p>
        </w:tc>
        <w:tc>
          <w:tcPr>
            <w:tcW w:w="23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w w:val="94"/>
              </w:rPr>
              <w:t>Subordinated Debt (13% Cash, Due</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Source Recycling, LLC</w:t>
            </w:r>
          </w:p>
        </w:tc>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Scrap Metal Recycler</w:t>
            </w:r>
          </w:p>
        </w:tc>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9/2/16)</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5,000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4,927</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Source Recycling, LLC</w:t>
            </w:r>
          </w:p>
        </w:tc>
        <w:tc>
          <w:tcPr>
            <w:tcW w:w="21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Scrap Metal Recycler</w:t>
            </w:r>
          </w:p>
        </w:tc>
        <w:tc>
          <w:tcPr>
            <w:tcW w:w="23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Membership Units (68,656 units)</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1,590</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2180" w:type="dxa"/>
            <w:vAlign w:val="bottom"/>
            <w:shd w:val="clear" w:color="auto" w:fill="CCEEFF"/>
          </w:tcPr>
          <w:p>
            <w:pPr>
              <w:spacing w:after="0"/>
              <w:rPr>
                <w:sz w:val="11"/>
                <w:szCs w:val="11"/>
                <w:color w:val="auto"/>
              </w:rPr>
            </w:pPr>
          </w:p>
        </w:tc>
        <w:tc>
          <w:tcPr>
            <w:tcW w:w="23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Membership Unit Warrants (1%</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Source Recycling, LLC</w:t>
            </w:r>
          </w:p>
        </w:tc>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Scrap Metal Recycler</w:t>
            </w:r>
          </w:p>
        </w:tc>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fully diluted)</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6,590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4,927</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2300" w:type="dxa"/>
            <w:vAlign w:val="bottom"/>
            <w:shd w:val="clear" w:color="auto" w:fill="CCEEFF"/>
          </w:tcPr>
          <w:p>
            <w:pPr>
              <w:ind w:left="180"/>
              <w:spacing w:after="0" w:line="140" w:lineRule="exact"/>
              <w:rPr>
                <w:sz w:val="20"/>
                <w:szCs w:val="20"/>
                <w:color w:val="auto"/>
              </w:rPr>
            </w:pPr>
            <w:r>
              <w:rPr>
                <w:rFonts w:ascii="Arial" w:cs="Arial" w:eastAsia="Arial" w:hAnsi="Arial"/>
                <w:sz w:val="14"/>
                <w:szCs w:val="14"/>
                <w:color w:val="auto"/>
              </w:rPr>
              <w:t>Senior Secured Term Debt (12%</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Sparus Holdings, Inc.</w:t>
            </w:r>
          </w:p>
        </w:tc>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Energy Services</w:t>
            </w:r>
          </w:p>
        </w:tc>
        <w:tc>
          <w:tcPr>
            <w:tcW w:w="2300" w:type="dxa"/>
            <w:vAlign w:val="bottom"/>
            <w:shd w:val="clear" w:color="auto" w:fill="CCEEFF"/>
          </w:tcPr>
          <w:p>
            <w:pPr>
              <w:ind w:left="180"/>
              <w:spacing w:after="0" w:line="198" w:lineRule="exact"/>
              <w:rPr>
                <w:sz w:val="20"/>
                <w:szCs w:val="20"/>
                <w:color w:val="auto"/>
              </w:rPr>
            </w:pPr>
            <w:r>
              <w:rPr>
                <w:rFonts w:ascii="Arial" w:cs="Arial" w:eastAsia="Arial" w:hAnsi="Arial"/>
                <w:sz w:val="14"/>
                <w:szCs w:val="14"/>
                <w:color w:val="auto"/>
              </w:rPr>
              <w:t xml:space="preserve">Cash, 2% PIK, Due 3/21/16) </w:t>
            </w:r>
            <w:r>
              <w:rPr>
                <w:rFonts w:ascii="Arial" w:cs="Arial" w:eastAsia="Arial" w:hAnsi="Arial"/>
                <w:sz w:val="22"/>
                <w:szCs w:val="22"/>
                <w:color w:val="auto"/>
                <w:vertAlign w:val="superscript"/>
              </w:rPr>
              <w:t>(3)</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5,034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5,012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4,050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2300" w:type="dxa"/>
            <w:vAlign w:val="bottom"/>
            <w:shd w:val="clear" w:color="auto" w:fill="CCEEFF"/>
          </w:tcPr>
          <w:p>
            <w:pPr>
              <w:ind w:left="180"/>
              <w:spacing w:after="0" w:line="140" w:lineRule="exact"/>
              <w:rPr>
                <w:sz w:val="20"/>
                <w:szCs w:val="20"/>
                <w:color w:val="auto"/>
              </w:rPr>
            </w:pPr>
            <w:r>
              <w:rPr>
                <w:rFonts w:ascii="Arial" w:cs="Arial" w:eastAsia="Arial" w:hAnsi="Arial"/>
                <w:sz w:val="14"/>
                <w:szCs w:val="14"/>
                <w:color w:val="auto"/>
                <w:w w:val="99"/>
              </w:rPr>
              <w:t>Subordinated Debt (9% Cash, 5%</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Sparus Holdings, Inc.</w:t>
            </w:r>
          </w:p>
        </w:tc>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Energy Services</w:t>
            </w:r>
          </w:p>
        </w:tc>
        <w:tc>
          <w:tcPr>
            <w:tcW w:w="2300" w:type="dxa"/>
            <w:vAlign w:val="bottom"/>
            <w:shd w:val="clear" w:color="auto" w:fill="CCEEFF"/>
          </w:tcPr>
          <w:p>
            <w:pPr>
              <w:ind w:left="180"/>
              <w:spacing w:after="0" w:line="198" w:lineRule="exact"/>
              <w:rPr>
                <w:sz w:val="20"/>
                <w:szCs w:val="20"/>
                <w:color w:val="auto"/>
              </w:rPr>
            </w:pPr>
            <w:r>
              <w:rPr>
                <w:rFonts w:ascii="Arial" w:cs="Arial" w:eastAsia="Arial" w:hAnsi="Arial"/>
                <w:sz w:val="14"/>
                <w:szCs w:val="14"/>
                <w:color w:val="auto"/>
              </w:rPr>
              <w:t xml:space="preserve">PIK, Due 3/21/16) </w:t>
            </w:r>
            <w:r>
              <w:rPr>
                <w:rFonts w:ascii="Arial" w:cs="Arial" w:eastAsia="Arial" w:hAnsi="Arial"/>
                <w:sz w:val="22"/>
                <w:szCs w:val="22"/>
                <w:color w:val="auto"/>
                <w:vertAlign w:val="superscript"/>
              </w:rPr>
              <w:t>(3)</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8,108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8,066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6,523</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2180" w:type="dxa"/>
            <w:vAlign w:val="bottom"/>
            <w:shd w:val="clear" w:color="auto" w:fill="CCEEFF"/>
          </w:tcPr>
          <w:p>
            <w:pPr>
              <w:spacing w:after="0"/>
              <w:rPr>
                <w:sz w:val="11"/>
                <w:szCs w:val="11"/>
                <w:color w:val="auto"/>
              </w:rPr>
            </w:pPr>
          </w:p>
        </w:tc>
        <w:tc>
          <w:tcPr>
            <w:tcW w:w="23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Series B Preferred Stock (5,703</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Sparus Holdings, Inc.</w:t>
            </w:r>
          </w:p>
        </w:tc>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Energy Services</w:t>
            </w:r>
          </w:p>
        </w:tc>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shares)</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1,173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2180" w:type="dxa"/>
            <w:vAlign w:val="bottom"/>
            <w:shd w:val="clear" w:color="auto" w:fill="CCEEFF"/>
          </w:tcPr>
          <w:p>
            <w:pPr>
              <w:spacing w:after="0"/>
              <w:rPr>
                <w:sz w:val="11"/>
                <w:szCs w:val="11"/>
                <w:color w:val="auto"/>
              </w:rPr>
            </w:pPr>
          </w:p>
        </w:tc>
        <w:tc>
          <w:tcPr>
            <w:tcW w:w="23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Common Stock Warrants (3,491</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Sparus Holdings, Inc.</w:t>
            </w:r>
          </w:p>
        </w:tc>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Energy Services</w:t>
            </w:r>
          </w:p>
        </w:tc>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shares)</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14,251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10,573</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w w:val="98"/>
              </w:rPr>
              <w:t>STX Healthcare Management Services,</w:t>
            </w:r>
          </w:p>
        </w:tc>
        <w:tc>
          <w:tcPr>
            <w:tcW w:w="2180" w:type="dxa"/>
            <w:vAlign w:val="bottom"/>
            <w:shd w:val="clear" w:color="auto" w:fill="CCEEFF"/>
          </w:tcPr>
          <w:p>
            <w:pPr>
              <w:spacing w:after="0"/>
              <w:rPr>
                <w:sz w:val="14"/>
                <w:szCs w:val="14"/>
                <w:color w:val="auto"/>
              </w:rPr>
            </w:pPr>
          </w:p>
        </w:tc>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Subordinated Debt (12.5% Cash,</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Inc.</w:t>
            </w:r>
          </w:p>
        </w:tc>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Dental Practice Management</w:t>
            </w:r>
          </w:p>
        </w:tc>
        <w:tc>
          <w:tcPr>
            <w:tcW w:w="2300" w:type="dxa"/>
            <w:vAlign w:val="bottom"/>
            <w:shd w:val="clear" w:color="auto" w:fill="CCEEFF"/>
          </w:tcPr>
          <w:p>
            <w:pPr>
              <w:ind w:left="180"/>
              <w:spacing w:after="0" w:line="176" w:lineRule="exact"/>
              <w:rPr>
                <w:sz w:val="20"/>
                <w:szCs w:val="20"/>
                <w:color w:val="auto"/>
              </w:rPr>
            </w:pPr>
            <w:r>
              <w:rPr>
                <w:rFonts w:ascii="Arial" w:cs="Arial" w:eastAsia="Arial" w:hAnsi="Arial"/>
                <w:sz w:val="13"/>
                <w:szCs w:val="13"/>
                <w:color w:val="auto"/>
              </w:rPr>
              <w:t xml:space="preserve">Due 7/31/18) </w:t>
            </w:r>
            <w:r>
              <w:rPr>
                <w:rFonts w:ascii="Arial" w:cs="Arial" w:eastAsia="Arial" w:hAnsi="Arial"/>
                <w:sz w:val="20"/>
                <w:szCs w:val="20"/>
                <w:color w:val="auto"/>
                <w:vertAlign w:val="superscript"/>
              </w:rPr>
              <w:t>(1)</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6,425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6,425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6,425</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STX Healthcare Management Services,</w:t>
            </w:r>
          </w:p>
        </w:tc>
        <w:tc>
          <w:tcPr>
            <w:tcW w:w="2180" w:type="dxa"/>
            <w:vAlign w:val="bottom"/>
            <w:shd w:val="clear" w:color="auto" w:fill="CCEEFF"/>
          </w:tcPr>
          <w:p>
            <w:pPr>
              <w:spacing w:after="0"/>
              <w:rPr>
                <w:sz w:val="11"/>
                <w:szCs w:val="11"/>
                <w:color w:val="auto"/>
              </w:rPr>
            </w:pPr>
          </w:p>
        </w:tc>
        <w:tc>
          <w:tcPr>
            <w:tcW w:w="23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Inc.</w:t>
            </w:r>
          </w:p>
        </w:tc>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Dental Practice Management</w:t>
            </w:r>
          </w:p>
        </w:tc>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6"/>
              </w:rPr>
              <w:t>Common Stock (1,200,000 shares)</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1,200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714</w:t>
            </w: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STX Healthcare Management Services,</w:t>
            </w:r>
          </w:p>
        </w:tc>
        <w:tc>
          <w:tcPr>
            <w:tcW w:w="2180" w:type="dxa"/>
            <w:vAlign w:val="bottom"/>
            <w:shd w:val="clear" w:color="auto" w:fill="CCEEFF"/>
          </w:tcPr>
          <w:p>
            <w:pPr>
              <w:spacing w:after="0"/>
              <w:rPr>
                <w:sz w:val="11"/>
                <w:szCs w:val="11"/>
                <w:color w:val="auto"/>
              </w:rPr>
            </w:pPr>
          </w:p>
        </w:tc>
        <w:tc>
          <w:tcPr>
            <w:tcW w:w="23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Common Stock Warrants</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Inc.</w:t>
            </w:r>
          </w:p>
        </w:tc>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Dental Practice Management</w:t>
            </w:r>
          </w:p>
        </w:tc>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(1,154,254 shares)</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218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687</w:t>
            </w:r>
          </w:p>
        </w:tc>
        <w:tc>
          <w:tcPr>
            <w:tcW w:w="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7,843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7,826</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2180" w:type="dxa"/>
            <w:vAlign w:val="bottom"/>
            <w:shd w:val="clear" w:color="auto" w:fill="CCEEFF"/>
          </w:tcPr>
          <w:p>
            <w:pPr>
              <w:spacing w:after="0"/>
              <w:rPr>
                <w:sz w:val="11"/>
                <w:szCs w:val="11"/>
                <w:color w:val="auto"/>
              </w:rPr>
            </w:pPr>
          </w:p>
        </w:tc>
        <w:tc>
          <w:tcPr>
            <w:tcW w:w="23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w w:val="96"/>
              </w:rPr>
              <w:t>Subordinated Debt (12% Cash, 2%</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TCE Holdings, Inc.</w:t>
            </w:r>
          </w:p>
        </w:tc>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Oil &amp; Gas Services</w:t>
            </w:r>
          </w:p>
        </w:tc>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PIK, Due 11/22/18)</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12,294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12,294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11,995</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2180" w:type="dxa"/>
            <w:vAlign w:val="bottom"/>
            <w:shd w:val="clear" w:color="auto" w:fill="CCEEFF"/>
          </w:tcPr>
          <w:p>
            <w:pPr>
              <w:spacing w:after="0"/>
              <w:rPr>
                <w:sz w:val="11"/>
                <w:szCs w:val="11"/>
                <w:color w:val="auto"/>
              </w:rPr>
            </w:pPr>
          </w:p>
        </w:tc>
        <w:tc>
          <w:tcPr>
            <w:tcW w:w="23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w w:val="96"/>
              </w:rPr>
              <w:t>Subordinated Debt (12% Cash, 2%</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TCE Holdings, Inc.</w:t>
            </w:r>
          </w:p>
        </w:tc>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Oil &amp; Gas Services</w:t>
            </w:r>
          </w:p>
        </w:tc>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PIK, Due 11/22/18)</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9,796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9,796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9,516</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2180" w:type="dxa"/>
            <w:vAlign w:val="bottom"/>
            <w:shd w:val="clear" w:color="auto" w:fill="CCEEFF"/>
          </w:tcPr>
          <w:p>
            <w:pPr>
              <w:spacing w:after="0"/>
              <w:rPr>
                <w:sz w:val="11"/>
                <w:szCs w:val="11"/>
                <w:color w:val="auto"/>
              </w:rPr>
            </w:pPr>
          </w:p>
        </w:tc>
        <w:tc>
          <w:tcPr>
            <w:tcW w:w="23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Class A Common Stock (3,600</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TCE Holdings, Inc.</w:t>
            </w:r>
          </w:p>
        </w:tc>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Oil &amp; Gas Services</w:t>
            </w:r>
          </w:p>
        </w:tc>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shares)</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3,600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2,650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25,690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24,161</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218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Data Processing &amp; Digital</w:t>
            </w:r>
          </w:p>
        </w:tc>
        <w:tc>
          <w:tcPr>
            <w:tcW w:w="23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Senior Secured Term Debt (15%</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V12 Holdings, Inc.</w:t>
            </w:r>
          </w:p>
        </w:tc>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Marketing</w:t>
            </w:r>
          </w:p>
        </w:tc>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PIK, Due 11/26/16)</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406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w:t>
            </w: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Data Processing &amp; Digital</w:t>
            </w:r>
          </w:p>
        </w:tc>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Bridge Note (0% Cash, Due</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V12 Holdings, Inc.</w:t>
            </w:r>
          </w:p>
        </w:tc>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Marketing</w:t>
            </w:r>
          </w:p>
        </w:tc>
        <w:tc>
          <w:tcPr>
            <w:tcW w:w="2300" w:type="dxa"/>
            <w:vAlign w:val="bottom"/>
            <w:shd w:val="clear" w:color="auto" w:fill="CCEEFF"/>
          </w:tcPr>
          <w:p>
            <w:pPr>
              <w:ind w:left="180"/>
              <w:spacing w:after="0" w:line="176" w:lineRule="exact"/>
              <w:rPr>
                <w:sz w:val="20"/>
                <w:szCs w:val="20"/>
                <w:color w:val="auto"/>
              </w:rPr>
            </w:pPr>
            <w:r>
              <w:rPr>
                <w:rFonts w:ascii="Arial" w:cs="Arial" w:eastAsia="Arial" w:hAnsi="Arial"/>
                <w:sz w:val="13"/>
                <w:szCs w:val="13"/>
                <w:color w:val="auto"/>
              </w:rPr>
              <w:t xml:space="preserve">6/30/15) </w:t>
            </w:r>
            <w:r>
              <w:rPr>
                <w:rFonts w:ascii="Arial" w:cs="Arial" w:eastAsia="Arial" w:hAnsi="Arial"/>
                <w:sz w:val="20"/>
                <w:szCs w:val="20"/>
                <w:color w:val="auto"/>
                <w:vertAlign w:val="superscript"/>
              </w:rPr>
              <w:t>(1)</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361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663</w:t>
            </w:r>
          </w:p>
        </w:tc>
        <w:tc>
          <w:tcPr>
            <w:tcW w:w="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Data Processing &amp; Digital</w:t>
            </w:r>
          </w:p>
        </w:tc>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Tier 2 Note (0% Cash, Due</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V12 Holdings, Inc.</w:t>
            </w:r>
          </w:p>
        </w:tc>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Marketing</w:t>
            </w:r>
          </w:p>
        </w:tc>
        <w:tc>
          <w:tcPr>
            <w:tcW w:w="2300" w:type="dxa"/>
            <w:vAlign w:val="bottom"/>
            <w:shd w:val="clear" w:color="auto" w:fill="CCEEFF"/>
          </w:tcPr>
          <w:p>
            <w:pPr>
              <w:ind w:left="180"/>
              <w:spacing w:after="0" w:line="176" w:lineRule="exact"/>
              <w:rPr>
                <w:sz w:val="20"/>
                <w:szCs w:val="20"/>
                <w:color w:val="auto"/>
              </w:rPr>
            </w:pPr>
            <w:r>
              <w:rPr>
                <w:rFonts w:ascii="Arial" w:cs="Arial" w:eastAsia="Arial" w:hAnsi="Arial"/>
                <w:sz w:val="13"/>
                <w:szCs w:val="13"/>
                <w:color w:val="auto"/>
              </w:rPr>
              <w:t xml:space="preserve">6/30/15) </w:t>
            </w:r>
            <w:r>
              <w:rPr>
                <w:rFonts w:ascii="Arial" w:cs="Arial" w:eastAsia="Arial" w:hAnsi="Arial"/>
                <w:sz w:val="20"/>
                <w:szCs w:val="20"/>
                <w:color w:val="auto"/>
                <w:vertAlign w:val="superscript"/>
              </w:rPr>
              <w:t>(1)</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Data Processing &amp; Digital</w:t>
            </w:r>
          </w:p>
        </w:tc>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Senior Subordinated Note (0%</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V12 Holdings, Inc.</w:t>
            </w:r>
          </w:p>
        </w:tc>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Marketing</w:t>
            </w:r>
          </w:p>
        </w:tc>
        <w:tc>
          <w:tcPr>
            <w:tcW w:w="2300" w:type="dxa"/>
            <w:vAlign w:val="bottom"/>
            <w:shd w:val="clear" w:color="auto" w:fill="CCEEFF"/>
          </w:tcPr>
          <w:p>
            <w:pPr>
              <w:ind w:left="180"/>
              <w:spacing w:after="0" w:line="176" w:lineRule="exact"/>
              <w:rPr>
                <w:sz w:val="20"/>
                <w:szCs w:val="20"/>
                <w:color w:val="auto"/>
              </w:rPr>
            </w:pPr>
            <w:r>
              <w:rPr>
                <w:rFonts w:ascii="Arial" w:cs="Arial" w:eastAsia="Arial" w:hAnsi="Arial"/>
                <w:sz w:val="13"/>
                <w:szCs w:val="13"/>
                <w:color w:val="auto"/>
              </w:rPr>
              <w:t xml:space="preserve">Cash, Due 6/30/15) </w:t>
            </w:r>
            <w:r>
              <w:rPr>
                <w:rFonts w:ascii="Arial" w:cs="Arial" w:eastAsia="Arial" w:hAnsi="Arial"/>
                <w:sz w:val="20"/>
                <w:szCs w:val="20"/>
                <w:color w:val="auto"/>
                <w:vertAlign w:val="superscript"/>
              </w:rPr>
              <w:t>(1)</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3,563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2,369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3,563</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Data Processing &amp; Digital</w:t>
            </w:r>
          </w:p>
        </w:tc>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Tier 3 Note (0% Cash, Due</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V12 Holdings, Inc.</w:t>
            </w:r>
          </w:p>
        </w:tc>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Marketing</w:t>
            </w:r>
          </w:p>
        </w:tc>
        <w:tc>
          <w:tcPr>
            <w:tcW w:w="2300" w:type="dxa"/>
            <w:vAlign w:val="bottom"/>
            <w:shd w:val="clear" w:color="auto" w:fill="CCEEFF"/>
          </w:tcPr>
          <w:p>
            <w:pPr>
              <w:ind w:left="180"/>
              <w:spacing w:after="0" w:line="176" w:lineRule="exact"/>
              <w:rPr>
                <w:sz w:val="20"/>
                <w:szCs w:val="20"/>
                <w:color w:val="auto"/>
              </w:rPr>
            </w:pPr>
            <w:r>
              <w:rPr>
                <w:rFonts w:ascii="Arial" w:cs="Arial" w:eastAsia="Arial" w:hAnsi="Arial"/>
                <w:sz w:val="13"/>
                <w:szCs w:val="13"/>
                <w:color w:val="auto"/>
              </w:rPr>
              <w:t xml:space="preserve">6/30/15) </w:t>
            </w:r>
            <w:r>
              <w:rPr>
                <w:rFonts w:ascii="Arial" w:cs="Arial" w:eastAsia="Arial" w:hAnsi="Arial"/>
                <w:sz w:val="20"/>
                <w:szCs w:val="20"/>
                <w:color w:val="auto"/>
                <w:vertAlign w:val="superscript"/>
              </w:rPr>
              <w:t>(1)</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w:t>
            </w:r>
          </w:p>
        </w:tc>
        <w:tc>
          <w:tcPr>
            <w:tcW w:w="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Data Processing &amp; Digital</w:t>
            </w:r>
          </w:p>
        </w:tc>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Jr. Subordinated Note (0% Cash,</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V12 Holdings, Inc.</w:t>
            </w:r>
          </w:p>
        </w:tc>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Marketing</w:t>
            </w:r>
          </w:p>
        </w:tc>
        <w:tc>
          <w:tcPr>
            <w:tcW w:w="2300" w:type="dxa"/>
            <w:vAlign w:val="bottom"/>
            <w:shd w:val="clear" w:color="auto" w:fill="CCEEFF"/>
          </w:tcPr>
          <w:p>
            <w:pPr>
              <w:ind w:left="180"/>
              <w:spacing w:after="0" w:line="176" w:lineRule="exact"/>
              <w:rPr>
                <w:sz w:val="20"/>
                <w:szCs w:val="20"/>
                <w:color w:val="auto"/>
              </w:rPr>
            </w:pPr>
            <w:r>
              <w:rPr>
                <w:rFonts w:ascii="Arial" w:cs="Arial" w:eastAsia="Arial" w:hAnsi="Arial"/>
                <w:sz w:val="13"/>
                <w:szCs w:val="13"/>
                <w:color w:val="auto"/>
              </w:rPr>
              <w:t xml:space="preserve">Due 6/30/15) </w:t>
            </w:r>
            <w:r>
              <w:rPr>
                <w:rFonts w:ascii="Arial" w:cs="Arial" w:eastAsia="Arial" w:hAnsi="Arial"/>
                <w:sz w:val="20"/>
                <w:szCs w:val="20"/>
                <w:color w:val="auto"/>
                <w:vertAlign w:val="superscript"/>
              </w:rPr>
              <w:t>(1)</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2,750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2,750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Data Processing &amp; Digital</w:t>
            </w:r>
          </w:p>
        </w:tc>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Tier 4 Note (0% Cash, Due</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V12 Holdings, Inc.</w:t>
            </w:r>
          </w:p>
        </w:tc>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Marketing</w:t>
            </w:r>
          </w:p>
        </w:tc>
        <w:tc>
          <w:tcPr>
            <w:tcW w:w="2300" w:type="dxa"/>
            <w:vAlign w:val="bottom"/>
            <w:shd w:val="clear" w:color="auto" w:fill="CCEEFF"/>
          </w:tcPr>
          <w:p>
            <w:pPr>
              <w:ind w:left="180"/>
              <w:spacing w:after="0" w:line="176" w:lineRule="exact"/>
              <w:rPr>
                <w:sz w:val="20"/>
                <w:szCs w:val="20"/>
                <w:color w:val="auto"/>
              </w:rPr>
            </w:pPr>
            <w:r>
              <w:rPr>
                <w:rFonts w:ascii="Arial" w:cs="Arial" w:eastAsia="Arial" w:hAnsi="Arial"/>
                <w:sz w:val="13"/>
                <w:szCs w:val="13"/>
                <w:color w:val="auto"/>
              </w:rPr>
              <w:t xml:space="preserve">6/30/15) </w:t>
            </w:r>
            <w:r>
              <w:rPr>
                <w:rFonts w:ascii="Arial" w:cs="Arial" w:eastAsia="Arial" w:hAnsi="Arial"/>
                <w:sz w:val="20"/>
                <w:szCs w:val="20"/>
                <w:color w:val="auto"/>
                <w:vertAlign w:val="superscript"/>
              </w:rPr>
              <w:t>(1)</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218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Data Processing &amp; Digital</w:t>
            </w:r>
          </w:p>
        </w:tc>
        <w:tc>
          <w:tcPr>
            <w:tcW w:w="23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Series A-1 Preferred Stock</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V12 Holdings, Inc.</w:t>
            </w:r>
          </w:p>
        </w:tc>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Marketing</w:t>
            </w:r>
          </w:p>
        </w:tc>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(255,102 shares)</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218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Data Processing &amp; Digital</w:t>
            </w:r>
          </w:p>
        </w:tc>
        <w:tc>
          <w:tcPr>
            <w:tcW w:w="23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w w:val="96"/>
              </w:rPr>
              <w:t>Series A-3 Preferred Stock (88,194</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V12 Holdings, Inc.</w:t>
            </w:r>
          </w:p>
        </w:tc>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Marketing</w:t>
            </w:r>
          </w:p>
        </w:tc>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shares)</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218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Data Processing &amp; Digital</w:t>
            </w:r>
          </w:p>
        </w:tc>
        <w:tc>
          <w:tcPr>
            <w:tcW w:w="23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w w:val="96"/>
              </w:rPr>
              <w:t>Series A-5 Preferred Stock (20,530</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V12 Holdings, Inc.</w:t>
            </w:r>
          </w:p>
        </w:tc>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Marketing</w:t>
            </w:r>
          </w:p>
        </w:tc>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shares)</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218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Data Processing &amp; Digital</w:t>
            </w:r>
          </w:p>
        </w:tc>
        <w:tc>
          <w:tcPr>
            <w:tcW w:w="23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Common Stock Warrants</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V12 Holdings, Inc.</w:t>
            </w:r>
          </w:p>
        </w:tc>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Marketing</w:t>
            </w:r>
          </w:p>
        </w:tc>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(2,063,629 warrants)</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3,387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8,005</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Sub Total Affiliate investments</w:t>
            </w:r>
          </w:p>
        </w:tc>
        <w:tc>
          <w:tcPr>
            <w:tcW w:w="218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154,552</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171,471</w:t>
            </w:r>
          </w:p>
        </w:tc>
        <w:tc>
          <w:tcPr>
            <w:tcW w:w="106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2"/>
                <w:szCs w:val="12"/>
                <w:color w:val="auto"/>
              </w:rPr>
              <w:t>71.1</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4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Control investments - 30.0%</w:t>
            </w:r>
          </w:p>
        </w:tc>
        <w:tc>
          <w:tcPr>
            <w:tcW w:w="218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2180" w:type="dxa"/>
            <w:vAlign w:val="bottom"/>
            <w:shd w:val="clear" w:color="auto" w:fill="CCEEFF"/>
          </w:tcPr>
          <w:p>
            <w:pPr>
              <w:spacing w:after="0"/>
              <w:rPr>
                <w:sz w:val="11"/>
                <w:szCs w:val="11"/>
                <w:color w:val="auto"/>
              </w:rPr>
            </w:pPr>
          </w:p>
        </w:tc>
        <w:tc>
          <w:tcPr>
            <w:tcW w:w="23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Senior Secured Term Debt (12%</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CableOrganizer Acquisition, LLC</w:t>
            </w:r>
          </w:p>
        </w:tc>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Computer Supply Retail</w:t>
            </w:r>
          </w:p>
        </w:tc>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4% PIK, Due 5/24/18)</w:t>
            </w:r>
          </w:p>
        </w:tc>
        <w:tc>
          <w:tcPr>
            <w:tcW w:w="3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10,587</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10,587</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10,587</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CableOrganizer Acquisition, LLC</w:t>
            </w:r>
          </w:p>
        </w:tc>
        <w:tc>
          <w:tcPr>
            <w:tcW w:w="21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Computer Supply Retail</w:t>
            </w:r>
          </w:p>
        </w:tc>
        <w:tc>
          <w:tcPr>
            <w:tcW w:w="23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96"/>
              </w:rPr>
              <w:t>Common Stock (1,125,000 shares)</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1,125</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927</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2180" w:type="dxa"/>
            <w:vAlign w:val="bottom"/>
            <w:shd w:val="clear" w:color="auto" w:fill="CCEEFF"/>
          </w:tcPr>
          <w:p>
            <w:pPr>
              <w:spacing w:after="0"/>
              <w:rPr>
                <w:sz w:val="11"/>
                <w:szCs w:val="11"/>
                <w:color w:val="auto"/>
              </w:rPr>
            </w:pPr>
          </w:p>
        </w:tc>
        <w:tc>
          <w:tcPr>
            <w:tcW w:w="23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w w:val="97"/>
              </w:rPr>
              <w:t>Common Stock Warrants (570,000</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CableOrganizer Acquisition, LLC</w:t>
            </w:r>
          </w:p>
        </w:tc>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Computer Supply Retail</w:t>
            </w:r>
          </w:p>
        </w:tc>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shares)</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w:t>
            </w:r>
          </w:p>
        </w:tc>
        <w:tc>
          <w:tcPr>
            <w:tcW w:w="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11,712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11,984</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2300" w:type="dxa"/>
            <w:vAlign w:val="bottom"/>
            <w:shd w:val="clear" w:color="auto" w:fill="CCEEFF"/>
          </w:tcPr>
          <w:p>
            <w:pPr>
              <w:ind w:left="180"/>
              <w:spacing w:after="0" w:line="140" w:lineRule="exact"/>
              <w:rPr>
                <w:sz w:val="20"/>
                <w:szCs w:val="20"/>
                <w:color w:val="auto"/>
              </w:rPr>
            </w:pPr>
            <w:r>
              <w:rPr>
                <w:rFonts w:ascii="Arial" w:cs="Arial" w:eastAsia="Arial" w:hAnsi="Arial"/>
                <w:sz w:val="14"/>
                <w:szCs w:val="14"/>
                <w:color w:val="auto"/>
              </w:rPr>
              <w:t>Class A Preferred Stock (8,270</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KBP Investments, LLC</w:t>
            </w:r>
          </w:p>
        </w:tc>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QSR Franchisee</w:t>
            </w:r>
          </w:p>
        </w:tc>
        <w:tc>
          <w:tcPr>
            <w:tcW w:w="2300" w:type="dxa"/>
            <w:vAlign w:val="bottom"/>
            <w:shd w:val="clear" w:color="auto" w:fill="CCEEFF"/>
          </w:tcPr>
          <w:p>
            <w:pPr>
              <w:ind w:left="180"/>
              <w:spacing w:after="0" w:line="198" w:lineRule="exact"/>
              <w:rPr>
                <w:sz w:val="20"/>
                <w:szCs w:val="20"/>
                <w:color w:val="auto"/>
              </w:rPr>
            </w:pPr>
            <w:r>
              <w:rPr>
                <w:rFonts w:ascii="Arial" w:cs="Arial" w:eastAsia="Arial" w:hAnsi="Arial"/>
                <w:sz w:val="14"/>
                <w:szCs w:val="14"/>
                <w:color w:val="auto"/>
              </w:rPr>
              <w:t xml:space="preserve">shares, 10% Cash Dividend) </w:t>
            </w:r>
            <w:r>
              <w:rPr>
                <w:rFonts w:ascii="Arial" w:cs="Arial" w:eastAsia="Arial" w:hAnsi="Arial"/>
                <w:sz w:val="22"/>
                <w:szCs w:val="22"/>
                <w:color w:val="auto"/>
                <w:vertAlign w:val="superscript"/>
              </w:rPr>
              <w:t>(6)</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8,269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8,269</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2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Class A Common Stock (380,413</w:t>
            </w: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4"/>
                <w:szCs w:val="14"/>
                <w:color w:val="auto"/>
              </w:rPr>
              <w:t>KBP Investments, LLC</w:t>
            </w:r>
          </w:p>
        </w:tc>
        <w:tc>
          <w:tcPr>
            <w:tcW w:w="23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QSR Franchisee</w:t>
            </w:r>
          </w:p>
        </w:tc>
        <w:tc>
          <w:tcPr>
            <w:tcW w:w="2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shares)</w:t>
            </w:r>
          </w:p>
        </w:tc>
        <w:tc>
          <w:tcPr>
            <w:tcW w:w="9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9,196</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8,269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17,465</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2500" w:type="dxa"/>
            <w:vAlign w:val="bottom"/>
            <w:shd w:val="clear" w:color="auto" w:fill="CCEEFF"/>
          </w:tcPr>
          <w:p>
            <w:pPr>
              <w:ind w:left="120"/>
              <w:spacing w:after="0" w:line="140" w:lineRule="exact"/>
              <w:rPr>
                <w:sz w:val="20"/>
                <w:szCs w:val="20"/>
                <w:color w:val="auto"/>
              </w:rPr>
            </w:pPr>
            <w:r>
              <w:rPr>
                <w:rFonts w:ascii="Arial" w:cs="Arial" w:eastAsia="Arial" w:hAnsi="Arial"/>
                <w:sz w:val="14"/>
                <w:szCs w:val="14"/>
                <w:color w:val="auto"/>
              </w:rPr>
              <w:t>Senior Secured Debt (0% Cash,</w:t>
            </w: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4"/>
                <w:szCs w:val="14"/>
                <w:color w:val="auto"/>
              </w:rPr>
              <w:t>Market E's, LLC</w:t>
            </w:r>
          </w:p>
        </w:tc>
        <w:tc>
          <w:tcPr>
            <w:tcW w:w="23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Online Travel Sales &amp; Marketing</w:t>
            </w:r>
          </w:p>
        </w:tc>
        <w:tc>
          <w:tcPr>
            <w:tcW w:w="2500" w:type="dxa"/>
            <w:vAlign w:val="bottom"/>
            <w:shd w:val="clear" w:color="auto" w:fill="CCEEFF"/>
          </w:tcPr>
          <w:p>
            <w:pPr>
              <w:ind w:left="120"/>
              <w:spacing w:after="0" w:line="198" w:lineRule="exact"/>
              <w:rPr>
                <w:sz w:val="20"/>
                <w:szCs w:val="20"/>
                <w:color w:val="auto"/>
              </w:rPr>
            </w:pPr>
            <w:r>
              <w:rPr>
                <w:rFonts w:ascii="Arial" w:cs="Arial" w:eastAsia="Arial" w:hAnsi="Arial"/>
                <w:sz w:val="14"/>
                <w:szCs w:val="14"/>
                <w:color w:val="auto"/>
              </w:rPr>
              <w:t xml:space="preserve">Due 12/31/16) </w:t>
            </w:r>
            <w:r>
              <w:rPr>
                <w:rFonts w:ascii="Arial" w:cs="Arial" w:eastAsia="Arial" w:hAnsi="Arial"/>
                <w:sz w:val="22"/>
                <w:szCs w:val="22"/>
                <w:color w:val="auto"/>
                <w:vertAlign w:val="superscript"/>
              </w:rPr>
              <w:t>(1)</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985</w:t>
            </w: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985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1,000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2500" w:type="dxa"/>
            <w:vAlign w:val="bottom"/>
            <w:shd w:val="clear" w:color="auto" w:fill="CCEEFF"/>
          </w:tcPr>
          <w:p>
            <w:pPr>
              <w:ind w:left="120"/>
              <w:spacing w:after="0" w:line="140" w:lineRule="exact"/>
              <w:rPr>
                <w:sz w:val="20"/>
                <w:szCs w:val="20"/>
                <w:color w:val="auto"/>
              </w:rPr>
            </w:pPr>
            <w:r>
              <w:rPr>
                <w:rFonts w:ascii="Arial" w:cs="Arial" w:eastAsia="Arial" w:hAnsi="Arial"/>
                <w:sz w:val="14"/>
                <w:szCs w:val="14"/>
                <w:color w:val="auto"/>
              </w:rPr>
              <w:t>Subordinated Debt (0% Cash, Due</w:t>
            </w: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4"/>
                <w:szCs w:val="14"/>
                <w:color w:val="auto"/>
              </w:rPr>
              <w:t>Market E's, LLC</w:t>
            </w:r>
          </w:p>
        </w:tc>
        <w:tc>
          <w:tcPr>
            <w:tcW w:w="23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Online Travel Sales &amp; Marketing</w:t>
            </w:r>
          </w:p>
        </w:tc>
        <w:tc>
          <w:tcPr>
            <w:tcW w:w="2500" w:type="dxa"/>
            <w:vAlign w:val="bottom"/>
            <w:shd w:val="clear" w:color="auto" w:fill="CCEEFF"/>
          </w:tcPr>
          <w:p>
            <w:pPr>
              <w:ind w:left="120"/>
              <w:spacing w:after="0" w:line="198" w:lineRule="exact"/>
              <w:rPr>
                <w:sz w:val="20"/>
                <w:szCs w:val="20"/>
                <w:color w:val="auto"/>
              </w:rPr>
            </w:pPr>
            <w:r>
              <w:rPr>
                <w:rFonts w:ascii="Arial" w:cs="Arial" w:eastAsia="Arial" w:hAnsi="Arial"/>
                <w:sz w:val="14"/>
                <w:szCs w:val="14"/>
                <w:color w:val="auto"/>
              </w:rPr>
              <w:t xml:space="preserve">12/31/16) </w:t>
            </w:r>
            <w:r>
              <w:rPr>
                <w:rFonts w:ascii="Arial" w:cs="Arial" w:eastAsia="Arial" w:hAnsi="Arial"/>
                <w:sz w:val="22"/>
                <w:szCs w:val="22"/>
                <w:color w:val="auto"/>
                <w:vertAlign w:val="superscript"/>
              </w:rPr>
              <w:t>(1)</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2,875</w:t>
            </w: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2,875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25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Class A Preferred Stock (600</w:t>
            </w:r>
          </w:p>
        </w:tc>
        <w:tc>
          <w:tcPr>
            <w:tcW w:w="9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4"/>
                <w:szCs w:val="14"/>
                <w:color w:val="auto"/>
              </w:rPr>
              <w:t>Market E's, LLC</w:t>
            </w:r>
          </w:p>
        </w:tc>
        <w:tc>
          <w:tcPr>
            <w:tcW w:w="23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Online Travel Sales &amp; Marketing</w:t>
            </w:r>
          </w:p>
        </w:tc>
        <w:tc>
          <w:tcPr>
            <w:tcW w:w="2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shares)</w:t>
            </w: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25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Class B Preferred Stock (2,411</w:t>
            </w:r>
          </w:p>
        </w:tc>
        <w:tc>
          <w:tcPr>
            <w:tcW w:w="9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4"/>
                <w:szCs w:val="14"/>
                <w:color w:val="auto"/>
              </w:rPr>
              <w:t>Market E's, LLC</w:t>
            </w:r>
          </w:p>
        </w:tc>
        <w:tc>
          <w:tcPr>
            <w:tcW w:w="23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Online Travel Sales &amp; Marketing</w:t>
            </w:r>
          </w:p>
        </w:tc>
        <w:tc>
          <w:tcPr>
            <w:tcW w:w="2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shares)</w:t>
            </w: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965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25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Class A Common Stock (600</w:t>
            </w:r>
          </w:p>
        </w:tc>
        <w:tc>
          <w:tcPr>
            <w:tcW w:w="9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4"/>
                <w:szCs w:val="14"/>
                <w:color w:val="auto"/>
              </w:rPr>
              <w:t>Market E's, LLC</w:t>
            </w:r>
          </w:p>
        </w:tc>
        <w:tc>
          <w:tcPr>
            <w:tcW w:w="23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Online Travel Sales &amp; Marketing</w:t>
            </w:r>
          </w:p>
        </w:tc>
        <w:tc>
          <w:tcPr>
            <w:tcW w:w="2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shares)</w:t>
            </w:r>
          </w:p>
        </w:tc>
        <w:tc>
          <w:tcPr>
            <w:tcW w:w="9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5,065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1,750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25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Subordinated Debt (10% Cash, Due</w:t>
            </w:r>
          </w:p>
        </w:tc>
        <w:tc>
          <w:tcPr>
            <w:tcW w:w="9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4"/>
                <w:szCs w:val="14"/>
                <w:color w:val="auto"/>
              </w:rPr>
              <w:t>Micro Precision, LLC</w:t>
            </w:r>
          </w:p>
        </w:tc>
        <w:tc>
          <w:tcPr>
            <w:tcW w:w="23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Conglomerate</w:t>
            </w:r>
          </w:p>
        </w:tc>
        <w:tc>
          <w:tcPr>
            <w:tcW w:w="2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9/16/16)</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1,862</w:t>
            </w: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1,862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1,862</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25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Subordinated Debt (14% Cash, 4%</w:t>
            </w:r>
          </w:p>
        </w:tc>
        <w:tc>
          <w:tcPr>
            <w:tcW w:w="9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4"/>
                <w:szCs w:val="14"/>
                <w:color w:val="auto"/>
              </w:rPr>
              <w:t>Micro Precision, LLC</w:t>
            </w:r>
          </w:p>
        </w:tc>
        <w:tc>
          <w:tcPr>
            <w:tcW w:w="23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Conglomerate</w:t>
            </w:r>
          </w:p>
        </w:tc>
        <w:tc>
          <w:tcPr>
            <w:tcW w:w="2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PIK, Due 9/16/16)</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3,688</w:t>
            </w: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3,688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3,688</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4"/>
                <w:szCs w:val="14"/>
                <w:color w:val="auto"/>
              </w:rPr>
              <w:t>Micro Precision, LLC</w:t>
            </w:r>
          </w:p>
        </w:tc>
        <w:tc>
          <w:tcPr>
            <w:tcW w:w="23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Conglomerate</w:t>
            </w:r>
          </w:p>
        </w:tc>
        <w:tc>
          <w:tcPr>
            <w:tcW w:w="2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Series A Preferred Units (47 units)</w:t>
            </w: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1,629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1,629</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7,179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7,179</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25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Senior Secured Term Debt (17%,</w:t>
            </w:r>
          </w:p>
        </w:tc>
        <w:tc>
          <w:tcPr>
            <w:tcW w:w="9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25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3% PIK at Company's option, Due</w:t>
            </w: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4"/>
                <w:szCs w:val="14"/>
                <w:color w:val="auto"/>
              </w:rPr>
              <w:t>Navis Holdings, Inc.</w:t>
            </w:r>
          </w:p>
        </w:tc>
        <w:tc>
          <w:tcPr>
            <w:tcW w:w="23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Textile Equipment Manufacturer</w:t>
            </w:r>
          </w:p>
        </w:tc>
        <w:tc>
          <w:tcPr>
            <w:tcW w:w="2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2/1/16)</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6,500</w:t>
            </w: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6,500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6,500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2500" w:type="dxa"/>
            <w:vAlign w:val="bottom"/>
            <w:shd w:val="clear" w:color="auto" w:fill="CCEEFF"/>
          </w:tcPr>
          <w:p>
            <w:pPr>
              <w:ind w:left="120"/>
              <w:spacing w:after="0" w:line="140" w:lineRule="exact"/>
              <w:rPr>
                <w:sz w:val="20"/>
                <w:szCs w:val="20"/>
                <w:color w:val="auto"/>
              </w:rPr>
            </w:pPr>
            <w:r>
              <w:rPr>
                <w:rFonts w:ascii="Arial" w:cs="Arial" w:eastAsia="Arial" w:hAnsi="Arial"/>
                <w:sz w:val="14"/>
                <w:szCs w:val="14"/>
                <w:color w:val="auto"/>
              </w:rPr>
              <w:t>Class A Preferred Stock (1,000</w:t>
            </w: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4"/>
                <w:szCs w:val="14"/>
                <w:color w:val="auto"/>
              </w:rPr>
              <w:t>Navis Holdings, Inc.</w:t>
            </w:r>
          </w:p>
        </w:tc>
        <w:tc>
          <w:tcPr>
            <w:tcW w:w="23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Textile Equipment Manufacturer</w:t>
            </w:r>
          </w:p>
        </w:tc>
        <w:tc>
          <w:tcPr>
            <w:tcW w:w="2500" w:type="dxa"/>
            <w:vAlign w:val="bottom"/>
            <w:shd w:val="clear" w:color="auto" w:fill="CCEEFF"/>
          </w:tcPr>
          <w:p>
            <w:pPr>
              <w:ind w:left="120"/>
              <w:spacing w:after="0" w:line="198" w:lineRule="exact"/>
              <w:rPr>
                <w:sz w:val="20"/>
                <w:szCs w:val="20"/>
                <w:color w:val="auto"/>
              </w:rPr>
            </w:pPr>
            <w:r>
              <w:rPr>
                <w:rFonts w:ascii="Arial" w:cs="Arial" w:eastAsia="Arial" w:hAnsi="Arial"/>
                <w:sz w:val="14"/>
                <w:szCs w:val="14"/>
                <w:color w:val="auto"/>
              </w:rPr>
              <w:t xml:space="preserve">shares, 10% Cash Dividend) </w:t>
            </w:r>
            <w:r>
              <w:rPr>
                <w:rFonts w:ascii="Arial" w:cs="Arial" w:eastAsia="Arial" w:hAnsi="Arial"/>
                <w:sz w:val="22"/>
                <w:szCs w:val="22"/>
                <w:color w:val="auto"/>
                <w:vertAlign w:val="superscript"/>
              </w:rPr>
              <w:t>(6)</w:t>
            </w: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1,000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4"/>
                <w:szCs w:val="14"/>
                <w:color w:val="auto"/>
              </w:rPr>
              <w:t>Navis Holdings, Inc.</w:t>
            </w:r>
          </w:p>
        </w:tc>
        <w:tc>
          <w:tcPr>
            <w:tcW w:w="23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Textile Equipment Manufacturer</w:t>
            </w:r>
          </w:p>
        </w:tc>
        <w:tc>
          <w:tcPr>
            <w:tcW w:w="2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Common Stock (300,000 shares)</w:t>
            </w: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3,077</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7,501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10,577</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25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Subordinated Debt (14% Cash, 4%</w:t>
            </w:r>
          </w:p>
        </w:tc>
        <w:tc>
          <w:tcPr>
            <w:tcW w:w="9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4"/>
                <w:szCs w:val="14"/>
                <w:color w:val="auto"/>
              </w:rPr>
              <w:t>On-Site Fuel Services, Inc.</w:t>
            </w:r>
          </w:p>
        </w:tc>
        <w:tc>
          <w:tcPr>
            <w:tcW w:w="23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Fuel Transportation Services</w:t>
            </w:r>
          </w:p>
        </w:tc>
        <w:tc>
          <w:tcPr>
            <w:tcW w:w="2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PIK, Due 12/19/16)</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5,048</w:t>
            </w: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5,048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4,783</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25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Series A Preferred Stock (32,782</w:t>
            </w:r>
          </w:p>
        </w:tc>
        <w:tc>
          <w:tcPr>
            <w:tcW w:w="9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4"/>
                <w:szCs w:val="14"/>
                <w:color w:val="auto"/>
              </w:rPr>
              <w:t>On-Site Fuel Services, Inc.</w:t>
            </w:r>
          </w:p>
        </w:tc>
        <w:tc>
          <w:tcPr>
            <w:tcW w:w="23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Fuel Transportation Services</w:t>
            </w:r>
          </w:p>
        </w:tc>
        <w:tc>
          <w:tcPr>
            <w:tcW w:w="2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shares)</w:t>
            </w: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3,278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25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Series B Preferred Stock (23,648</w:t>
            </w:r>
          </w:p>
        </w:tc>
        <w:tc>
          <w:tcPr>
            <w:tcW w:w="9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4"/>
                <w:szCs w:val="14"/>
                <w:color w:val="auto"/>
              </w:rPr>
              <w:t>On-Site Fuel Services, Inc.</w:t>
            </w:r>
          </w:p>
        </w:tc>
        <w:tc>
          <w:tcPr>
            <w:tcW w:w="23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Fuel Transportation Services</w:t>
            </w:r>
          </w:p>
        </w:tc>
        <w:tc>
          <w:tcPr>
            <w:tcW w:w="2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shares)</w:t>
            </w: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2,365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4"/>
                <w:szCs w:val="14"/>
                <w:color w:val="auto"/>
              </w:rPr>
              <w:t>On-Site Fuel Services, Inc.</w:t>
            </w:r>
          </w:p>
        </w:tc>
        <w:tc>
          <w:tcPr>
            <w:tcW w:w="23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Fuel Transportation Services</w:t>
            </w:r>
          </w:p>
        </w:tc>
        <w:tc>
          <w:tcPr>
            <w:tcW w:w="2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Common Stock (33,107 shares)</w:t>
            </w: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10,724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4,783</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25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Senior Secured Term Debt (15%</w:t>
            </w:r>
          </w:p>
        </w:tc>
        <w:tc>
          <w:tcPr>
            <w:tcW w:w="9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4"/>
                <w:szCs w:val="14"/>
                <w:color w:val="auto"/>
              </w:rPr>
              <w:t>Print Direction, Inc.</w:t>
            </w:r>
          </w:p>
        </w:tc>
        <w:tc>
          <w:tcPr>
            <w:tcW w:w="23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Printing Services</w:t>
            </w:r>
          </w:p>
        </w:tc>
        <w:tc>
          <w:tcPr>
            <w:tcW w:w="2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Cash, Due 2/24/19)</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14,000</w:t>
            </w: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14,000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14,000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Print Direction, Inc.</w:t>
            </w:r>
          </w:p>
        </w:tc>
        <w:tc>
          <w:tcPr>
            <w:tcW w:w="23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Printing Services</w:t>
            </w:r>
          </w:p>
        </w:tc>
        <w:tc>
          <w:tcPr>
            <w:tcW w:w="25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Common Stock (19,363 shares)</w:t>
            </w: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2,990</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4,141</w:t>
            </w:r>
          </w:p>
        </w:tc>
        <w:tc>
          <w:tcPr>
            <w:tcW w:w="10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25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Common Stock Warrants (3% fully</w:t>
            </w:r>
          </w:p>
        </w:tc>
        <w:tc>
          <w:tcPr>
            <w:tcW w:w="9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4"/>
                <w:szCs w:val="14"/>
                <w:color w:val="auto"/>
              </w:rPr>
              <w:t>Print Direction, Inc.</w:t>
            </w:r>
          </w:p>
        </w:tc>
        <w:tc>
          <w:tcPr>
            <w:tcW w:w="23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Printing Services</w:t>
            </w:r>
          </w:p>
        </w:tc>
        <w:tc>
          <w:tcPr>
            <w:tcW w:w="2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diluted)</w:t>
            </w:r>
          </w:p>
        </w:tc>
        <w:tc>
          <w:tcPr>
            <w:tcW w:w="9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16,990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18,324</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Sub Total Control investments</w:t>
            </w:r>
          </w:p>
        </w:tc>
        <w:tc>
          <w:tcPr>
            <w:tcW w:w="232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67,440</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72,062</w:t>
            </w:r>
          </w:p>
        </w:tc>
        <w:tc>
          <w:tcPr>
            <w:tcW w:w="106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2"/>
                <w:szCs w:val="12"/>
                <w:color w:val="auto"/>
              </w:rPr>
              <w:t>30.0</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3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INVESTMENTS -199.4%</w:t>
            </w:r>
          </w:p>
        </w:tc>
        <w:tc>
          <w:tcPr>
            <w:tcW w:w="232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441,155</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480,337</w:t>
            </w:r>
          </w:p>
        </w:tc>
        <w:tc>
          <w:tcPr>
            <w:tcW w:w="10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2"/>
                <w:szCs w:val="12"/>
                <w:b w:val="1"/>
                <w:bCs w:val="1"/>
                <w:color w:val="auto"/>
              </w:rPr>
              <w:t>199.4</w:t>
            </w:r>
            <w:r>
              <w:rPr>
                <w:rFonts w:ascii="Arial" w:cs="Arial" w:eastAsia="Arial" w:hAnsi="Arial"/>
                <w:sz w:val="20"/>
                <w:szCs w:val="20"/>
                <w:b w:val="1"/>
                <w:bCs w:val="1"/>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maturity date of the original investment has been extended.</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Non-Accrual Investment.</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PIK Non-Accrual Investment.</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debt investments are income producing. Equity and warrant investments are non-income producing, unless otherwise noted.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Percentages are based on net assets of $240,837 as of December 31, 2014.</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equity investment is income producing, based on rate disclosed.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equity investment has an exercisable put option.</w:t>
      </w:r>
    </w:p>
    <w:p>
      <w:pPr>
        <w:spacing w:after="0" w:line="9" w:lineRule="exact"/>
        <w:rPr>
          <w:rFonts w:ascii="Arial" w:cs="Arial" w:eastAsia="Arial" w:hAnsi="Arial"/>
          <w:sz w:val="18"/>
          <w:szCs w:val="18"/>
          <w:color w:val="auto"/>
        </w:rPr>
      </w:pPr>
    </w:p>
    <w:p>
      <w:pPr>
        <w:ind w:right="80" w:firstLine="8"/>
        <w:spacing w:after="0" w:line="281" w:lineRule="auto"/>
        <w:tabs>
          <w:tab w:leader="none" w:pos="255" w:val="left"/>
        </w:tabs>
        <w:numPr>
          <w:ilvl w:val="0"/>
          <w:numId w:val="4"/>
        </w:numPr>
        <w:rPr>
          <w:rFonts w:ascii="Arial" w:cs="Arial" w:eastAsia="Arial" w:hAnsi="Arial"/>
          <w:sz w:val="16"/>
          <w:szCs w:val="16"/>
          <w:color w:val="auto"/>
        </w:rPr>
      </w:pPr>
      <w:r>
        <w:rPr>
          <w:rFonts w:ascii="Arial" w:cs="Arial" w:eastAsia="Arial" w:hAnsi="Arial"/>
          <w:sz w:val="16"/>
          <w:szCs w:val="16"/>
          <w:color w:val="auto"/>
        </w:rPr>
        <w:t>Indicates assets that the Company believes do not represent “qualifying assets” under Section 55(a) of the Investment Company Act of 1940, as amended. Qualifying assets must represent at least 70% of the Company's total assets at the time of acquisition of any additional non-qualifying assets.</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investment has a $0.6 million unfunded commitment.</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investment has a $10.0 million unfunded commitment.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is currently paying 17% cash rate due to covenant non-compliance.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57" w:right="2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229" w:lineRule="exact"/>
        <w:rPr>
          <w:sz w:val="20"/>
          <w:szCs w:val="20"/>
          <w:color w:val="auto"/>
        </w:rPr>
      </w:pPr>
    </w:p>
    <w:p>
      <w:pPr>
        <w:ind w:firstLine="881"/>
        <w:spacing w:after="0" w:line="270" w:lineRule="auto"/>
        <w:rPr>
          <w:sz w:val="20"/>
          <w:szCs w:val="20"/>
          <w:color w:val="auto"/>
        </w:rPr>
      </w:pPr>
      <w:r>
        <w:rPr>
          <w:rFonts w:ascii="Arial" w:cs="Arial" w:eastAsia="Arial" w:hAnsi="Arial"/>
          <w:sz w:val="17"/>
          <w:szCs w:val="17"/>
          <w:color w:val="auto"/>
        </w:rPr>
        <w:t>Capitala Finance Corp. (the “Company”, “we”, “us”, and “our”) is an externally managed non-diversified closed-end management investment company incorporated in Maryland that has elected to be regulated as a business development company (“BDC”) under the Investment Company Act of 1940, as amended (the “1940 Act”). We are an “emerging growth company” within the meaning of the Jumpstart Our Business Startups Act of 2012 (the “JOBS Act”), and as such, are subject to reduced public company reporting requirements. We commenced operations on May 24, 2013 and completed our initial public offering (“IPO”) on September 30, 2013. The Company is managed by Capitala Investment Advisors, LLC (the “Investment Advisor”), an investment adviser that is registered as an investment adviser under the Investment Advisers Act of 1940, as amended (the “Advisers Act”), and Capitala Advisors Corp. (the “Administrator”) provides the administrative services necessary for us to operate. For U.S. federal income tax purposes, the Company has elected to be treated, and intends to comply with the requirements to continue to qualify annually, as a regulated investment company (“RIC”), under Subchapter M of the Internal Revenue Code of 1986, as amended (the “Code”).</w:t>
      </w:r>
    </w:p>
    <w:p>
      <w:pPr>
        <w:spacing w:after="0" w:line="182" w:lineRule="exact"/>
        <w:rPr>
          <w:sz w:val="20"/>
          <w:szCs w:val="20"/>
          <w:color w:val="auto"/>
        </w:rPr>
      </w:pPr>
    </w:p>
    <w:p>
      <w:pPr>
        <w:ind w:right="100" w:firstLine="881"/>
        <w:spacing w:after="0" w:line="297" w:lineRule="auto"/>
        <w:rPr>
          <w:sz w:val="20"/>
          <w:szCs w:val="20"/>
          <w:color w:val="auto"/>
        </w:rPr>
      </w:pPr>
      <w:r>
        <w:rPr>
          <w:rFonts w:ascii="Arial" w:cs="Arial" w:eastAsia="Arial" w:hAnsi="Arial"/>
          <w:sz w:val="16"/>
          <w:szCs w:val="16"/>
          <w:color w:val="auto"/>
        </w:rPr>
        <w:t>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smaller and lower middle market companies.</w:t>
      </w:r>
    </w:p>
    <w:p>
      <w:pPr>
        <w:spacing w:after="0" w:line="158" w:lineRule="exact"/>
        <w:rPr>
          <w:sz w:val="20"/>
          <w:szCs w:val="20"/>
          <w:color w:val="auto"/>
        </w:rPr>
      </w:pPr>
    </w:p>
    <w:p>
      <w:pPr>
        <w:ind w:right="20" w:firstLine="881"/>
        <w:spacing w:after="0" w:line="297" w:lineRule="auto"/>
        <w:rPr>
          <w:sz w:val="20"/>
          <w:szCs w:val="20"/>
          <w:color w:val="auto"/>
        </w:rPr>
      </w:pPr>
      <w:r>
        <w:rPr>
          <w:rFonts w:ascii="Arial" w:cs="Arial" w:eastAsia="Arial" w:hAnsi="Arial"/>
          <w:sz w:val="16"/>
          <w:szCs w:val="16"/>
          <w:color w:val="auto"/>
        </w:rPr>
        <w:t>The Company’s investment objective is to generate both current income and capital appreciation through debt and equity investments. Both directly and through our subsidiaries that are licensed by the U.S. Small Business Administration (“SBA”) under the Small Business Investment Company (“SBIC”) Act, we offer customized financing to business owners, management teams and financial sponsors for change of ownership transactions, recapitalizations, strategic acquisitions, business expansion and other growth initiatives. We invest primarily in traditional mezzanine, senior subordinated and unitranche debt, as well as senior and second-lien loans and, to a lesser extent, equity securities issued by lower middle market and middle market companies.</w:t>
      </w:r>
    </w:p>
    <w:p>
      <w:pPr>
        <w:spacing w:after="0" w:line="158" w:lineRule="exact"/>
        <w:rPr>
          <w:sz w:val="20"/>
          <w:szCs w:val="20"/>
          <w:color w:val="auto"/>
        </w:rPr>
      </w:pPr>
    </w:p>
    <w:p>
      <w:pPr>
        <w:ind w:firstLine="881"/>
        <w:spacing w:after="0" w:line="254" w:lineRule="auto"/>
        <w:rPr>
          <w:sz w:val="20"/>
          <w:szCs w:val="20"/>
          <w:color w:val="auto"/>
        </w:rPr>
      </w:pPr>
      <w:r>
        <w:rPr>
          <w:rFonts w:ascii="Arial" w:cs="Arial" w:eastAsia="Arial" w:hAnsi="Arial"/>
          <w:sz w:val="18"/>
          <w:szCs w:val="18"/>
          <w:color w:val="auto"/>
        </w:rPr>
        <w:t>On September 24, 2013, the Company acquired 100% of the limited partnership interests in Fund II, Fund III and Florida Sidecar and each of their respective general partners, as well as certain assets from Fund I and Fund III Parent, in exchange for an aggregate of 8,974,420 shares of the Company’s common stock (the “Formation Transactions”). Fund II, Fund III and Florida Sidecar became the Company’s wholly-owned subsidiaries. Fund II and Fund III retained their SBIC licenses, and continued to hold their existing investments at the time of the IPO and have continued to make new investments after the IPO. The IPO consisted of the sale of 4,000,000 shares of the Company’s common stock at a price of $20.00 per share resulting in net proceeds to the Company of $74.25 million, after deducting underwriting fees and commissions totaling $4.0 million and offering expenses totaling $1.75 million. The other costs of the IPO were borne by the limited partners of the Legacy Funds. As of September 30, 2015, the Company had 15,895,580 shares of common stock outstanding.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firstLine="881"/>
        <w:spacing w:after="0" w:line="269" w:lineRule="auto"/>
        <w:rPr>
          <w:sz w:val="20"/>
          <w:szCs w:val="20"/>
          <w:color w:val="auto"/>
        </w:rPr>
      </w:pPr>
      <w:r>
        <w:rPr>
          <w:rFonts w:ascii="Arial" w:cs="Arial" w:eastAsia="Arial" w:hAnsi="Arial"/>
          <w:sz w:val="17"/>
          <w:szCs w:val="17"/>
          <w:color w:val="auto"/>
        </w:rPr>
        <w:t>The accompanying unaudited financial statements have been prepared in conformity with United States generally accepted accounting principles (“U.S. GAAP”) for interim financial information and pursuant to the requirements for reporting on Form 10-Q and Article 10 and Article 6 of Regulation S-X. Accordingly, certain disclosures accompanying annual consolidated financial statements prepared in accordance with U.S. GAAP are omitted. In the opinion of management, all adjustments, consisting solely of normal recurring adjustments necessary for the fair presentation of financial statements for the interim periods, have been reflected in the unaudited consolidated financial statements. The current period’s results of operations are not necessarily indicative of results that ultimately may be achieved for the year. Additionally, the unaudited consolidated financial statements and notes should be read in conjunction with the audited consolidated financial statements and notes thereto appearing in the Company’s annual report on Form 10-K for the period ended December 31, 2014, filed with the U.S Securities and Exchange Commission (“SEC”) on March 4, 2015. Financial statements prepared on a U.S. GAAP basis require management to make estimates and assumptions that affect the amounts and disclosures reported in the consolidated financial statements and accompanying notes. Such estimates and assumptions could change in the future as more information becomes known, which could impact the amounts reported and disclosed herein.</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ind w:right="120" w:firstLine="881"/>
        <w:spacing w:after="0" w:line="264" w:lineRule="auto"/>
        <w:rPr>
          <w:sz w:val="20"/>
          <w:szCs w:val="20"/>
          <w:color w:val="auto"/>
        </w:rPr>
      </w:pPr>
      <w:r>
        <w:rPr>
          <w:rFonts w:ascii="Arial" w:cs="Arial" w:eastAsia="Arial" w:hAnsi="Arial"/>
          <w:sz w:val="18"/>
          <w:szCs w:val="18"/>
          <w:color w:val="auto"/>
        </w:rPr>
        <w:t xml:space="preserve">The Company is considered an investment company as defined in Accounting Standards Codification (“ASC”) Topic 946 </w:t>
      </w:r>
      <w:r>
        <w:rPr>
          <w:rFonts w:ascii="Arial" w:cs="Arial" w:eastAsia="Arial" w:hAnsi="Arial"/>
          <w:sz w:val="18"/>
          <w:szCs w:val="18"/>
          <w:i w:val="1"/>
          <w:iCs w:val="1"/>
          <w:color w:val="auto"/>
        </w:rPr>
        <w:t>– Financial Services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Investment Companies </w:t>
      </w:r>
      <w:r>
        <w:rPr>
          <w:rFonts w:ascii="Arial" w:cs="Arial" w:eastAsia="Arial" w:hAnsi="Arial"/>
          <w:sz w:val="18"/>
          <w:szCs w:val="18"/>
          <w:color w:val="auto"/>
        </w:rPr>
        <w:t>(ASC Topic 946). Accordingly, the required disclosures as outlined in the Accounting Standards Update are included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in the Preparation of Financial Statements</w:t>
      </w:r>
    </w:p>
    <w:p>
      <w:pPr>
        <w:spacing w:after="0" w:line="229" w:lineRule="exact"/>
        <w:rPr>
          <w:sz w:val="20"/>
          <w:szCs w:val="20"/>
          <w:color w:val="auto"/>
        </w:rPr>
      </w:pPr>
    </w:p>
    <w:p>
      <w:pPr>
        <w:ind w:right="40" w:firstLine="881"/>
        <w:spacing w:after="0" w:line="259" w:lineRule="auto"/>
        <w:rPr>
          <w:sz w:val="20"/>
          <w:szCs w:val="20"/>
          <w:color w:val="auto"/>
        </w:rPr>
      </w:pPr>
      <w:r>
        <w:rPr>
          <w:rFonts w:ascii="Arial" w:cs="Arial" w:eastAsia="Arial" w:hAnsi="Arial"/>
          <w:sz w:val="18"/>
          <w:szCs w:val="18"/>
          <w:color w:val="auto"/>
        </w:rPr>
        <w:t>The preparation of the consolidated financial statements in conformity with U.S. GAAP requires management to make estimates and assumptions that affect the amounts reported in the consolidated financial statements and accompanying notes. Actual results could differ from those estimates under different assumptions and conditions. The most significant estimates in the preparation of the consolidated financial statements are investment valuation, revenue recognition, and income taxes.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229" w:lineRule="exact"/>
        <w:rPr>
          <w:sz w:val="20"/>
          <w:szCs w:val="20"/>
          <w:color w:val="auto"/>
        </w:rPr>
      </w:pPr>
    </w:p>
    <w:p>
      <w:pPr>
        <w:ind w:firstLine="881"/>
        <w:spacing w:after="0" w:line="272" w:lineRule="auto"/>
        <w:rPr>
          <w:sz w:val="20"/>
          <w:szCs w:val="20"/>
          <w:color w:val="auto"/>
        </w:rPr>
      </w:pPr>
      <w:r>
        <w:rPr>
          <w:rFonts w:ascii="Arial" w:cs="Arial" w:eastAsia="Arial" w:hAnsi="Arial"/>
          <w:sz w:val="17"/>
          <w:szCs w:val="17"/>
          <w:color w:val="auto"/>
        </w:rPr>
        <w:t xml:space="preserve">As provided under Regulation S-X and ASC 946 </w:t>
      </w:r>
      <w:r>
        <w:rPr>
          <w:rFonts w:ascii="Arial" w:cs="Arial" w:eastAsia="Arial" w:hAnsi="Arial"/>
          <w:sz w:val="17"/>
          <w:szCs w:val="17"/>
          <w:i w:val="1"/>
          <w:iCs w:val="1"/>
          <w:color w:val="auto"/>
        </w:rPr>
        <w:t>– Financial Services – Investment Companies</w:t>
      </w:r>
      <w:r>
        <w:rPr>
          <w:rFonts w:ascii="Arial" w:cs="Arial" w:eastAsia="Arial" w:hAnsi="Arial"/>
          <w:sz w:val="17"/>
          <w:szCs w:val="17"/>
          <w:color w:val="auto"/>
        </w:rPr>
        <w:t>, the Company will generally not consolidate its investment in a company other than a substantially wholly owned investment company subsidiary or a controlled operating company whose business consists of providing services to the Company. Accordingly, the Company consolidated the results of its wholly owned subsidiaries in its consolidated financial statements. The Company does not consolidate its interests in Capitala Senior Liquid Loan Fund I, LLC (“CSLLF”) and CION/Capitala Senior Liquid Loan Fund I, LLC (“CCSLLF”) because the entities are not considered substantially wholly owned investment company subsidiaries. Further, CSLLF and CCSLLF are joint ventures for which shared power exists relating to the decisions that most significantly impact the economic performance of the entities. See Note 4 for further description of the Company’s investments in CSLLF and CCSLLF.</w:t>
      </w:r>
    </w:p>
    <w:p>
      <w:pPr>
        <w:spacing w:after="0" w:line="178" w:lineRule="exact"/>
        <w:rPr>
          <w:sz w:val="20"/>
          <w:szCs w:val="20"/>
          <w:color w:val="auto"/>
        </w:rPr>
      </w:pPr>
    </w:p>
    <w:p>
      <w:pPr>
        <w:ind w:right="160" w:firstLine="881"/>
        <w:spacing w:after="0" w:line="302" w:lineRule="auto"/>
        <w:rPr>
          <w:sz w:val="20"/>
          <w:szCs w:val="20"/>
          <w:color w:val="auto"/>
        </w:rPr>
      </w:pPr>
      <w:r>
        <w:rPr>
          <w:rFonts w:ascii="Arial" w:cs="Arial" w:eastAsia="Arial" w:hAnsi="Arial"/>
          <w:sz w:val="16"/>
          <w:szCs w:val="16"/>
          <w:color w:val="auto"/>
        </w:rPr>
        <w:t>The Company’s financial position as of September 30, 2015 is presented on a consolidated basis. The effects of all intercompany transactions between the Company and its consolidated subsidiaries (Fund II, Fund III, and the Florida Sidecar) have been eliminated in consolidation. All financial data and information included in these consolidated financial statements have been presented on the basis described above. In the opinion of management, the consolidated financial statements reflect all adjustments that are necessary for the fair presentation of financial results as of and for the periods presented.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In accordance with ASC Topic 280 – </w:t>
      </w:r>
      <w:r>
        <w:rPr>
          <w:rFonts w:ascii="Arial" w:cs="Arial" w:eastAsia="Arial" w:hAnsi="Arial"/>
          <w:sz w:val="16"/>
          <w:szCs w:val="16"/>
          <w:i w:val="1"/>
          <w:iCs w:val="1"/>
          <w:color w:val="auto"/>
        </w:rPr>
        <w:t>Segment Reporting</w:t>
      </w:r>
      <w:r>
        <w:rPr>
          <w:rFonts w:ascii="Arial" w:cs="Arial" w:eastAsia="Arial" w:hAnsi="Arial"/>
          <w:sz w:val="16"/>
          <w:szCs w:val="16"/>
          <w:color w:val="auto"/>
        </w:rPr>
        <w:t>, the Company has determined that it has a single reporting segment and operating unit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structure.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ind w:right="100" w:firstLine="881"/>
        <w:spacing w:after="0" w:line="264" w:lineRule="auto"/>
        <w:rPr>
          <w:sz w:val="20"/>
          <w:szCs w:val="20"/>
          <w:color w:val="auto"/>
        </w:rPr>
      </w:pPr>
      <w:r>
        <w:rPr>
          <w:rFonts w:ascii="Arial" w:cs="Arial" w:eastAsia="Arial" w:hAnsi="Arial"/>
          <w:sz w:val="18"/>
          <w:szCs w:val="18"/>
          <w:color w:val="auto"/>
        </w:rPr>
        <w:t>The Company considers cash equivalents to be highly liquid investments with original maturities of three months or less at the date of purchase. The Company deposits its cash in financial institutions and, at times, such balances may be in excess of the Federal Deposit Insurance Corporation (“FDIC”) insurance limits.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Classification</w:t>
      </w:r>
    </w:p>
    <w:p>
      <w:pPr>
        <w:spacing w:after="0" w:line="229" w:lineRule="exact"/>
        <w:rPr>
          <w:sz w:val="20"/>
          <w:szCs w:val="20"/>
          <w:color w:val="auto"/>
        </w:rPr>
      </w:pPr>
    </w:p>
    <w:p>
      <w:pPr>
        <w:ind w:right="140" w:firstLine="881"/>
        <w:spacing w:after="0" w:line="291" w:lineRule="auto"/>
        <w:rPr>
          <w:sz w:val="20"/>
          <w:szCs w:val="20"/>
          <w:color w:val="auto"/>
        </w:rPr>
      </w:pPr>
      <w:r>
        <w:rPr>
          <w:rFonts w:ascii="Arial" w:cs="Arial" w:eastAsia="Arial" w:hAnsi="Arial"/>
          <w:sz w:val="16"/>
          <w:szCs w:val="16"/>
          <w:color w:val="auto"/>
        </w:rPr>
        <w:t>In accordance with the provisions of the 1940 Act, the Company classifies investment by level of control. As defined in the 1940 Act, “Control Investments” are investments in those companies that the Company is deemed to “Control.” “Affiliate Investments” are investments in those companies that are “Affiliated Companies” of the Company, as defined in the 1940 Act, other than Control Investments. “Non-Control/Non-Affiliate Investments” are those investments that are neither Control Investments nor Affiliate Investments. Generally under the 1940 Act, the Company is deemed to control a company in which it has invested if the Company owns more than 25% of the voting securities of such company and/or has greater than 50% representation on its board or has the power to exercise control over management or policies of such portfolio company. The Company is deemed to be an affiliate of a company in which the Company has invested if it owns between 5% and 25% of the voting securities of such company.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Investments</w:t>
      </w:r>
    </w:p>
    <w:p>
      <w:pPr>
        <w:spacing w:after="0" w:line="229" w:lineRule="exact"/>
        <w:rPr>
          <w:sz w:val="20"/>
          <w:szCs w:val="20"/>
          <w:color w:val="auto"/>
        </w:rPr>
      </w:pPr>
    </w:p>
    <w:p>
      <w:pPr>
        <w:ind w:right="40" w:firstLine="881"/>
        <w:spacing w:after="0" w:line="259" w:lineRule="auto"/>
        <w:rPr>
          <w:sz w:val="20"/>
          <w:szCs w:val="20"/>
          <w:color w:val="auto"/>
        </w:rPr>
      </w:pPr>
      <w:r>
        <w:rPr>
          <w:rFonts w:ascii="Arial" w:cs="Arial" w:eastAsia="Arial" w:hAnsi="Arial"/>
          <w:sz w:val="18"/>
          <w:szCs w:val="18"/>
          <w:color w:val="auto"/>
        </w:rPr>
        <w:t xml:space="preserve">The Company applies fair value accounting to all of its financial instruments in accordance with the 1940 Act and ASC Topic 820 -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Measurements and Disclosures </w:t>
      </w:r>
      <w:r>
        <w:rPr>
          <w:rFonts w:ascii="Arial" w:cs="Arial" w:eastAsia="Arial" w:hAnsi="Arial"/>
          <w:sz w:val="18"/>
          <w:szCs w:val="18"/>
          <w:color w:val="auto"/>
        </w:rPr>
        <w:t>(“ASC 820”). ASC 820 defines fair value, establishes a framework used to measure fair value and requires disclosures for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measurements. In accordance with ASC 820, the Company has categorized its financial instruments carried at fair value, based on the priority of the valuation technique, into a three-level fair value hierarchy as discussed in Note 4.</w:t>
      </w:r>
    </w:p>
    <w:p>
      <w:pPr>
        <w:spacing w:after="0" w:line="187" w:lineRule="exact"/>
        <w:rPr>
          <w:sz w:val="20"/>
          <w:szCs w:val="20"/>
          <w:color w:val="auto"/>
        </w:rPr>
      </w:pPr>
    </w:p>
    <w:p>
      <w:pPr>
        <w:ind w:right="260" w:firstLine="881"/>
        <w:spacing w:after="0" w:line="259" w:lineRule="auto"/>
        <w:rPr>
          <w:sz w:val="20"/>
          <w:szCs w:val="20"/>
          <w:color w:val="auto"/>
        </w:rPr>
      </w:pPr>
      <w:r>
        <w:rPr>
          <w:rFonts w:ascii="Arial" w:cs="Arial" w:eastAsia="Arial" w:hAnsi="Arial"/>
          <w:sz w:val="18"/>
          <w:szCs w:val="18"/>
          <w:color w:val="auto"/>
        </w:rPr>
        <w:t>In determining fair value, our Board of Directors (the “Board”) uses various valuation approaches, and engages a third-party valuation firm, which provides an independent valuation of certain investments. In accordance with U.S. GAAP, a fair value hierarchy for inputs is used in measuring fair value that maximizes the use of observable inputs and minimizes the use of unobservable inputs by requiring that the most observable inputs be used when available.</w:t>
      </w:r>
    </w:p>
    <w:p>
      <w:pPr>
        <w:spacing w:after="0" w:line="187" w:lineRule="exact"/>
        <w:rPr>
          <w:sz w:val="20"/>
          <w:szCs w:val="20"/>
          <w:color w:val="auto"/>
        </w:rPr>
      </w:pPr>
    </w:p>
    <w:p>
      <w:pPr>
        <w:ind w:right="100" w:firstLine="881"/>
        <w:spacing w:after="0" w:line="264" w:lineRule="auto"/>
        <w:rPr>
          <w:sz w:val="20"/>
          <w:szCs w:val="20"/>
          <w:color w:val="auto"/>
        </w:rPr>
      </w:pPr>
      <w:r>
        <w:rPr>
          <w:rFonts w:ascii="Arial" w:cs="Arial" w:eastAsia="Arial" w:hAnsi="Arial"/>
          <w:sz w:val="18"/>
          <w:szCs w:val="18"/>
          <w:color w:val="auto"/>
        </w:rPr>
        <w:t>Observable inputs are those that market participants would use in pricing the asset or liability based on market data obtained from sources independent of the Board. Unobservable inputs reflect the Board’s assumptions about the inputs market participants would use in pricing the asset or liability developed based upon the best information available in the circumstances.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ind w:right="20" w:firstLine="881"/>
        <w:spacing w:after="0" w:line="289" w:lineRule="auto"/>
        <w:rPr>
          <w:sz w:val="20"/>
          <w:szCs w:val="20"/>
          <w:color w:val="auto"/>
        </w:rPr>
      </w:pPr>
      <w:r>
        <w:rPr>
          <w:rFonts w:ascii="Arial" w:cs="Arial" w:eastAsia="Arial" w:hAnsi="Arial"/>
          <w:sz w:val="16"/>
          <w:szCs w:val="16"/>
          <w:color w:val="auto"/>
        </w:rPr>
        <w:t>The availability of valuation techniques and observable inputs can vary from security to security and is affected by a wide variety of factors including, the type of security, whether the security is new and not yet established in the marketplace, and other characteristics particular to the transaction. To the extent that valuation is based on models or inputs that are less observable or unobservable in the market, the determination of fair value requires more judgment. Those estimated values do not necessarily represent the amounts that may be ultimately realized due to the occurrence of future circumstances that cannot be reasonably determined. Because of the inherent uncertainty of valuation, those estimated values may be materially higher or lower than the values that would have been used had a market for the securities existed. Accordingly, the degree of judgment exercised by the Board in determining fair value is greatest for securities categorized in Level 3 (as defined below). In certain cases, the inputs used to measure fair value may fall into different levels of the fair value hierarchy. In such cases, for disclosure purposes, the level in the fair value hierarchy within which the fair value measurement in its entirety falls, is determined based on the lowest level input that is significant to the fair value measurement.</w:t>
      </w:r>
    </w:p>
    <w:p>
      <w:pPr>
        <w:spacing w:after="0" w:line="167" w:lineRule="exact"/>
        <w:rPr>
          <w:sz w:val="20"/>
          <w:szCs w:val="20"/>
          <w:color w:val="auto"/>
        </w:rPr>
      </w:pPr>
    </w:p>
    <w:p>
      <w:pPr>
        <w:ind w:right="20" w:firstLine="881"/>
        <w:spacing w:after="0" w:line="257" w:lineRule="auto"/>
        <w:rPr>
          <w:sz w:val="20"/>
          <w:szCs w:val="20"/>
          <w:color w:val="auto"/>
        </w:rPr>
      </w:pPr>
      <w:r>
        <w:rPr>
          <w:rFonts w:ascii="Arial" w:cs="Arial" w:eastAsia="Arial" w:hAnsi="Arial"/>
          <w:sz w:val="18"/>
          <w:szCs w:val="18"/>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We use prices and inputs that are current as of the measurement date, including periods of market dislocation. In periods of market dislocation, the observability of prices and inputs may be reduced for many securities. This condition could cause a security to be reclassified to a lower level within the fair value hierarchy.</w:t>
      </w:r>
    </w:p>
    <w:p>
      <w:pPr>
        <w:spacing w:after="0" w:line="188" w:lineRule="exact"/>
        <w:rPr>
          <w:sz w:val="20"/>
          <w:szCs w:val="20"/>
          <w:color w:val="auto"/>
        </w:rPr>
      </w:pPr>
    </w:p>
    <w:p>
      <w:pPr>
        <w:ind w:right="100" w:firstLine="881"/>
        <w:spacing w:after="0" w:line="286" w:lineRule="auto"/>
        <w:rPr>
          <w:sz w:val="20"/>
          <w:szCs w:val="20"/>
          <w:color w:val="auto"/>
        </w:rPr>
      </w:pPr>
      <w:r>
        <w:rPr>
          <w:rFonts w:ascii="Arial" w:cs="Arial" w:eastAsia="Arial" w:hAnsi="Arial"/>
          <w:sz w:val="17"/>
          <w:szCs w:val="17"/>
          <w:color w:val="auto"/>
        </w:rPr>
        <w:t>In estimating fair value of portfolio investments, the Company starts with the cost basis of the investment, which includes original issue discount or premium and payment-in-kind income, if any. The transaction price is typically the best estimate of fair value at inception. When evidence supports a subsequent change to the carrying value from the original transaction price, adjustments are made to reflect the expected fair values.</w:t>
      </w:r>
    </w:p>
    <w:p>
      <w:pPr>
        <w:spacing w:after="0" w:line="166" w:lineRule="exact"/>
        <w:rPr>
          <w:sz w:val="20"/>
          <w:szCs w:val="20"/>
          <w:color w:val="auto"/>
        </w:rPr>
      </w:pPr>
    </w:p>
    <w:p>
      <w:pPr>
        <w:ind w:right="220" w:firstLine="881"/>
        <w:spacing w:after="0" w:line="312" w:lineRule="auto"/>
        <w:rPr>
          <w:sz w:val="20"/>
          <w:szCs w:val="20"/>
          <w:color w:val="auto"/>
        </w:rPr>
      </w:pPr>
      <w:r>
        <w:rPr>
          <w:rFonts w:ascii="Arial" w:cs="Arial" w:eastAsia="Arial" w:hAnsi="Arial"/>
          <w:sz w:val="16"/>
          <w:szCs w:val="16"/>
          <w:color w:val="auto"/>
        </w:rPr>
        <w:t>As a practical expedient, the Company uses the net asset value (“NAV”) as the fair value of CSLLF and CCSLLF. CSLLF and CCSLLF record their underlying investments at fair value on a daily basis utilizing pricing information from third-party sources. Management may perform model-based analytical valuations in instances where an investment is considered illiquid or for which pricing is not available from third-party sources.</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valuation methodologies are utilized by the company in estimating fair value and are summarized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Enterprise Value Waterfall Approach</w:t>
      </w:r>
    </w:p>
    <w:p>
      <w:pPr>
        <w:spacing w:after="0" w:line="225" w:lineRule="exact"/>
        <w:rPr>
          <w:sz w:val="20"/>
          <w:szCs w:val="20"/>
          <w:color w:val="auto"/>
        </w:rPr>
      </w:pPr>
    </w:p>
    <w:p>
      <w:pPr>
        <w:ind w:right="40" w:firstLine="881"/>
        <w:spacing w:after="0" w:line="270" w:lineRule="auto"/>
        <w:rPr>
          <w:sz w:val="20"/>
          <w:szCs w:val="20"/>
          <w:color w:val="auto"/>
        </w:rPr>
      </w:pPr>
      <w:r>
        <w:rPr>
          <w:rFonts w:ascii="Arial" w:cs="Arial" w:eastAsia="Arial" w:hAnsi="Arial"/>
          <w:sz w:val="17"/>
          <w:szCs w:val="17"/>
          <w:color w:val="auto"/>
        </w:rPr>
        <w:t>The enterprise value waterfall approach determines an enterprise value based on earnings before interest, tax, depreciation and amortization (“EBITDA”) multiples of publicly traded companies that are considered similar to the subject portfolio company. The Company considers a variety of items in determining a reasonable pricing multiple, including, but not limited to, operating results, budgeted projections, growth, size, risk, profitability, leverage, management depth, diversification, market position, supplier or customer dependence, asset utilization, liquidity metrics, and access to capital markets. EBITDA of the portfolio company is adjusted for non-recurring items in order to reflect a normalized level of earnings that is representative of future earnings. In certain instances, the Company may also utilize revenue multiples to determine enterprise value. When available, the Company may assign a pricing multiple or value its equity investments based on the value of recent investment transactions in the subject portfolio company or offers to purchase the portfolio company. The enterprise value is adjusted for financial instruments with seniority to the Company’s ownership and for the effect of any instrument which may dilute the Company’s investment in the portfolio company. The adjusted enterprise value is then apportioned based on the seniority and privileges of the Company’s investments within the portfolio company.</w:t>
      </w:r>
    </w:p>
    <w:p>
      <w:pPr>
        <w:spacing w:after="0" w:line="178" w:lineRule="exact"/>
        <w:rPr>
          <w:sz w:val="20"/>
          <w:szCs w:val="20"/>
          <w:color w:val="auto"/>
        </w:rPr>
      </w:pPr>
    </w:p>
    <w:p>
      <w:pPr>
        <w:ind w:firstLine="881"/>
        <w:spacing w:after="0" w:line="277" w:lineRule="auto"/>
        <w:rPr>
          <w:sz w:val="20"/>
          <w:szCs w:val="20"/>
          <w:color w:val="auto"/>
        </w:rPr>
      </w:pPr>
      <w:r>
        <w:rPr>
          <w:rFonts w:ascii="Arial" w:cs="Arial" w:eastAsia="Arial" w:hAnsi="Arial"/>
          <w:sz w:val="18"/>
          <w:szCs w:val="18"/>
          <w:color w:val="auto"/>
        </w:rPr>
        <w:t>The enterprise value waterfall approach is primarily utilized to value the Company’s equity securities, including warrants. However, the Company may utilize the enterprise value waterfall approach to value certain debt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Approach</w:t>
      </w:r>
    </w:p>
    <w:p>
      <w:pPr>
        <w:spacing w:after="0" w:line="225" w:lineRule="exact"/>
        <w:rPr>
          <w:sz w:val="20"/>
          <w:szCs w:val="20"/>
          <w:color w:val="auto"/>
        </w:rPr>
      </w:pPr>
    </w:p>
    <w:p>
      <w:pPr>
        <w:ind w:right="20" w:firstLine="881"/>
        <w:spacing w:after="0" w:line="271" w:lineRule="auto"/>
        <w:rPr>
          <w:sz w:val="20"/>
          <w:szCs w:val="20"/>
          <w:color w:val="auto"/>
        </w:rPr>
      </w:pPr>
      <w:r>
        <w:rPr>
          <w:rFonts w:ascii="Arial" w:cs="Arial" w:eastAsia="Arial" w:hAnsi="Arial"/>
          <w:sz w:val="17"/>
          <w:szCs w:val="17"/>
          <w:color w:val="auto"/>
        </w:rPr>
        <w:t>The income approach utilizes a discounted cash flow methodology in which the Company estimates fair value based on the present value of expected cash flows discounted at a market rate of interest. The determination of a discount rate, or required rate of return, takes into account the portfolio company’s fundamentals and perceived credit risk. Because the majority of the Company’s portfolio companies do not have a public credit rating, determining a discount rate often involves assigning an implied credit rating based on the portfolio company’s operating metrics compared to average metrics of similar publicly rated debt. Operating metrics include, but are not limited to, EBITDA interest coverage, leverage ratio, return on capital, and debt to equity ratios. The implied credit rating is used to assign a base discount rate range based on publicly available yields on similarly rated debt securities. The Company may apply a premium to the discount rate utilized in determining fair value when performance metrics and other qualitative information indicate that there is an additional level of uncertainty about collectability of cash flows.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Approach</w:t>
      </w:r>
    </w:p>
    <w:p>
      <w:pPr>
        <w:spacing w:after="0" w:line="225" w:lineRule="exact"/>
        <w:rPr>
          <w:sz w:val="20"/>
          <w:szCs w:val="20"/>
          <w:color w:val="auto"/>
        </w:rPr>
      </w:pPr>
    </w:p>
    <w:p>
      <w:pPr>
        <w:jc w:val="both"/>
        <w:ind w:right="300" w:firstLine="881"/>
        <w:spacing w:after="0" w:line="312" w:lineRule="auto"/>
        <w:rPr>
          <w:sz w:val="20"/>
          <w:szCs w:val="20"/>
          <w:color w:val="auto"/>
        </w:rPr>
      </w:pPr>
      <w:r>
        <w:rPr>
          <w:rFonts w:ascii="Arial" w:cs="Arial" w:eastAsia="Arial" w:hAnsi="Arial"/>
          <w:sz w:val="16"/>
          <w:szCs w:val="16"/>
          <w:color w:val="auto"/>
        </w:rPr>
        <w:t>The asset approach values an investment based on the greater of the enterprise value or the underlying collateral securing the investment. See discussion of determining enterprise value above. This approach is used when the investment is not performing in accordance with its contractual terms or when the Company has reason to believe that it will not collect all principal and interest in accordance with the contractual terms of the debt agreement.</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Company’s revenue recognition policies are as follows:</w:t>
      </w:r>
    </w:p>
    <w:p>
      <w:pPr>
        <w:spacing w:after="0" w:line="225" w:lineRule="exact"/>
        <w:rPr>
          <w:sz w:val="20"/>
          <w:szCs w:val="20"/>
          <w:color w:val="auto"/>
        </w:rPr>
      </w:pPr>
    </w:p>
    <w:p>
      <w:pPr>
        <w:ind w:right="80" w:firstLine="881"/>
        <w:spacing w:after="0" w:line="257" w:lineRule="auto"/>
        <w:rPr>
          <w:sz w:val="20"/>
          <w:szCs w:val="20"/>
          <w:color w:val="auto"/>
        </w:rPr>
      </w:pPr>
      <w:r>
        <w:rPr>
          <w:rFonts w:ascii="Arial" w:cs="Arial" w:eastAsia="Arial" w:hAnsi="Arial"/>
          <w:sz w:val="18"/>
          <w:szCs w:val="18"/>
          <w:i w:val="1"/>
          <w:iCs w:val="1"/>
          <w:color w:val="auto"/>
        </w:rPr>
        <w:t xml:space="preserve">Interest income and paid-in-kind interest income: </w:t>
      </w:r>
      <w:r>
        <w:rPr>
          <w:rFonts w:ascii="Arial" w:cs="Arial" w:eastAsia="Arial" w:hAnsi="Arial"/>
          <w:sz w:val="18"/>
          <w:szCs w:val="18"/>
          <w:color w:val="auto"/>
        </w:rPr>
        <w:t>Interest income is recorded on the accrual basis to the extent that such amounts are expected to</w:t>
      </w:r>
      <w:r>
        <w:rPr>
          <w:rFonts w:ascii="Arial" w:cs="Arial" w:eastAsia="Arial" w:hAnsi="Arial"/>
          <w:sz w:val="18"/>
          <w:szCs w:val="18"/>
          <w:i w:val="1"/>
          <w:iCs w:val="1"/>
          <w:color w:val="auto"/>
        </w:rPr>
        <w:t xml:space="preserve"> </w:t>
      </w:r>
      <w:r>
        <w:rPr>
          <w:rFonts w:ascii="Arial" w:cs="Arial" w:eastAsia="Arial" w:hAnsi="Arial"/>
          <w:sz w:val="18"/>
          <w:szCs w:val="18"/>
          <w:color w:val="auto"/>
        </w:rPr>
        <w:t>be collected. The Company has debt investments in the portfolio that contain a payment-in-kind (“PIK”) provision. The PIK interest, which represents contractually deferred interest added to the debt investment balance that is generally due at maturity, is recorded on the accrual basis to the extent that such amounts are expected to be collected. PIK interest is not accrued if the Company does not expect the issuer to be able to pay all principal and interest when due.</w:t>
      </w:r>
    </w:p>
    <w:p>
      <w:pPr>
        <w:spacing w:after="0" w:line="188" w:lineRule="exact"/>
        <w:rPr>
          <w:sz w:val="20"/>
          <w:szCs w:val="20"/>
          <w:color w:val="auto"/>
        </w:rPr>
      </w:pPr>
    </w:p>
    <w:p>
      <w:pPr>
        <w:ind w:right="120" w:firstLine="881"/>
        <w:spacing w:after="0" w:line="271" w:lineRule="auto"/>
        <w:rPr>
          <w:sz w:val="20"/>
          <w:szCs w:val="20"/>
          <w:color w:val="auto"/>
        </w:rPr>
      </w:pPr>
      <w:r>
        <w:rPr>
          <w:rFonts w:ascii="Arial" w:cs="Arial" w:eastAsia="Arial" w:hAnsi="Arial"/>
          <w:sz w:val="17"/>
          <w:szCs w:val="17"/>
          <w:i w:val="1"/>
          <w:iCs w:val="1"/>
          <w:color w:val="auto"/>
        </w:rPr>
        <w:t xml:space="preserve">Non-accrual investments: </w:t>
      </w:r>
      <w:r>
        <w:rPr>
          <w:rFonts w:ascii="Arial" w:cs="Arial" w:eastAsia="Arial" w:hAnsi="Arial"/>
          <w:sz w:val="17"/>
          <w:szCs w:val="17"/>
          <w:color w:val="auto"/>
        </w:rPr>
        <w:t>Generally, when interest and/or principal payments on a loan become 90 days or more past due, or if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otherwise does not expect the borrower to be able to service its debt and other obligations, the Company will place the loan on non-accrual status, and will generally cease recognizing interest income and PIK interest on that loan for financial reporting purposes. Interest payments received on non-accrual loans may be recognized as income or applied to principal depending upon management’s judgment. The Company writes off any previously accrued and uncollected interest when it is determined that interest is no longer considered collectible. The Company may elect to cease accruing PIK and continue accruing interest income in cases where a loan is currently paying its interest income but, in management’s judgment, there is a reasonable likelihood of principal loss on the loan. Non-accrual loans are returned to accrual status when the borrower’s financial condition improves such that management believes current interest and principal payments are expected to be collected.</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 xml:space="preserve">Gains and losses on investment sales and paydowns: </w:t>
      </w:r>
      <w:r>
        <w:rPr>
          <w:rFonts w:ascii="Arial" w:cs="Arial" w:eastAsia="Arial" w:hAnsi="Arial"/>
          <w:sz w:val="16"/>
          <w:szCs w:val="16"/>
          <w:color w:val="auto"/>
        </w:rPr>
        <w:t>Realized gains and losses on investments are recognized using the specific identification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method.</w:t>
      </w:r>
    </w:p>
    <w:p>
      <w:pPr>
        <w:spacing w:after="0" w:line="211" w:lineRule="exact"/>
        <w:rPr>
          <w:sz w:val="20"/>
          <w:szCs w:val="20"/>
          <w:color w:val="auto"/>
        </w:rPr>
      </w:pPr>
    </w:p>
    <w:p>
      <w:pPr>
        <w:ind w:firstLine="881"/>
        <w:spacing w:after="0" w:line="272" w:lineRule="auto"/>
        <w:rPr>
          <w:sz w:val="20"/>
          <w:szCs w:val="20"/>
          <w:color w:val="auto"/>
        </w:rPr>
      </w:pPr>
      <w:r>
        <w:rPr>
          <w:rFonts w:ascii="Arial" w:cs="Arial" w:eastAsia="Arial" w:hAnsi="Arial"/>
          <w:sz w:val="17"/>
          <w:szCs w:val="17"/>
          <w:i w:val="1"/>
          <w:iCs w:val="1"/>
          <w:color w:val="auto"/>
        </w:rPr>
        <w:t xml:space="preserve">Dividend income and paid-in-kind dividends: </w:t>
      </w:r>
      <w:r>
        <w:rPr>
          <w:rFonts w:ascii="Arial" w:cs="Arial" w:eastAsia="Arial" w:hAnsi="Arial"/>
          <w:sz w:val="17"/>
          <w:szCs w:val="17"/>
          <w:color w:val="auto"/>
        </w:rPr>
        <w:t>Dividend income is recognized on the date dividends are declared. Dividend income may be</w:t>
      </w:r>
      <w:r>
        <w:rPr>
          <w:rFonts w:ascii="Arial" w:cs="Arial" w:eastAsia="Arial" w:hAnsi="Arial"/>
          <w:sz w:val="17"/>
          <w:szCs w:val="17"/>
          <w:i w:val="1"/>
          <w:iCs w:val="1"/>
          <w:color w:val="auto"/>
        </w:rPr>
        <w:t xml:space="preserve"> </w:t>
      </w:r>
      <w:r>
        <w:rPr>
          <w:rFonts w:ascii="Arial" w:cs="Arial" w:eastAsia="Arial" w:hAnsi="Arial"/>
          <w:sz w:val="17"/>
          <w:szCs w:val="17"/>
          <w:color w:val="auto"/>
        </w:rPr>
        <w:t>reversed in the event that a previously declared dividend is no longer expected to be paid by the portfolio company. The Company holds preferred equity investments in the portfolio that contain a payment-in-kind dividend (“PIK dividends”) provision. PIK dividends, which represent contractually deferred dividends added to the equity balance, are recorded on the accrual basis to the extent that such amounts are expected to be collected. The Company will typically cease accrual of PIK dividends when the fair value of the equity investment is less than the cost basis of the investment or when it is otherwise determined by management that collection of PIK dividends are unlikely to be collected. If management determines that a decline in fair value is temporary in nature and the PIK dividends are more likely than not to be collected, management may elect to continue accruing PIK dividends.</w:t>
      </w:r>
    </w:p>
    <w:p>
      <w:pPr>
        <w:spacing w:after="0" w:line="178" w:lineRule="exact"/>
        <w:rPr>
          <w:sz w:val="20"/>
          <w:szCs w:val="20"/>
          <w:color w:val="auto"/>
        </w:rPr>
      </w:pPr>
    </w:p>
    <w:p>
      <w:pPr>
        <w:ind w:right="100" w:firstLine="881"/>
        <w:spacing w:after="0" w:line="342" w:lineRule="auto"/>
        <w:rPr>
          <w:sz w:val="20"/>
          <w:szCs w:val="20"/>
          <w:color w:val="auto"/>
        </w:rPr>
      </w:pPr>
      <w:r>
        <w:rPr>
          <w:rFonts w:ascii="Arial" w:cs="Arial" w:eastAsia="Arial" w:hAnsi="Arial"/>
          <w:sz w:val="16"/>
          <w:szCs w:val="16"/>
          <w:i w:val="1"/>
          <w:iCs w:val="1"/>
          <w:color w:val="auto"/>
        </w:rPr>
        <w:t xml:space="preserve">Original issue discount/premiums: </w:t>
      </w:r>
      <w:r>
        <w:rPr>
          <w:rFonts w:ascii="Arial" w:cs="Arial" w:eastAsia="Arial" w:hAnsi="Arial"/>
          <w:sz w:val="16"/>
          <w:szCs w:val="16"/>
          <w:color w:val="auto"/>
        </w:rPr>
        <w:t>Discounts/premiums received to par on loans purchased on the secondary market are capitalized and accreted</w:t>
      </w:r>
      <w:r>
        <w:rPr>
          <w:rFonts w:ascii="Arial" w:cs="Arial" w:eastAsia="Arial" w:hAnsi="Arial"/>
          <w:sz w:val="16"/>
          <w:szCs w:val="16"/>
          <w:i w:val="1"/>
          <w:iCs w:val="1"/>
          <w:color w:val="auto"/>
        </w:rPr>
        <w:t xml:space="preserve"> </w:t>
      </w:r>
      <w:r>
        <w:rPr>
          <w:rFonts w:ascii="Arial" w:cs="Arial" w:eastAsia="Arial" w:hAnsi="Arial"/>
          <w:sz w:val="16"/>
          <w:szCs w:val="16"/>
          <w:color w:val="auto"/>
        </w:rPr>
        <w:t>or amortized into income over the life of the loan. Any remaining discount/premium is accreted or amortized into income upon prepayment of the loan.</w:t>
      </w:r>
    </w:p>
    <w:p>
      <w:pPr>
        <w:spacing w:after="0" w:line="124" w:lineRule="exact"/>
        <w:rPr>
          <w:sz w:val="20"/>
          <w:szCs w:val="20"/>
          <w:color w:val="auto"/>
        </w:rPr>
      </w:pPr>
    </w:p>
    <w:p>
      <w:pPr>
        <w:ind w:right="240" w:firstLine="881"/>
        <w:spacing w:after="0" w:line="264"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Origination, amendment, consent, closing and/or commitment fees associated with investments in portfolio companies are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as income when the investment transaction closes. Prepayment penalties received by the Company for debt instruments repaid prior to maturity date are recorded as income upon receipt.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9" w:lineRule="exact"/>
        <w:rPr>
          <w:sz w:val="20"/>
          <w:szCs w:val="20"/>
          <w:color w:val="auto"/>
        </w:rPr>
      </w:pPr>
    </w:p>
    <w:p>
      <w:pPr>
        <w:ind w:right="60" w:firstLine="881"/>
        <w:spacing w:after="0" w:line="286" w:lineRule="auto"/>
        <w:rPr>
          <w:sz w:val="20"/>
          <w:szCs w:val="20"/>
          <w:color w:val="auto"/>
        </w:rPr>
      </w:pPr>
      <w:r>
        <w:rPr>
          <w:rFonts w:ascii="Arial" w:cs="Arial" w:eastAsia="Arial" w:hAnsi="Arial"/>
          <w:sz w:val="17"/>
          <w:szCs w:val="17"/>
          <w:color w:val="auto"/>
        </w:rPr>
        <w:t>General and administrative expenses are accrued as incurred. The Company’s administrative expenses include personnel and overheard expenses allocable to the Company under the Administration Agreement paid by and reimbursable to the Administrator. Other operating expenses such as legal and audit fees, director fees, director and officer insurance, and other expenses are generally paid directly by the Company.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Financing Fees</w:t>
      </w:r>
    </w:p>
    <w:p>
      <w:pPr>
        <w:spacing w:after="0" w:line="229" w:lineRule="exact"/>
        <w:rPr>
          <w:sz w:val="20"/>
          <w:szCs w:val="20"/>
          <w:color w:val="auto"/>
        </w:rPr>
      </w:pPr>
    </w:p>
    <w:p>
      <w:pPr>
        <w:ind w:right="40" w:firstLine="881"/>
        <w:spacing w:after="0" w:line="277" w:lineRule="auto"/>
        <w:rPr>
          <w:sz w:val="20"/>
          <w:szCs w:val="20"/>
          <w:color w:val="auto"/>
        </w:rPr>
      </w:pPr>
      <w:r>
        <w:rPr>
          <w:rFonts w:ascii="Arial" w:cs="Arial" w:eastAsia="Arial" w:hAnsi="Arial"/>
          <w:sz w:val="18"/>
          <w:szCs w:val="18"/>
          <w:color w:val="auto"/>
        </w:rPr>
        <w:t>Costs incurred to issue the Company’s debt obligations are capitalized and are amortized over the term of the debt agreements under the effective interest method.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right="80" w:firstLine="881"/>
        <w:spacing w:after="0" w:line="312" w:lineRule="auto"/>
        <w:rPr>
          <w:sz w:val="20"/>
          <w:szCs w:val="20"/>
          <w:color w:val="auto"/>
        </w:rPr>
      </w:pPr>
      <w:r>
        <w:rPr>
          <w:rFonts w:ascii="Arial" w:cs="Arial" w:eastAsia="Arial" w:hAnsi="Arial"/>
          <w:sz w:val="16"/>
          <w:szCs w:val="16"/>
          <w:color w:val="auto"/>
        </w:rPr>
        <w:t>As of September 30, 2015 and December 31, 2014, the Company had outstanding unfunded commitments related to debt investments in existing portfolio companies of $11.0 million and $10.6 million, respectively. As of September 30, 2015 and December 31, 2014, the Company also had unfunded commitments related to its equity investment in CION/Capitala Senior Liquid Loan Fund I, LLC of $10.0 million and $0.0 million, respectively.</w:t>
      </w:r>
    </w:p>
    <w:p>
      <w:pPr>
        <w:spacing w:after="0" w:line="147" w:lineRule="exact"/>
        <w:rPr>
          <w:sz w:val="20"/>
          <w:szCs w:val="20"/>
          <w:color w:val="auto"/>
        </w:rPr>
      </w:pPr>
    </w:p>
    <w:p>
      <w:pPr>
        <w:ind w:right="280" w:firstLine="881"/>
        <w:spacing w:after="0" w:line="264" w:lineRule="auto"/>
        <w:rPr>
          <w:sz w:val="20"/>
          <w:szCs w:val="20"/>
          <w:color w:val="auto"/>
        </w:rPr>
      </w:pPr>
      <w:r>
        <w:rPr>
          <w:rFonts w:ascii="Arial" w:cs="Arial" w:eastAsia="Arial" w:hAnsi="Arial"/>
          <w:sz w:val="18"/>
          <w:szCs w:val="18"/>
          <w:color w:val="auto"/>
        </w:rPr>
        <w:t>In the ordinary course of its business, the Company may enter into contracts or agreements that contain indemnifications or warranties. Future events could occur that lead to the execution of these provisions against the Company. Based on its history and experience, management believes that the likelihood of such an event is remote.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0" w:name="page21"/>
    <w:bookmarkEnd w:id="20"/>
    <w:p>
      <w:pPr>
        <w:ind w:right="120" w:firstLine="881"/>
        <w:spacing w:after="0" w:line="273" w:lineRule="auto"/>
        <w:rPr>
          <w:sz w:val="20"/>
          <w:szCs w:val="20"/>
          <w:color w:val="auto"/>
        </w:rPr>
      </w:pPr>
      <w:r>
        <w:rPr>
          <w:rFonts w:ascii="Arial" w:cs="Arial" w:eastAsia="Arial" w:hAnsi="Arial"/>
          <w:sz w:val="17"/>
          <w:szCs w:val="17"/>
          <w:color w:val="auto"/>
        </w:rPr>
        <w:t>In the ordinary course of business, the Company may directly or indirectly be a defendant or plaintiff in legal actions with respect to bankruptcy, insolvency or other types of proceedings. Such lawsuits may involve claims that could adversely affect the value of certain financial instruments owned by the Company or result in direct losses to the Company. In management’s opinion, no direct losses with respect to litigation contingencies were probable of occurring as of September 30, 2015 and December 31, 2014. Management is of the opinion that the ultimate resolution of such claims will not materially affect the company’s business, financial position, results of operations or liquidity. Furthermore, in management’s opinion, it is not possible to estimate a range of reasonably possible losses with respect to other litigation contingencies.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40" w:firstLine="881"/>
        <w:spacing w:after="0" w:line="286" w:lineRule="auto"/>
        <w:rPr>
          <w:sz w:val="20"/>
          <w:szCs w:val="20"/>
          <w:color w:val="auto"/>
        </w:rPr>
      </w:pPr>
      <w:r>
        <w:rPr>
          <w:rFonts w:ascii="Arial" w:cs="Arial" w:eastAsia="Arial" w:hAnsi="Arial"/>
          <w:sz w:val="17"/>
          <w:szCs w:val="17"/>
          <w:color w:val="auto"/>
        </w:rPr>
        <w:t>The Company has elected to be treated for U.S. federal income tax purposes, and intends to comply with the requirement to qualify annually thereafter, as a RIC under Subchapter M of the Code and, among other things, intends to make the requisite distributions to its stockholders which will relieve the Company from U.S. federal income taxes. Therefore, no provision has been recorded for U.S. federal income taxes.</w:t>
      </w:r>
    </w:p>
    <w:p>
      <w:pPr>
        <w:spacing w:after="0" w:line="166" w:lineRule="exact"/>
        <w:rPr>
          <w:sz w:val="20"/>
          <w:szCs w:val="20"/>
          <w:color w:val="auto"/>
        </w:rPr>
      </w:pPr>
    </w:p>
    <w:p>
      <w:pPr>
        <w:ind w:right="60" w:firstLine="881"/>
        <w:spacing w:after="0" w:line="259" w:lineRule="auto"/>
        <w:rPr>
          <w:sz w:val="20"/>
          <w:szCs w:val="20"/>
          <w:color w:val="auto"/>
        </w:rPr>
      </w:pPr>
      <w:r>
        <w:rPr>
          <w:rFonts w:ascii="Arial" w:cs="Arial" w:eastAsia="Arial" w:hAnsi="Arial"/>
          <w:sz w:val="18"/>
          <w:szCs w:val="18"/>
          <w:color w:val="auto"/>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spacing w:after="0" w:line="187" w:lineRule="exact"/>
        <w:rPr>
          <w:sz w:val="20"/>
          <w:szCs w:val="20"/>
          <w:color w:val="auto"/>
        </w:rPr>
      </w:pPr>
    </w:p>
    <w:p>
      <w:pPr>
        <w:ind w:right="120" w:firstLine="881"/>
        <w:spacing w:after="0" w:line="279" w:lineRule="auto"/>
        <w:rPr>
          <w:sz w:val="20"/>
          <w:szCs w:val="20"/>
          <w:color w:val="auto"/>
        </w:rPr>
      </w:pPr>
      <w:r>
        <w:rPr>
          <w:rFonts w:ascii="Arial" w:cs="Arial" w:eastAsia="Arial" w:hAnsi="Arial"/>
          <w:sz w:val="17"/>
          <w:szCs w:val="17"/>
          <w:color w:val="auto"/>
        </w:rPr>
        <w:t>Depending on the level of taxable income earned in a tax year, the Company may choose to carry forward taxable income in excess of current year dividend distributions into the next tax year and pay a 4.0% excise tax on such income, as required. To the extent that the Company determines that it’s estimated current year annual taxable income will be in excess of estimated current year dividend distributions for excise tax purposes, the Company accrues excise tax, if any, on estimated excess taxable income as taxable income is earned.</w:t>
      </w:r>
    </w:p>
    <w:p>
      <w:pPr>
        <w:spacing w:after="0" w:line="171" w:lineRule="exact"/>
        <w:rPr>
          <w:sz w:val="20"/>
          <w:szCs w:val="20"/>
          <w:color w:val="auto"/>
        </w:rPr>
      </w:pPr>
    </w:p>
    <w:p>
      <w:pPr>
        <w:ind w:firstLine="881"/>
        <w:spacing w:after="0" w:line="272" w:lineRule="auto"/>
        <w:rPr>
          <w:sz w:val="20"/>
          <w:szCs w:val="20"/>
          <w:color w:val="auto"/>
        </w:rPr>
      </w:pPr>
      <w:r>
        <w:rPr>
          <w:rFonts w:ascii="Arial" w:cs="Arial" w:eastAsia="Arial" w:hAnsi="Arial"/>
          <w:sz w:val="17"/>
          <w:szCs w:val="17"/>
          <w:color w:val="auto"/>
        </w:rPr>
        <w:t>In accordance with certain applicable Treasury regulations and private letter rulings issued by the Internal Revenue Service, a RIC may treat a distribution of its own stock as fulfilling its RIC distribution requirements if each stockholder may elect to receive his or her entire distribution in either cash or stock of the RIC subject to a limitation on the aggregate amount of cash to be distributed to all stockholders, which limitation must be at least 20.0% of the aggregate declared distribution. If too many stockholders elect to receive cash, each stockholder electing to receive cash will receive a pro rata amount of cash (with the balance of the distribution paid in stock). In no event will any stockholder, electing to receive cash, receive less than 20.0% of his or her entire distribution in cash. If these and certain other requirements are met, for U.S federal income tax purposes, the amount of the dividend paid in stock will be equal to the amount of cash that could have been received instead of stock.</w:t>
      </w:r>
    </w:p>
    <w:p>
      <w:pPr>
        <w:spacing w:after="0" w:line="178" w:lineRule="exact"/>
        <w:rPr>
          <w:sz w:val="20"/>
          <w:szCs w:val="20"/>
          <w:color w:val="auto"/>
        </w:rPr>
      </w:pPr>
    </w:p>
    <w:p>
      <w:pPr>
        <w:ind w:right="80" w:firstLine="881"/>
        <w:spacing w:after="0" w:line="273" w:lineRule="auto"/>
        <w:rPr>
          <w:sz w:val="20"/>
          <w:szCs w:val="20"/>
          <w:color w:val="auto"/>
        </w:rPr>
      </w:pPr>
      <w:r>
        <w:rPr>
          <w:rFonts w:ascii="Arial" w:cs="Arial" w:eastAsia="Arial" w:hAnsi="Arial"/>
          <w:sz w:val="17"/>
          <w:szCs w:val="17"/>
          <w:color w:val="auto"/>
        </w:rPr>
        <w:t xml:space="preserve">ASC Topic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provides guidance for how uncertain tax positions should be recognized, measured, presented and disclosed in the consolidated financial statements. ASC 740 requires the evaluation of tax positions taken or expected to be taken in the course of preparing the Company’s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September 30, 2015 and December 31, 2014, there were no uncertain tax positions.</w:t>
      </w:r>
    </w:p>
    <w:p>
      <w:pPr>
        <w:spacing w:after="0" w:line="178" w:lineRule="exact"/>
        <w:rPr>
          <w:sz w:val="20"/>
          <w:szCs w:val="20"/>
          <w:color w:val="auto"/>
        </w:rPr>
      </w:pPr>
    </w:p>
    <w:p>
      <w:pPr>
        <w:ind w:right="80" w:firstLine="881"/>
        <w:spacing w:after="0" w:line="302" w:lineRule="auto"/>
        <w:rPr>
          <w:sz w:val="20"/>
          <w:szCs w:val="20"/>
          <w:color w:val="auto"/>
        </w:rPr>
      </w:pPr>
      <w:r>
        <w:rPr>
          <w:rFonts w:ascii="Arial" w:cs="Arial" w:eastAsia="Arial" w:hAnsi="Arial"/>
          <w:sz w:val="16"/>
          <w:szCs w:val="16"/>
          <w:color w:val="auto"/>
        </w:rPr>
        <w:t>The Company is required to determine whether a tax position of the Company is more likely-than-not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could have a negative impact on the Company’s net assets.</w:t>
      </w:r>
    </w:p>
    <w:p>
      <w:pPr>
        <w:spacing w:after="0" w:line="154" w:lineRule="exact"/>
        <w:rPr>
          <w:sz w:val="20"/>
          <w:szCs w:val="20"/>
          <w:color w:val="auto"/>
        </w:rPr>
      </w:pPr>
    </w:p>
    <w:p>
      <w:pPr>
        <w:ind w:right="220" w:firstLine="881"/>
        <w:spacing w:after="0" w:line="277" w:lineRule="auto"/>
        <w:rPr>
          <w:sz w:val="20"/>
          <w:szCs w:val="20"/>
          <w:color w:val="auto"/>
        </w:rPr>
      </w:pPr>
      <w:r>
        <w:rPr>
          <w:rFonts w:ascii="Arial" w:cs="Arial" w:eastAsia="Arial" w:hAnsi="Arial"/>
          <w:sz w:val="18"/>
          <w:szCs w:val="18"/>
          <w:color w:val="auto"/>
        </w:rPr>
        <w:t>U.S. GAAP provides guidance on thresholds, measurement, de-recognition, classification, interest and penalties, accounting in interim periods, disclosure, and transition that is intended to provide better financial statement comparability among different entities.</w:t>
      </w:r>
    </w:p>
    <w:p>
      <w:pPr>
        <w:spacing w:after="0" w:line="170" w:lineRule="exact"/>
        <w:rPr>
          <w:sz w:val="20"/>
          <w:szCs w:val="20"/>
          <w:color w:val="auto"/>
        </w:rPr>
      </w:pPr>
    </w:p>
    <w:p>
      <w:pPr>
        <w:ind w:right="200" w:firstLine="881"/>
        <w:spacing w:after="0" w:line="259" w:lineRule="auto"/>
        <w:rPr>
          <w:sz w:val="20"/>
          <w:szCs w:val="20"/>
          <w:color w:val="auto"/>
        </w:rPr>
      </w:pPr>
      <w:r>
        <w:rPr>
          <w:rFonts w:ascii="Arial" w:cs="Arial" w:eastAsia="Arial" w:hAnsi="Arial"/>
          <w:sz w:val="18"/>
          <w:szCs w:val="18"/>
          <w:color w:val="auto"/>
        </w:rPr>
        <w:t>The Company’s activities since commencement of operations remain subject to examination by U.S. federal, state, and local tax authorities. No interest expense or penalties have been assessed for the three and nine months ended September 30, 2015 and September 30, 2014. If the Company were required to recognize interest and penalties, if any, related to unrecognized tax benefits this would be recognized as income tax expense in the consolidated statement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200" w:firstLine="881"/>
        <w:spacing w:after="0" w:line="342" w:lineRule="auto"/>
        <w:rPr>
          <w:sz w:val="20"/>
          <w:szCs w:val="20"/>
          <w:color w:val="auto"/>
        </w:rPr>
      </w:pPr>
      <w:r>
        <w:rPr>
          <w:rFonts w:ascii="Arial" w:cs="Arial" w:eastAsia="Arial" w:hAnsi="Arial"/>
          <w:sz w:val="16"/>
          <w:szCs w:val="16"/>
          <w:color w:val="auto"/>
        </w:rPr>
        <w:t>Dividends to common stockholders are recorded as payable on the declaration date. The amount to be paid out as a dividend is approved by the Board. Net capital gains, if any, are generally distributed at least annually, although we may decide to retain such capital gains for reinvestment.</w:t>
      </w:r>
    </w:p>
    <w:p>
      <w:pPr>
        <w:spacing w:after="0" w:line="124" w:lineRule="exact"/>
        <w:rPr>
          <w:sz w:val="20"/>
          <w:szCs w:val="20"/>
          <w:color w:val="auto"/>
        </w:rPr>
      </w:pPr>
    </w:p>
    <w:p>
      <w:pPr>
        <w:ind w:right="100" w:firstLine="881"/>
        <w:spacing w:after="0" w:line="279" w:lineRule="auto"/>
        <w:rPr>
          <w:sz w:val="20"/>
          <w:szCs w:val="20"/>
          <w:color w:val="auto"/>
        </w:rPr>
      </w:pPr>
      <w:r>
        <w:rPr>
          <w:rFonts w:ascii="Arial" w:cs="Arial" w:eastAsia="Arial" w:hAnsi="Arial"/>
          <w:sz w:val="17"/>
          <w:szCs w:val="17"/>
          <w:color w:val="auto"/>
        </w:rPr>
        <w:t>The Company has adopted an “opt out” dividend reinvestment plan for common stockholders. As a result, if the Company declares a cash dividend or other distribution, each stockholder that has not “opted out” of the dividend reinvestment plan will have its dividends automatically reinvested in additional shares of the Company’s common stock rather than receiving cash dividends. Stockholders who receive distributions in the form of shares of common stock will be subject to the same federal, state and local tax consequences as if they received cash distributions.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Company Investment Risk, Concentration of Credit Risk, and Liquidity Risk</w:t>
      </w:r>
    </w:p>
    <w:p>
      <w:pPr>
        <w:spacing w:after="0" w:line="229" w:lineRule="exact"/>
        <w:rPr>
          <w:sz w:val="20"/>
          <w:szCs w:val="20"/>
          <w:color w:val="auto"/>
        </w:rPr>
      </w:pPr>
    </w:p>
    <w:p>
      <w:pPr>
        <w:ind w:right="220" w:firstLine="881"/>
        <w:spacing w:after="0" w:line="302" w:lineRule="auto"/>
        <w:rPr>
          <w:sz w:val="20"/>
          <w:szCs w:val="20"/>
          <w:color w:val="auto"/>
        </w:rPr>
      </w:pPr>
      <w:r>
        <w:rPr>
          <w:rFonts w:ascii="Arial" w:cs="Arial" w:eastAsia="Arial" w:hAnsi="Arial"/>
          <w:sz w:val="16"/>
          <w:szCs w:val="16"/>
          <w:color w:val="auto"/>
        </w:rPr>
        <w:t>The Investment Advisor has broad discretion in making investments for the Company. Investments will generally consist of debt and equity instruments that may be affected by business, financial market or legal uncertainties. Prices of investments may be volatile, and a variety of factors that are inherently difficult to predict, such as domestic or international economic and political developments, may significantly affect the results of the Company’s activities and the value of its investments. In addition, the value of the Company’s portfolio may fluctuate as the general level of interest rates fluctuate.</w:t>
      </w:r>
    </w:p>
    <w:p>
      <w:pPr>
        <w:spacing w:after="0" w:line="154" w:lineRule="exact"/>
        <w:rPr>
          <w:sz w:val="20"/>
          <w:szCs w:val="20"/>
          <w:color w:val="auto"/>
        </w:rPr>
      </w:pPr>
    </w:p>
    <w:p>
      <w:pPr>
        <w:ind w:right="140" w:firstLine="881"/>
        <w:spacing w:after="0" w:line="279" w:lineRule="auto"/>
        <w:rPr>
          <w:sz w:val="20"/>
          <w:szCs w:val="20"/>
          <w:color w:val="auto"/>
        </w:rPr>
      </w:pPr>
      <w:r>
        <w:rPr>
          <w:rFonts w:ascii="Arial" w:cs="Arial" w:eastAsia="Arial" w:hAnsi="Arial"/>
          <w:sz w:val="17"/>
          <w:szCs w:val="17"/>
          <w:color w:val="auto"/>
        </w:rPr>
        <w:t>The value of the Company’s debt investments may be detrimentally affected to the extent, among other things, that a borrower defaults on its obligations, there is insufficient collateral and/or there are extensive legal and other costs incurred in collecting on a defaulted loan, observable secondary or primary market yields for similar instruments issued by comparable companies increase materially or risk premiums required in the market between smaller companies, such as our borrowers, and those for which market yields are observable increase materially.</w:t>
      </w:r>
    </w:p>
    <w:p>
      <w:pPr>
        <w:spacing w:after="0" w:line="171" w:lineRule="exact"/>
        <w:rPr>
          <w:sz w:val="20"/>
          <w:szCs w:val="20"/>
          <w:color w:val="auto"/>
        </w:rPr>
      </w:pPr>
    </w:p>
    <w:p>
      <w:pPr>
        <w:ind w:right="440" w:firstLine="881"/>
        <w:spacing w:after="0" w:line="277" w:lineRule="auto"/>
        <w:rPr>
          <w:sz w:val="20"/>
          <w:szCs w:val="20"/>
          <w:color w:val="auto"/>
        </w:rPr>
      </w:pPr>
      <w:r>
        <w:rPr>
          <w:rFonts w:ascii="Arial" w:cs="Arial" w:eastAsia="Arial" w:hAnsi="Arial"/>
          <w:sz w:val="18"/>
          <w:szCs w:val="18"/>
          <w:color w:val="auto"/>
        </w:rPr>
        <w:t>The Investment Advisor may attempt to minimize this risk by maintaining low debt-to-liquidation values with each debt investment and the collateral underlying the debt investment.</w:t>
      </w:r>
    </w:p>
    <w:p>
      <w:pPr>
        <w:spacing w:after="0" w:line="170" w:lineRule="exact"/>
        <w:rPr>
          <w:sz w:val="20"/>
          <w:szCs w:val="20"/>
          <w:color w:val="auto"/>
        </w:rPr>
      </w:pPr>
    </w:p>
    <w:p>
      <w:pPr>
        <w:jc w:val="both"/>
        <w:ind w:right="80" w:firstLine="881"/>
        <w:spacing w:after="0" w:line="286" w:lineRule="auto"/>
        <w:rPr>
          <w:sz w:val="20"/>
          <w:szCs w:val="20"/>
          <w:color w:val="auto"/>
        </w:rPr>
      </w:pPr>
      <w:r>
        <w:rPr>
          <w:rFonts w:ascii="Arial" w:cs="Arial" w:eastAsia="Arial" w:hAnsi="Arial"/>
          <w:sz w:val="17"/>
          <w:szCs w:val="17"/>
          <w:color w:val="auto"/>
        </w:rPr>
        <w:t>The Company’s assets may, at any time, include securities and other financial instruments or obligations that are illiquid or thinly traded, making purchase or sale of such securities and financial instruments at desired prices or in desired quantities difficult. Furthermore, the sale of any such investments may be possible only at substantial discounts, and it may be extremely difficult to value any such investments accurately.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Recent Accounting Pronouncements</w:t>
      </w:r>
    </w:p>
    <w:p>
      <w:pPr>
        <w:spacing w:after="0" w:line="229" w:lineRule="exact"/>
        <w:rPr>
          <w:sz w:val="20"/>
          <w:szCs w:val="20"/>
          <w:color w:val="auto"/>
        </w:rPr>
      </w:pPr>
    </w:p>
    <w:p>
      <w:pPr>
        <w:ind w:right="20" w:firstLine="881"/>
        <w:spacing w:after="0" w:line="255" w:lineRule="auto"/>
        <w:rPr>
          <w:sz w:val="20"/>
          <w:szCs w:val="20"/>
          <w:color w:val="auto"/>
        </w:rPr>
      </w:pPr>
      <w:r>
        <w:rPr>
          <w:rFonts w:ascii="Arial" w:cs="Arial" w:eastAsia="Arial" w:hAnsi="Arial"/>
          <w:sz w:val="18"/>
          <w:szCs w:val="18"/>
          <w:color w:val="auto"/>
        </w:rPr>
        <w:t xml:space="preserve">In June 2013, the FASB issued ASU No. 2013-08, </w:t>
      </w:r>
      <w:r>
        <w:rPr>
          <w:rFonts w:ascii="Arial" w:cs="Arial" w:eastAsia="Arial" w:hAnsi="Arial"/>
          <w:sz w:val="18"/>
          <w:szCs w:val="18"/>
          <w:i w:val="1"/>
          <w:iCs w:val="1"/>
          <w:color w:val="auto"/>
        </w:rPr>
        <w:t>“Financial Services – Investment Companies (Topic 946), Amendments to the Scope,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 and Disclosure Requirements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amendments in this accounting standards update affect the scope, measurement, and disclosure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for investment companies under U.S. GAAP, and clarify the characteristics of an investment company, provide comprehensive guidance for assessing whether an entity is an investment company, require that an investment company measure non-controlling ownership interests in other investment companies at fair value rather than using the equity method of accounting, and require additional disclosures. This standard is effective for interim and annual reporting periods in fiscal years that begin after December 15, 2013. The Company has adopted this standard and the required disclosures are presented in the consolidated financial statements.</w:t>
      </w:r>
    </w:p>
    <w:p>
      <w:pPr>
        <w:spacing w:after="0" w:line="189" w:lineRule="exact"/>
        <w:rPr>
          <w:sz w:val="20"/>
          <w:szCs w:val="20"/>
          <w:color w:val="auto"/>
        </w:rPr>
      </w:pPr>
    </w:p>
    <w:p>
      <w:pPr>
        <w:ind w:firstLine="881"/>
        <w:spacing w:after="0" w:line="255" w:lineRule="auto"/>
        <w:rPr>
          <w:sz w:val="20"/>
          <w:szCs w:val="20"/>
          <w:color w:val="auto"/>
        </w:rPr>
      </w:pPr>
      <w:r>
        <w:rPr>
          <w:rFonts w:ascii="Arial" w:cs="Arial" w:eastAsia="Arial" w:hAnsi="Arial"/>
          <w:sz w:val="18"/>
          <w:szCs w:val="18"/>
          <w:color w:val="auto"/>
        </w:rPr>
        <w:t xml:space="preserve">In April 2015, the FASB has issued Accounting Standards Update “ASU” No. 2015-03, </w:t>
      </w:r>
      <w:r>
        <w:rPr>
          <w:rFonts w:ascii="Arial" w:cs="Arial" w:eastAsia="Arial" w:hAnsi="Arial"/>
          <w:sz w:val="18"/>
          <w:szCs w:val="18"/>
          <w:i w:val="1"/>
          <w:iCs w:val="1"/>
          <w:color w:val="auto"/>
        </w:rPr>
        <w:t>Interest - Imputation of Interest (Subtopic 835-30):</w:t>
      </w:r>
      <w:r>
        <w:rPr>
          <w:rFonts w:ascii="Arial" w:cs="Arial" w:eastAsia="Arial" w:hAnsi="Arial"/>
          <w:sz w:val="18"/>
          <w:szCs w:val="18"/>
          <w:color w:val="auto"/>
        </w:rPr>
        <w:t xml:space="preserve"> </w:t>
      </w:r>
      <w:r>
        <w:rPr>
          <w:rFonts w:ascii="Arial" w:cs="Arial" w:eastAsia="Arial" w:hAnsi="Arial"/>
          <w:sz w:val="18"/>
          <w:szCs w:val="18"/>
          <w:i w:val="1"/>
          <w:iCs w:val="1"/>
          <w:color w:val="auto"/>
        </w:rPr>
        <w:t>Simplifying the Presentation of Debt Issuance Costs (“ASU 2015-03”)</w:t>
      </w:r>
      <w:r>
        <w:rPr>
          <w:rFonts w:ascii="Arial" w:cs="Arial" w:eastAsia="Arial" w:hAnsi="Arial"/>
          <w:sz w:val="18"/>
          <w:szCs w:val="18"/>
          <w:color w:val="auto"/>
        </w:rPr>
        <w:t>. ASU 2015-03 requires that debt issuance costs related to a recognized debt liability be</w:t>
      </w:r>
      <w:r>
        <w:rPr>
          <w:rFonts w:ascii="Arial" w:cs="Arial" w:eastAsia="Arial" w:hAnsi="Arial"/>
          <w:sz w:val="18"/>
          <w:szCs w:val="18"/>
          <w:i w:val="1"/>
          <w:iCs w:val="1"/>
          <w:color w:val="auto"/>
        </w:rPr>
        <w:t xml:space="preserve"> </w:t>
      </w:r>
      <w:r>
        <w:rPr>
          <w:rFonts w:ascii="Arial" w:cs="Arial" w:eastAsia="Arial" w:hAnsi="Arial"/>
          <w:sz w:val="18"/>
          <w:szCs w:val="18"/>
          <w:color w:val="auto"/>
        </w:rPr>
        <w:t>presented in the balance sheet as a direct deduction from the carrying amount of that debt liability, consistent with debt discounts. The recognition and measurement guidance for debt issuance costs are not affected by the amendments in this ASU. ASU 2015-03 is effective for fiscal years that begin after December 15, 2015 and early adoption is permitted. Management is currently evaluating the impact these changes will have on the Company’s consolidated financial statements and disclosures.</w:t>
      </w:r>
    </w:p>
    <w:p>
      <w:pPr>
        <w:spacing w:after="0" w:line="193" w:lineRule="exact"/>
        <w:rPr>
          <w:sz w:val="20"/>
          <w:szCs w:val="20"/>
          <w:color w:val="auto"/>
        </w:rPr>
      </w:pPr>
    </w:p>
    <w:p>
      <w:pPr>
        <w:ind w:right="120" w:firstLine="881"/>
        <w:spacing w:after="0" w:line="276" w:lineRule="auto"/>
        <w:rPr>
          <w:sz w:val="20"/>
          <w:szCs w:val="20"/>
          <w:color w:val="auto"/>
        </w:rPr>
      </w:pPr>
      <w:r>
        <w:rPr>
          <w:rFonts w:ascii="Arial" w:cs="Arial" w:eastAsia="Arial" w:hAnsi="Arial"/>
          <w:sz w:val="17"/>
          <w:szCs w:val="17"/>
          <w:color w:val="auto"/>
        </w:rPr>
        <w:t xml:space="preserve">In May 2015, the FASB issued ASU No. 2015-07, </w:t>
      </w:r>
      <w:r>
        <w:rPr>
          <w:rFonts w:ascii="Arial" w:cs="Arial" w:eastAsia="Arial" w:hAnsi="Arial"/>
          <w:sz w:val="17"/>
          <w:szCs w:val="17"/>
          <w:i w:val="1"/>
          <w:iCs w:val="1"/>
          <w:color w:val="auto"/>
        </w:rPr>
        <w:t>Fair Value Measurement (Topic 820) – Disclosures for Investments in Certain Entities That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Calculate Net Asset Value per Share. </w:t>
      </w:r>
      <w:r>
        <w:rPr>
          <w:rFonts w:ascii="Arial" w:cs="Arial" w:eastAsia="Arial" w:hAnsi="Arial"/>
          <w:sz w:val="17"/>
          <w:szCs w:val="17"/>
          <w:color w:val="auto"/>
        </w:rPr>
        <w:t>ASU 2015-07 permits a reporting entity, as a practical expedient, to measure the fair value of certain investments using</w:t>
      </w:r>
      <w:r>
        <w:rPr>
          <w:rFonts w:ascii="Arial" w:cs="Arial" w:eastAsia="Arial" w:hAnsi="Arial"/>
          <w:sz w:val="17"/>
          <w:szCs w:val="17"/>
          <w:i w:val="1"/>
          <w:iCs w:val="1"/>
          <w:color w:val="auto"/>
        </w:rPr>
        <w:t xml:space="preserve"> </w:t>
      </w:r>
      <w:r>
        <w:rPr>
          <w:rFonts w:ascii="Arial" w:cs="Arial" w:eastAsia="Arial" w:hAnsi="Arial"/>
          <w:sz w:val="17"/>
          <w:szCs w:val="17"/>
          <w:color w:val="auto"/>
        </w:rPr>
        <w:t>the net asset value per share of the investment and provides guidance on required disclosures for such investments. The standard is effective for interim and annual reporting periods in fiscal years that begin after December 15, 2015 and early adoption is permitted. Management is currently evaluating the impact these changes will have on the Company’s consolidated financial statements and disclosures.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Investments</w:t>
      </w:r>
    </w:p>
    <w:p>
      <w:pPr>
        <w:spacing w:after="0" w:line="229" w:lineRule="exact"/>
        <w:rPr>
          <w:sz w:val="20"/>
          <w:szCs w:val="20"/>
          <w:color w:val="auto"/>
        </w:rPr>
      </w:pPr>
    </w:p>
    <w:p>
      <w:pPr>
        <w:ind w:right="20" w:firstLine="881"/>
        <w:spacing w:after="0" w:line="255" w:lineRule="auto"/>
        <w:rPr>
          <w:sz w:val="20"/>
          <w:szCs w:val="20"/>
          <w:color w:val="auto"/>
        </w:rPr>
      </w:pPr>
      <w:r>
        <w:rPr>
          <w:rFonts w:ascii="Arial" w:cs="Arial" w:eastAsia="Arial" w:hAnsi="Arial"/>
          <w:sz w:val="18"/>
          <w:szCs w:val="18"/>
          <w:color w:val="auto"/>
        </w:rPr>
        <w:t>The Company’s investment objective is to generate both current income and capital appreciation through debt and equity investments. Both directly and through our subsidiaries that are licensed by the SBA under the SBIC Act, we offer customized financing to business owners, management teams and financial sponsors for change of ownership transactions, recapitalizations, strategic acquisitions, business expansion and other growth initiatives. We invest primarily in traditional mezzanine, senior subordinated and unitranche debt, as well as senior and second-lien loans and, to a lesser extent, equity securities issued by smaller and lower middle-market companies. As of September 30, 2015, our portfolio consisted of investments in 58 portfolio companies with a fair value of approximately $588.2 million.</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6"/>
          <w:szCs w:val="16"/>
          <w:color w:val="auto"/>
        </w:rPr>
        <w:t>During the three months ended September 30, 2015, the Company made approximately $55.6 million of investments and had approximately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$34.7 million in repayments resulting in net investments of approximately $20.9 million for the period. During the three months ended September 30, 2014,</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Company made approximately $86.7 million of investments and had approximately $44.7 million in repayments resulting in net investments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approximately $42.0 million for the period.</w:t>
      </w:r>
    </w:p>
    <w:p>
      <w:pPr>
        <w:spacing w:after="0" w:line="21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During the nine months ended September 30, 2015, the Company made approximately $225.6 million of investments and had approximately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$126.6 million in repayments resulting in net investments of approximately $99.0 million for the period. During the nine months ended September 30, 2014,</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Company made approximately $150.3 million of investments and had approximately $64.8 million in repayments resulting in net investments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approximately $85.5 million for the period.</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2" w:name="page23"/>
    <w:bookmarkEnd w:id="22"/>
    <w:p>
      <w:pPr>
        <w:ind w:firstLine="881"/>
        <w:spacing w:after="0" w:line="290" w:lineRule="auto"/>
        <w:rPr>
          <w:sz w:val="20"/>
          <w:szCs w:val="20"/>
          <w:color w:val="auto"/>
        </w:rPr>
      </w:pPr>
      <w:r>
        <w:rPr>
          <w:rFonts w:ascii="Arial" w:cs="Arial" w:eastAsia="Arial" w:hAnsi="Arial"/>
          <w:sz w:val="16"/>
          <w:szCs w:val="16"/>
          <w:color w:val="auto"/>
        </w:rPr>
        <w:t>During the three and nine months ended September 30, 2015, the Company funded $10.8 million and $52.4 million, respectively, of previous committed capital to existing portfolio companies. During the three and nine months ended September 30, 2015, the Company funded $44.8 million and $173.2 million, respectively, of investments in portfolio companies for which it was not previously committed to provide the financial support. During the three and nine months ended September 30, 2014, all investments were made to portfolio companies in which the Company was not previously obligated to provide financial support. In addition to investing directly in portfolio companies, the Company may assist portfolio companies in securing financing from other sources by introducing portfolio companies to sponsors or by leading a syndicate of investors to provide the portfolio companies with financing. During the three and nine months ended September 30, 2015, the Company assisted one company in securing financing from other sources as part of a unitranche loan syndication. During the nine months ended September 30, 2014, the Company assisted one company in securing financing from other sources.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composition of our investments as of September 30, 2015, at amortized cost and fair value were as follows (dollars in thousands):</w:t>
      </w:r>
    </w:p>
    <w:p>
      <w:pPr>
        <w:spacing w:after="0" w:line="221"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150"/>
              <w:spacing w:after="0"/>
              <w:rPr>
                <w:sz w:val="20"/>
                <w:szCs w:val="20"/>
                <w:color w:val="auto"/>
              </w:rPr>
            </w:pPr>
            <w:r>
              <w:rPr>
                <w:rFonts w:ascii="Arial" w:cs="Arial" w:eastAsia="Arial" w:hAnsi="Arial"/>
                <w:sz w:val="18"/>
                <w:szCs w:val="18"/>
                <w:b w:val="1"/>
                <w:bCs w:val="1"/>
                <w:color w:val="auto"/>
                <w:w w:val="91"/>
              </w:rPr>
              <w:t>Amortized Cost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1400" w:type="dxa"/>
            <w:vAlign w:val="bottom"/>
            <w:gridSpan w:val="3"/>
          </w:tcPr>
          <w:p>
            <w:pPr>
              <w:ind w:left="60"/>
              <w:spacing w:after="0"/>
              <w:rPr>
                <w:sz w:val="20"/>
                <w:szCs w:val="20"/>
                <w:color w:val="auto"/>
              </w:rPr>
            </w:pPr>
            <w:r>
              <w:rPr>
                <w:rFonts w:ascii="Arial" w:cs="Arial" w:eastAsia="Arial" w:hAnsi="Arial"/>
                <w:sz w:val="18"/>
                <w:szCs w:val="18"/>
                <w:b w:val="1"/>
                <w:bCs w:val="1"/>
                <w:color w:val="auto"/>
              </w:rPr>
              <w:t>Investments at</w:t>
            </w:r>
          </w:p>
        </w:tc>
        <w:tc>
          <w:tcPr>
            <w:tcW w:w="146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87"/>
              </w:rPr>
              <w:t>Percentage of</w:t>
            </w: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Investments at</w:t>
            </w:r>
          </w:p>
        </w:tc>
        <w:tc>
          <w:tcPr>
            <w:tcW w:w="128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7"/>
              </w:rPr>
              <w:t>Percentage of</w:t>
            </w:r>
          </w:p>
        </w:tc>
        <w:tc>
          <w:tcPr>
            <w:tcW w:w="0" w:type="dxa"/>
            <w:vAlign w:val="bottom"/>
          </w:tcPr>
          <w:p>
            <w:pPr>
              <w:spacing w:after="0"/>
              <w:rPr>
                <w:sz w:val="1"/>
                <w:szCs w:val="1"/>
                <w:color w:val="auto"/>
              </w:rPr>
            </w:pPr>
          </w:p>
        </w:tc>
      </w:tr>
      <w:tr>
        <w:trPr>
          <w:trHeight w:val="234"/>
        </w:trPr>
        <w:tc>
          <w:tcPr>
            <w:tcW w:w="4600" w:type="dxa"/>
            <w:vAlign w:val="bottom"/>
          </w:tcPr>
          <w:p>
            <w:pPr>
              <w:spacing w:after="0"/>
              <w:rPr>
                <w:sz w:val="20"/>
                <w:szCs w:val="20"/>
                <w:color w:val="auto"/>
              </w:rPr>
            </w:pPr>
          </w:p>
        </w:tc>
        <w:tc>
          <w:tcPr>
            <w:tcW w:w="1400" w:type="dxa"/>
            <w:vAlign w:val="bottom"/>
            <w:gridSpan w:val="3"/>
          </w:tcPr>
          <w:p>
            <w:pPr>
              <w:ind w:left="20"/>
              <w:spacing w:after="0"/>
              <w:rPr>
                <w:sz w:val="20"/>
                <w:szCs w:val="20"/>
                <w:color w:val="auto"/>
              </w:rPr>
            </w:pPr>
            <w:r>
              <w:rPr>
                <w:rFonts w:ascii="Arial" w:cs="Arial" w:eastAsia="Arial" w:hAnsi="Arial"/>
                <w:sz w:val="18"/>
                <w:szCs w:val="18"/>
                <w:b w:val="1"/>
                <w:bCs w:val="1"/>
                <w:color w:val="auto"/>
              </w:rPr>
              <w:t>Amortized Cost</w:t>
            </w:r>
          </w:p>
        </w:tc>
        <w:tc>
          <w:tcPr>
            <w:tcW w:w="146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91"/>
              </w:rPr>
              <w:t>Total Portfolio</w:t>
            </w:r>
          </w:p>
        </w:tc>
        <w:tc>
          <w:tcPr>
            <w:tcW w:w="12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5"/>
              </w:rPr>
              <w:t>Fair Value</w:t>
            </w:r>
          </w:p>
        </w:tc>
        <w:tc>
          <w:tcPr>
            <w:tcW w:w="1280" w:type="dxa"/>
            <w:vAlign w:val="bottom"/>
            <w:gridSpan w:val="2"/>
          </w:tcPr>
          <w:p>
            <w:pPr>
              <w:jc w:val="center"/>
              <w:ind w:right="50"/>
              <w:spacing w:after="0"/>
              <w:rPr>
                <w:sz w:val="20"/>
                <w:szCs w:val="20"/>
                <w:color w:val="auto"/>
              </w:rPr>
            </w:pPr>
            <w:r>
              <w:rPr>
                <w:rFonts w:ascii="Arial" w:cs="Arial" w:eastAsia="Arial" w:hAnsi="Arial"/>
                <w:sz w:val="18"/>
                <w:szCs w:val="18"/>
                <w:b w:val="1"/>
                <w:bCs w:val="1"/>
                <w:color w:val="auto"/>
                <w:w w:val="90"/>
              </w:rPr>
              <w:t>Total Portfolio</w:t>
            </w:r>
          </w:p>
        </w:tc>
        <w:tc>
          <w:tcPr>
            <w:tcW w:w="0" w:type="dxa"/>
            <w:vAlign w:val="bottom"/>
          </w:tcPr>
          <w:p>
            <w:pPr>
              <w:spacing w:after="0"/>
              <w:rPr>
                <w:sz w:val="1"/>
                <w:szCs w:val="1"/>
                <w:color w:val="auto"/>
              </w:rPr>
            </w:pPr>
          </w:p>
        </w:tc>
      </w:tr>
      <w:tr>
        <w:trPr>
          <w:trHeight w:val="20"/>
        </w:trPr>
        <w:tc>
          <w:tcPr>
            <w:tcW w:w="46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Senior Secured Debt</w:t>
            </w:r>
          </w:p>
        </w:tc>
        <w:tc>
          <w:tcPr>
            <w:tcW w:w="3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218,140</w:t>
            </w:r>
          </w:p>
        </w:tc>
        <w:tc>
          <w:tcPr>
            <w:tcW w:w="200" w:type="dxa"/>
            <w:vAlign w:val="bottom"/>
            <w:vMerge w:val="continue"/>
            <w:shd w:val="clear" w:color="auto" w:fill="CCEEFF"/>
          </w:tcPr>
          <w:p>
            <w:pPr>
              <w:spacing w:after="0"/>
              <w:rPr>
                <w:sz w:val="18"/>
                <w:szCs w:val="18"/>
                <w:color w:val="auto"/>
              </w:rPr>
            </w:pPr>
          </w:p>
        </w:tc>
        <w:tc>
          <w:tcPr>
            <w:tcW w:w="14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39.4%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215,633</w:t>
            </w:r>
          </w:p>
        </w:tc>
        <w:tc>
          <w:tcPr>
            <w:tcW w:w="180" w:type="dxa"/>
            <w:vAlign w:val="bottom"/>
            <w:vMerge w:val="continue"/>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Subordinated Debt</w:t>
            </w:r>
          </w:p>
        </w:tc>
        <w:tc>
          <w:tcPr>
            <w:tcW w:w="3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261,967</w:t>
            </w:r>
          </w:p>
        </w:tc>
        <w:tc>
          <w:tcPr>
            <w:tcW w:w="1460" w:type="dxa"/>
            <w:vAlign w:val="bottom"/>
            <w:gridSpan w:val="2"/>
          </w:tcPr>
          <w:p>
            <w:pPr>
              <w:jc w:val="right"/>
              <w:ind w:right="170"/>
              <w:spacing w:after="0"/>
              <w:rPr>
                <w:sz w:val="20"/>
                <w:szCs w:val="20"/>
                <w:color w:val="auto"/>
              </w:rPr>
            </w:pPr>
            <w:r>
              <w:rPr>
                <w:rFonts w:ascii="Arial" w:cs="Arial" w:eastAsia="Arial" w:hAnsi="Arial"/>
                <w:sz w:val="18"/>
                <w:szCs w:val="18"/>
                <w:color w:val="auto"/>
              </w:rPr>
              <w:t>47.4</w:t>
            </w: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260,303</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Equity and Warrants</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53,221</w:t>
            </w:r>
          </w:p>
        </w:tc>
        <w:tc>
          <w:tcPr>
            <w:tcW w:w="1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92,704</w:t>
            </w:r>
          </w:p>
        </w:tc>
        <w:tc>
          <w:tcPr>
            <w:tcW w:w="12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Capitala Senior Liquid Loan Fund I, LLC</w:t>
            </w:r>
          </w:p>
        </w:tc>
        <w:tc>
          <w:tcPr>
            <w:tcW w:w="3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20,000</w:t>
            </w:r>
          </w:p>
        </w:tc>
        <w:tc>
          <w:tcPr>
            <w:tcW w:w="1460" w:type="dxa"/>
            <w:vAlign w:val="bottom"/>
            <w:gridSpan w:val="2"/>
          </w:tcPr>
          <w:p>
            <w:pPr>
              <w:jc w:val="right"/>
              <w:ind w:right="17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19,577</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4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553,328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588,217</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composition of our investments as of December 31, 2014, at amortized cost and fair value were as follows (dollars in thousands):</w:t>
      </w:r>
    </w:p>
    <w:p>
      <w:pPr>
        <w:spacing w:after="0" w:line="221"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150"/>
              <w:spacing w:after="0"/>
              <w:rPr>
                <w:sz w:val="20"/>
                <w:szCs w:val="20"/>
                <w:color w:val="auto"/>
              </w:rPr>
            </w:pPr>
            <w:r>
              <w:rPr>
                <w:rFonts w:ascii="Arial" w:cs="Arial" w:eastAsia="Arial" w:hAnsi="Arial"/>
                <w:sz w:val="18"/>
                <w:szCs w:val="18"/>
                <w:b w:val="1"/>
                <w:bCs w:val="1"/>
                <w:color w:val="auto"/>
                <w:w w:val="91"/>
              </w:rPr>
              <w:t>Amortized Cost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1400" w:type="dxa"/>
            <w:vAlign w:val="bottom"/>
            <w:gridSpan w:val="3"/>
          </w:tcPr>
          <w:p>
            <w:pPr>
              <w:ind w:left="60"/>
              <w:spacing w:after="0"/>
              <w:rPr>
                <w:sz w:val="20"/>
                <w:szCs w:val="20"/>
                <w:color w:val="auto"/>
              </w:rPr>
            </w:pPr>
            <w:r>
              <w:rPr>
                <w:rFonts w:ascii="Arial" w:cs="Arial" w:eastAsia="Arial" w:hAnsi="Arial"/>
                <w:sz w:val="18"/>
                <w:szCs w:val="18"/>
                <w:b w:val="1"/>
                <w:bCs w:val="1"/>
                <w:color w:val="auto"/>
              </w:rPr>
              <w:t>Investments at</w:t>
            </w:r>
          </w:p>
        </w:tc>
        <w:tc>
          <w:tcPr>
            <w:tcW w:w="146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87"/>
              </w:rPr>
              <w:t>Percentage of</w:t>
            </w: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Investments at</w:t>
            </w:r>
          </w:p>
        </w:tc>
        <w:tc>
          <w:tcPr>
            <w:tcW w:w="12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7"/>
              </w:rPr>
              <w:t>Percentage of</w:t>
            </w:r>
          </w:p>
        </w:tc>
        <w:tc>
          <w:tcPr>
            <w:tcW w:w="0" w:type="dxa"/>
            <w:vAlign w:val="bottom"/>
          </w:tcPr>
          <w:p>
            <w:pPr>
              <w:spacing w:after="0"/>
              <w:rPr>
                <w:sz w:val="1"/>
                <w:szCs w:val="1"/>
                <w:color w:val="auto"/>
              </w:rPr>
            </w:pPr>
          </w:p>
        </w:tc>
      </w:tr>
      <w:tr>
        <w:trPr>
          <w:trHeight w:val="234"/>
        </w:trPr>
        <w:tc>
          <w:tcPr>
            <w:tcW w:w="4600" w:type="dxa"/>
            <w:vAlign w:val="bottom"/>
          </w:tcPr>
          <w:p>
            <w:pPr>
              <w:spacing w:after="0"/>
              <w:rPr>
                <w:sz w:val="20"/>
                <w:szCs w:val="20"/>
                <w:color w:val="auto"/>
              </w:rPr>
            </w:pPr>
          </w:p>
        </w:tc>
        <w:tc>
          <w:tcPr>
            <w:tcW w:w="1400" w:type="dxa"/>
            <w:vAlign w:val="bottom"/>
            <w:gridSpan w:val="3"/>
          </w:tcPr>
          <w:p>
            <w:pPr>
              <w:ind w:left="20"/>
              <w:spacing w:after="0"/>
              <w:rPr>
                <w:sz w:val="20"/>
                <w:szCs w:val="20"/>
                <w:color w:val="auto"/>
              </w:rPr>
            </w:pPr>
            <w:r>
              <w:rPr>
                <w:rFonts w:ascii="Arial" w:cs="Arial" w:eastAsia="Arial" w:hAnsi="Arial"/>
                <w:sz w:val="18"/>
                <w:szCs w:val="18"/>
                <w:b w:val="1"/>
                <w:bCs w:val="1"/>
                <w:color w:val="auto"/>
              </w:rPr>
              <w:t>Amortized Cost</w:t>
            </w:r>
          </w:p>
        </w:tc>
        <w:tc>
          <w:tcPr>
            <w:tcW w:w="146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91"/>
              </w:rPr>
              <w:t>Total Portfolio</w:t>
            </w:r>
          </w:p>
        </w:tc>
        <w:tc>
          <w:tcPr>
            <w:tcW w:w="12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5"/>
              </w:rPr>
              <w:t>Fair Value</w:t>
            </w: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Total Portfolio</w:t>
            </w:r>
          </w:p>
        </w:tc>
        <w:tc>
          <w:tcPr>
            <w:tcW w:w="0" w:type="dxa"/>
            <w:vAlign w:val="bottom"/>
          </w:tcPr>
          <w:p>
            <w:pPr>
              <w:spacing w:after="0"/>
              <w:rPr>
                <w:sz w:val="1"/>
                <w:szCs w:val="1"/>
                <w:color w:val="auto"/>
              </w:rPr>
            </w:pPr>
          </w:p>
        </w:tc>
      </w:tr>
      <w:tr>
        <w:trPr>
          <w:trHeight w:val="20"/>
        </w:trPr>
        <w:tc>
          <w:tcPr>
            <w:tcW w:w="46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Senior Secured Debt</w:t>
            </w:r>
          </w:p>
        </w:tc>
        <w:tc>
          <w:tcPr>
            <w:tcW w:w="3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6"/>
              </w:rPr>
              <w:t>146,399</w:t>
            </w:r>
          </w:p>
        </w:tc>
        <w:tc>
          <w:tcPr>
            <w:tcW w:w="200" w:type="dxa"/>
            <w:vAlign w:val="bottom"/>
            <w:vMerge w:val="continue"/>
            <w:shd w:val="clear" w:color="auto" w:fill="CCEEFF"/>
          </w:tcPr>
          <w:p>
            <w:pPr>
              <w:spacing w:after="0"/>
              <w:rPr>
                <w:sz w:val="18"/>
                <w:szCs w:val="18"/>
                <w:color w:val="auto"/>
              </w:rPr>
            </w:pPr>
          </w:p>
        </w:tc>
        <w:tc>
          <w:tcPr>
            <w:tcW w:w="14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33.2%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146,314</w:t>
            </w:r>
          </w:p>
        </w:tc>
        <w:tc>
          <w:tcPr>
            <w:tcW w:w="180" w:type="dxa"/>
            <w:vAlign w:val="bottom"/>
            <w:vMerge w:val="continue"/>
            <w:shd w:val="clear" w:color="auto" w:fill="CCEEFF"/>
          </w:tcPr>
          <w:p>
            <w:pPr>
              <w:spacing w:after="0"/>
              <w:rPr>
                <w:sz w:val="18"/>
                <w:szCs w:val="18"/>
                <w:color w:val="auto"/>
              </w:rPr>
            </w:pP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Subordinated Debt</w:t>
            </w:r>
          </w:p>
        </w:tc>
        <w:tc>
          <w:tcPr>
            <w:tcW w:w="360" w:type="dxa"/>
            <w:vAlign w:val="bottom"/>
          </w:tcPr>
          <w:p>
            <w:pPr>
              <w:spacing w:after="0"/>
              <w:rPr>
                <w:sz w:val="18"/>
                <w:szCs w:val="18"/>
                <w:color w:val="auto"/>
              </w:rPr>
            </w:pPr>
          </w:p>
        </w:tc>
        <w:tc>
          <w:tcPr>
            <w:tcW w:w="1040" w:type="dxa"/>
            <w:vAlign w:val="bottom"/>
            <w:gridSpan w:val="2"/>
          </w:tcPr>
          <w:p>
            <w:pPr>
              <w:ind w:left="260"/>
              <w:spacing w:after="0"/>
              <w:rPr>
                <w:sz w:val="20"/>
                <w:szCs w:val="20"/>
                <w:color w:val="auto"/>
              </w:rPr>
            </w:pPr>
            <w:r>
              <w:rPr>
                <w:rFonts w:ascii="Arial" w:cs="Arial" w:eastAsia="Arial" w:hAnsi="Arial"/>
                <w:sz w:val="18"/>
                <w:szCs w:val="18"/>
                <w:color w:val="auto"/>
              </w:rPr>
              <w:t>231,901</w:t>
            </w:r>
          </w:p>
        </w:tc>
        <w:tc>
          <w:tcPr>
            <w:tcW w:w="1460" w:type="dxa"/>
            <w:vAlign w:val="bottom"/>
            <w:gridSpan w:val="2"/>
          </w:tcPr>
          <w:p>
            <w:pPr>
              <w:jc w:val="right"/>
              <w:ind w:right="170"/>
              <w:spacing w:after="0"/>
              <w:rPr>
                <w:sz w:val="20"/>
                <w:szCs w:val="20"/>
                <w:color w:val="auto"/>
              </w:rPr>
            </w:pPr>
            <w:r>
              <w:rPr>
                <w:rFonts w:ascii="Arial" w:cs="Arial" w:eastAsia="Arial" w:hAnsi="Arial"/>
                <w:sz w:val="18"/>
                <w:szCs w:val="18"/>
                <w:color w:val="auto"/>
              </w:rPr>
              <w:t>52.6</w:t>
            </w: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222,300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46.3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Equity and Warrants</w:t>
            </w:r>
          </w:p>
        </w:tc>
        <w:tc>
          <w:tcPr>
            <w:tcW w:w="3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62,855</w:t>
            </w:r>
          </w:p>
        </w:tc>
        <w:tc>
          <w:tcPr>
            <w:tcW w:w="1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111,723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tcPr>
          <w:p>
            <w:pPr>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w w:val="86"/>
              </w:rPr>
              <w:t>441,155</w:t>
            </w:r>
          </w:p>
        </w:tc>
        <w:tc>
          <w:tcPr>
            <w:tcW w:w="20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480,337</w:t>
            </w:r>
          </w:p>
        </w:tc>
        <w:tc>
          <w:tcPr>
            <w:tcW w:w="18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881"/>
        <w:spacing w:after="0" w:line="264" w:lineRule="auto"/>
        <w:rPr>
          <w:sz w:val="20"/>
          <w:szCs w:val="20"/>
          <w:color w:val="auto"/>
        </w:rPr>
      </w:pPr>
      <w:r>
        <w:rPr>
          <w:rFonts w:ascii="Arial" w:cs="Arial" w:eastAsia="Arial" w:hAnsi="Arial"/>
          <w:sz w:val="18"/>
          <w:szCs w:val="18"/>
          <w:color w:val="auto"/>
        </w:rPr>
        <w:t>As noted above, the Company values all investments in accordance with ASC 820. ASC 820 requires enhanced disclosures about assets and liabilities that are measured and reported at fair value. As defined in ASC 820, fair value is the price that would be received to sell an asset or paid to transfer a liability in an orderly transaction between market participants at the measurement date.</w:t>
      </w:r>
    </w:p>
    <w:p>
      <w:pPr>
        <w:spacing w:after="0" w:line="181" w:lineRule="exact"/>
        <w:rPr>
          <w:sz w:val="20"/>
          <w:szCs w:val="20"/>
          <w:color w:val="auto"/>
        </w:rPr>
      </w:pPr>
    </w:p>
    <w:p>
      <w:pPr>
        <w:ind w:right="280" w:firstLine="881"/>
        <w:spacing w:after="0" w:line="302" w:lineRule="auto"/>
        <w:rPr>
          <w:sz w:val="20"/>
          <w:szCs w:val="20"/>
          <w:color w:val="auto"/>
        </w:rPr>
      </w:pPr>
      <w:r>
        <w:rPr>
          <w:rFonts w:ascii="Arial" w:cs="Arial" w:eastAsia="Arial" w:hAnsi="Arial"/>
          <w:sz w:val="16"/>
          <w:szCs w:val="16"/>
          <w:color w:val="auto"/>
        </w:rPr>
        <w:t>ASC 820 establishes a hierarchal disclosure framework which prioritizes and ranks the level of market price observability of inputs used in measuring investments at fair value.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154" w:lineRule="exact"/>
        <w:rPr>
          <w:sz w:val="20"/>
          <w:szCs w:val="20"/>
          <w:color w:val="auto"/>
        </w:rPr>
      </w:pPr>
    </w:p>
    <w:p>
      <w:pPr>
        <w:ind w:right="160" w:firstLine="881"/>
        <w:spacing w:after="0" w:line="264" w:lineRule="auto"/>
        <w:rPr>
          <w:sz w:val="20"/>
          <w:szCs w:val="20"/>
          <w:color w:val="auto"/>
        </w:rPr>
      </w:pPr>
      <w:r>
        <w:rPr>
          <w:rFonts w:ascii="Arial" w:cs="Arial" w:eastAsia="Arial" w:hAnsi="Arial"/>
          <w:sz w:val="18"/>
          <w:szCs w:val="18"/>
          <w:color w:val="auto"/>
        </w:rPr>
        <w:t>Based on the observability of the inputs used in the valuation techniques, the Company is required to provide disclosures on fair value measurements according to the fair value hierarchy. The fair value hierarchy ranks the observability of the inputs used to determine fair values. Investments carried at fair value are classified and disclosed in one of the following three categories:</w:t>
      </w:r>
    </w:p>
    <w:p>
      <w:pPr>
        <w:spacing w:after="0" w:line="181" w:lineRule="exact"/>
        <w:rPr>
          <w:sz w:val="20"/>
          <w:szCs w:val="20"/>
          <w:color w:val="auto"/>
        </w:rPr>
      </w:pPr>
    </w:p>
    <w:p>
      <w:pPr>
        <w:ind w:left="1580" w:right="500" w:hanging="532"/>
        <w:spacing w:after="0" w:line="277" w:lineRule="auto"/>
        <w:tabs>
          <w:tab w:leader="none" w:pos="1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1—Valuations based on quoted prices in active markets for identical assets or liabilities that the Company has the ability to access.</w:t>
      </w:r>
    </w:p>
    <w:p>
      <w:pPr>
        <w:spacing w:after="0" w:line="170" w:lineRule="exact"/>
        <w:rPr>
          <w:rFonts w:ascii="Arial" w:cs="Arial" w:eastAsia="Arial" w:hAnsi="Arial"/>
          <w:sz w:val="18"/>
          <w:szCs w:val="18"/>
          <w:color w:val="auto"/>
        </w:rPr>
      </w:pPr>
    </w:p>
    <w:p>
      <w:pPr>
        <w:ind w:left="1580" w:hanging="532"/>
        <w:spacing w:after="0"/>
        <w:tabs>
          <w:tab w:leader="none" w:pos="1580"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Level 2—Valuations based on inputs other than quoted prices in active markets, which are either directly or indirectly observable.</w:t>
      </w:r>
    </w:p>
    <w:p>
      <w:pPr>
        <w:spacing w:after="0" w:line="236" w:lineRule="exact"/>
        <w:rPr>
          <w:rFonts w:ascii="Arial" w:cs="Arial" w:eastAsia="Arial" w:hAnsi="Arial"/>
          <w:sz w:val="17"/>
          <w:szCs w:val="17"/>
          <w:color w:val="auto"/>
        </w:rPr>
      </w:pPr>
    </w:p>
    <w:p>
      <w:pPr>
        <w:ind w:left="1580" w:hanging="532"/>
        <w:spacing w:after="0"/>
        <w:tabs>
          <w:tab w:leader="none" w:pos="1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jc w:val="both"/>
        <w:ind w:firstLine="881"/>
        <w:spacing w:after="0" w:line="264" w:lineRule="auto"/>
        <w:rPr>
          <w:sz w:val="20"/>
          <w:szCs w:val="20"/>
          <w:color w:val="auto"/>
        </w:rPr>
      </w:pPr>
      <w:r>
        <w:rPr>
          <w:rFonts w:ascii="Arial" w:cs="Arial" w:eastAsia="Arial" w:hAnsi="Arial"/>
          <w:sz w:val="18"/>
          <w:szCs w:val="18"/>
          <w:color w:val="auto"/>
        </w:rPr>
        <w:t>In addition to using the above inputs in investment valuations, the Company continues to employ the valuation policy approved by the Board that is consistent with ASC 820 (See Note 2). Consistent with the Company’s valuation policy, the Company evaluates the source of inputs, including any markets in which our investments are trading, in determining fair value.</w:t>
      </w:r>
    </w:p>
    <w:p>
      <w:pPr>
        <w:spacing w:after="0" w:line="181" w:lineRule="exact"/>
        <w:rPr>
          <w:sz w:val="20"/>
          <w:szCs w:val="20"/>
          <w:color w:val="auto"/>
        </w:rPr>
      </w:pPr>
    </w:p>
    <w:p>
      <w:pPr>
        <w:ind w:right="60" w:firstLine="881"/>
        <w:spacing w:after="0" w:line="286" w:lineRule="auto"/>
        <w:rPr>
          <w:sz w:val="20"/>
          <w:szCs w:val="20"/>
          <w:color w:val="auto"/>
        </w:rPr>
      </w:pPr>
      <w:r>
        <w:rPr>
          <w:rFonts w:ascii="Arial" w:cs="Arial" w:eastAsia="Arial" w:hAnsi="Arial"/>
          <w:sz w:val="17"/>
          <w:szCs w:val="17"/>
          <w:color w:val="auto"/>
        </w:rPr>
        <w:t>In estimating fair value of portfolio investments, the Company starts with the cost basis of the investment, which includes original issue discount or premium and payment-in-kind income, if any. The transaction price is typically the best estimate of fair value at inception. When evidence supports a subsequent change to the carrying value from the original transaction price, adjustments are made to reflect the expected fair values.</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23" w:name="page24"/>
    <w:bookmarkEnd w:id="23"/>
    <w:p>
      <w:pPr>
        <w:ind w:right="60" w:firstLine="881"/>
        <w:spacing w:after="0" w:line="277" w:lineRule="auto"/>
        <w:rPr>
          <w:sz w:val="20"/>
          <w:szCs w:val="20"/>
          <w:color w:val="auto"/>
        </w:rPr>
      </w:pPr>
      <w:r>
        <w:rPr>
          <w:rFonts w:ascii="Arial" w:cs="Arial" w:eastAsia="Arial" w:hAnsi="Arial"/>
          <w:sz w:val="18"/>
          <w:szCs w:val="18"/>
          <w:color w:val="auto"/>
        </w:rPr>
        <w:t>The following table presents fair value measurements of investments, by major class, as of September 30, 2015 (dollars in thousands), according to the fair value hierarchy:</w:t>
      </w:r>
    </w:p>
    <w:p>
      <w:pPr>
        <w:spacing w:after="0" w:line="180"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5"/>
          </w:tcPr>
          <w:p>
            <w:pPr>
              <w:ind w:left="60"/>
              <w:spacing w:after="0"/>
              <w:rPr>
                <w:sz w:val="20"/>
                <w:szCs w:val="20"/>
                <w:color w:val="auto"/>
              </w:rPr>
            </w:pPr>
            <w:r>
              <w:rPr>
                <w:rFonts w:ascii="Arial" w:cs="Arial" w:eastAsia="Arial" w:hAnsi="Arial"/>
                <w:sz w:val="18"/>
                <w:szCs w:val="18"/>
                <w:b w:val="1"/>
                <w:bCs w:val="1"/>
                <w:color w:val="auto"/>
              </w:rPr>
              <w:t>Fair Value Measurements</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19"/>
                <w:szCs w:val="19"/>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19"/>
                <w:szCs w:val="19"/>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Level 3</w:t>
            </w:r>
          </w:p>
        </w:tc>
        <w:tc>
          <w:tcPr>
            <w:tcW w:w="240" w:type="dxa"/>
            <w:vAlign w:val="bottom"/>
          </w:tcPr>
          <w:p>
            <w:pPr>
              <w:spacing w:after="0"/>
              <w:rPr>
                <w:sz w:val="19"/>
                <w:szCs w:val="19"/>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100" w:type="dxa"/>
            <w:vAlign w:val="bottom"/>
            <w:gridSpan w:val="2"/>
          </w:tcPr>
          <w:p>
            <w:pPr>
              <w:spacing w:after="0"/>
              <w:rPr>
                <w:sz w:val="19"/>
                <w:szCs w:val="19"/>
                <w:color w:val="auto"/>
              </w:rPr>
            </w:pPr>
          </w:p>
        </w:tc>
      </w:tr>
      <w:tr>
        <w:trPr>
          <w:trHeight w:val="210"/>
        </w:trPr>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Senior Secured Debt</w:t>
            </w: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215,633</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215,633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Subordinated Debt</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260,303</w:t>
            </w:r>
          </w:p>
        </w:tc>
        <w:tc>
          <w:tcPr>
            <w:tcW w:w="2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260,303</w:t>
            </w:r>
          </w:p>
        </w:tc>
        <w:tc>
          <w:tcPr>
            <w:tcW w:w="80" w:type="dxa"/>
            <w:vAlign w:val="bottom"/>
          </w:tcPr>
          <w:p>
            <w:pPr>
              <w:spacing w:after="0"/>
              <w:rPr>
                <w:sz w:val="18"/>
                <w:szCs w:val="18"/>
                <w:color w:val="auto"/>
              </w:rPr>
            </w:pPr>
          </w:p>
        </w:tc>
      </w:tr>
      <w:tr>
        <w:trPr>
          <w:trHeight w:val="270"/>
        </w:trPr>
        <w:tc>
          <w:tcPr>
            <w:tcW w:w="4940" w:type="dxa"/>
            <w:vAlign w:val="bottom"/>
            <w:shd w:val="clear" w:color="auto" w:fill="CCEEFF"/>
          </w:tcPr>
          <w:p>
            <w:pPr>
              <w:spacing w:after="0" w:line="269" w:lineRule="exact"/>
              <w:rPr>
                <w:sz w:val="20"/>
                <w:szCs w:val="20"/>
                <w:color w:val="auto"/>
              </w:rPr>
            </w:pPr>
            <w:r>
              <w:rPr>
                <w:rFonts w:ascii="Arial" w:cs="Arial" w:eastAsia="Arial" w:hAnsi="Arial"/>
                <w:sz w:val="18"/>
                <w:szCs w:val="18"/>
                <w:color w:val="auto"/>
              </w:rPr>
              <w:t xml:space="preserve">Equity and Warrants </w:t>
            </w:r>
            <w:r>
              <w:rPr>
                <w:rFonts w:ascii="Arial" w:cs="Arial" w:eastAsia="Arial" w:hAnsi="Arial"/>
                <w:sz w:val="30"/>
                <w:szCs w:val="30"/>
                <w:color w:val="auto"/>
                <w:vertAlign w:val="superscript"/>
              </w:rPr>
              <w:t>(1)</w:t>
            </w:r>
          </w:p>
        </w:tc>
        <w:tc>
          <w:tcPr>
            <w:tcW w:w="18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1,755</w:t>
            </w:r>
          </w:p>
        </w:tc>
        <w:tc>
          <w:tcPr>
            <w:tcW w:w="14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90,949</w:t>
            </w:r>
          </w:p>
        </w:tc>
        <w:tc>
          <w:tcPr>
            <w:tcW w:w="240" w:type="dxa"/>
            <w:vAlign w:val="bottom"/>
            <w:shd w:val="clear" w:color="auto" w:fill="CCEEFF"/>
          </w:tcPr>
          <w:p>
            <w:pPr>
              <w:spacing w:after="0"/>
              <w:rPr>
                <w:sz w:val="23"/>
                <w:szCs w:val="23"/>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92,704</w:t>
            </w:r>
          </w:p>
        </w:tc>
      </w:tr>
      <w:tr>
        <w:trPr>
          <w:trHeight w:val="223"/>
        </w:trPr>
        <w:tc>
          <w:tcPr>
            <w:tcW w:w="494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1,755</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566,885</w:t>
            </w: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568,640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1300" w:right="50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Excludes $19.6 million fair value associated with our investment in CSLLF, measured using net asset value. Because the Company’s investment in CSLLF is not redeemable, CSLLF is considered a Level 3 measurement.</w:t>
      </w:r>
    </w:p>
    <w:p>
      <w:pPr>
        <w:spacing w:after="0" w:line="170" w:lineRule="exact"/>
        <w:rPr>
          <w:sz w:val="20"/>
          <w:szCs w:val="20"/>
          <w:color w:val="auto"/>
        </w:rPr>
      </w:pPr>
    </w:p>
    <w:p>
      <w:pPr>
        <w:ind w:right="80" w:firstLine="881"/>
        <w:spacing w:after="0" w:line="277" w:lineRule="auto"/>
        <w:rPr>
          <w:sz w:val="20"/>
          <w:szCs w:val="20"/>
          <w:color w:val="auto"/>
        </w:rPr>
      </w:pPr>
      <w:r>
        <w:rPr>
          <w:rFonts w:ascii="Arial" w:cs="Arial" w:eastAsia="Arial" w:hAnsi="Arial"/>
          <w:sz w:val="18"/>
          <w:szCs w:val="18"/>
          <w:color w:val="auto"/>
        </w:rPr>
        <w:t>The following table presents fair value measurements of investments, by major class, as of December 31, 2014 (dollars in thousands), according to the fair value hierarchy:</w:t>
      </w:r>
    </w:p>
    <w:p>
      <w:pPr>
        <w:spacing w:after="0" w:line="180"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5"/>
          </w:tcPr>
          <w:p>
            <w:pPr>
              <w:ind w:left="60"/>
              <w:spacing w:after="0"/>
              <w:rPr>
                <w:sz w:val="20"/>
                <w:szCs w:val="20"/>
                <w:color w:val="auto"/>
              </w:rPr>
            </w:pPr>
            <w:r>
              <w:rPr>
                <w:rFonts w:ascii="Arial" w:cs="Arial" w:eastAsia="Arial" w:hAnsi="Arial"/>
                <w:sz w:val="18"/>
                <w:szCs w:val="18"/>
                <w:b w:val="1"/>
                <w:bCs w:val="1"/>
                <w:color w:val="auto"/>
              </w:rPr>
              <w:t>Fair Value Measurements</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19"/>
                <w:szCs w:val="19"/>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19"/>
                <w:szCs w:val="19"/>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Level 3</w:t>
            </w:r>
          </w:p>
        </w:tc>
        <w:tc>
          <w:tcPr>
            <w:tcW w:w="240" w:type="dxa"/>
            <w:vAlign w:val="bottom"/>
          </w:tcPr>
          <w:p>
            <w:pPr>
              <w:spacing w:after="0"/>
              <w:rPr>
                <w:sz w:val="19"/>
                <w:szCs w:val="19"/>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100" w:type="dxa"/>
            <w:vAlign w:val="bottom"/>
            <w:gridSpan w:val="2"/>
          </w:tcPr>
          <w:p>
            <w:pPr>
              <w:spacing w:after="0"/>
              <w:rPr>
                <w:sz w:val="19"/>
                <w:szCs w:val="19"/>
                <w:color w:val="auto"/>
              </w:rPr>
            </w:pPr>
          </w:p>
        </w:tc>
      </w:tr>
      <w:tr>
        <w:trPr>
          <w:trHeight w:val="210"/>
        </w:trPr>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Senior Secured Debt</w:t>
            </w: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146,314</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146,314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Subordinated Debt</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222,300</w:t>
            </w:r>
          </w:p>
        </w:tc>
        <w:tc>
          <w:tcPr>
            <w:tcW w:w="2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222,300</w:t>
            </w:r>
          </w:p>
        </w:tc>
        <w:tc>
          <w:tcPr>
            <w:tcW w:w="80" w:type="dxa"/>
            <w:vAlign w:val="bottom"/>
          </w:tcPr>
          <w:p>
            <w:pPr>
              <w:spacing w:after="0"/>
              <w:rPr>
                <w:sz w:val="18"/>
                <w:szCs w:val="18"/>
                <w:color w:val="auto"/>
              </w:rPr>
            </w:pPr>
          </w:p>
        </w:tc>
      </w:tr>
      <w:tr>
        <w:trPr>
          <w:trHeight w:val="23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Equity and Warrants</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10,920</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100,803</w:t>
            </w:r>
          </w:p>
        </w:tc>
        <w:tc>
          <w:tcPr>
            <w:tcW w:w="24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111,723</w:t>
            </w:r>
          </w:p>
        </w:tc>
      </w:tr>
      <w:tr>
        <w:trPr>
          <w:trHeight w:val="223"/>
        </w:trPr>
        <w:tc>
          <w:tcPr>
            <w:tcW w:w="494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10,920</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469,417</w:t>
            </w: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480,337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881"/>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balances for investments that use Level 3 inputs for the nine months ended September 30, 2015 (dollars in thousands):</w:t>
      </w:r>
    </w:p>
    <w:p>
      <w:pPr>
        <w:spacing w:after="0" w:line="166" w:lineRule="exact"/>
        <w:rPr>
          <w:sz w:val="20"/>
          <w:szCs w:val="20"/>
          <w:color w:val="auto"/>
        </w:rPr>
      </w:pPr>
    </w:p>
    <w:tbl>
      <w:tblPr>
        <w:tblLayout w:type="fixed"/>
        <w:tblInd w:w="520" w:type="dxa"/>
        <w:tblCellMar>
          <w:top w:w="0" w:type="dxa"/>
          <w:left w:w="0" w:type="dxa"/>
          <w:bottom w:w="0" w:type="dxa"/>
          <w:right w:w="0" w:type="dxa"/>
        </w:tblCellMar>
      </w:tblPr>
      <w:tr>
        <w:trPr>
          <w:trHeight w:val="221"/>
        </w:trPr>
        <w:tc>
          <w:tcPr>
            <w:tcW w:w="4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Senior</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Equity</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4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Secured</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3"/>
              </w:rPr>
              <w:t>Subordinated</w:t>
            </w:r>
          </w:p>
        </w:tc>
        <w:tc>
          <w:tcPr>
            <w:tcW w:w="20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and</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70"/>
        </w:trPr>
        <w:tc>
          <w:tcPr>
            <w:tcW w:w="4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Debt</w:t>
            </w:r>
          </w:p>
        </w:tc>
        <w:tc>
          <w:tcPr>
            <w:tcW w:w="240" w:type="dxa"/>
            <w:vAlign w:val="bottom"/>
          </w:tcPr>
          <w:p>
            <w:pPr>
              <w:spacing w:after="0"/>
              <w:rPr>
                <w:sz w:val="23"/>
                <w:szCs w:val="23"/>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Debt</w:t>
            </w:r>
          </w:p>
        </w:tc>
        <w:tc>
          <w:tcPr>
            <w:tcW w:w="1280" w:type="dxa"/>
            <w:vAlign w:val="bottom"/>
            <w:gridSpan w:val="3"/>
          </w:tcPr>
          <w:p>
            <w:pPr>
              <w:jc w:val="center"/>
              <w:ind w:right="160"/>
              <w:spacing w:after="0" w:line="269" w:lineRule="exact"/>
              <w:rPr>
                <w:sz w:val="20"/>
                <w:szCs w:val="20"/>
                <w:color w:val="auto"/>
              </w:rPr>
            </w:pPr>
            <w:r>
              <w:rPr>
                <w:rFonts w:ascii="Arial" w:cs="Arial" w:eastAsia="Arial" w:hAnsi="Arial"/>
                <w:sz w:val="18"/>
                <w:szCs w:val="18"/>
                <w:b w:val="1"/>
                <w:bCs w:val="1"/>
                <w:color w:val="auto"/>
                <w:w w:val="89"/>
              </w:rPr>
              <w:t xml:space="preserve">Warrants </w:t>
            </w:r>
            <w:r>
              <w:rPr>
                <w:rFonts w:ascii="Arial" w:cs="Arial" w:eastAsia="Arial" w:hAnsi="Arial"/>
                <w:sz w:val="30"/>
                <w:szCs w:val="30"/>
                <w:b w:val="1"/>
                <w:bCs w:val="1"/>
                <w:color w:val="auto"/>
                <w:w w:val="89"/>
                <w:vertAlign w:val="superscript"/>
              </w:rPr>
              <w:t>(1)</w:t>
            </w:r>
          </w:p>
        </w:tc>
        <w:tc>
          <w:tcPr>
            <w:tcW w:w="240" w:type="dxa"/>
            <w:vAlign w:val="bottom"/>
          </w:tcPr>
          <w:p>
            <w:pPr>
              <w:spacing w:after="0"/>
              <w:rPr>
                <w:sz w:val="23"/>
                <w:szCs w:val="23"/>
                <w:color w:val="auto"/>
              </w:rPr>
            </w:pPr>
          </w:p>
        </w:tc>
        <w:tc>
          <w:tcPr>
            <w:tcW w:w="96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Total</w:t>
            </w:r>
          </w:p>
        </w:tc>
      </w:tr>
      <w:tr>
        <w:trPr>
          <w:trHeight w:val="210"/>
        </w:trPr>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2015</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146,314</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222,300</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100,803</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469,417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Repayments</w:t>
            </w:r>
          </w:p>
        </w:tc>
        <w:tc>
          <w:tcPr>
            <w:tcW w:w="1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(24,651)</w:t>
            </w:r>
          </w:p>
        </w:tc>
        <w:tc>
          <w:tcPr>
            <w:tcW w:w="2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(58,376)</w:t>
            </w: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(30,585)</w:t>
            </w:r>
          </w:p>
        </w:tc>
        <w:tc>
          <w:tcPr>
            <w:tcW w:w="24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(113,612)</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Purchases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95,412</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102,601</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7,591</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205,604</w:t>
            </w:r>
          </w:p>
        </w:tc>
        <w:tc>
          <w:tcPr>
            <w:tcW w:w="80" w:type="dxa"/>
            <w:vAlign w:val="bottom"/>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Payment in-kind interest and dividends</w:t>
            </w: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1,680</w:t>
            </w:r>
          </w:p>
        </w:tc>
        <w:tc>
          <w:tcPr>
            <w:tcW w:w="2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1,255</w:t>
            </w:r>
          </w:p>
        </w:tc>
        <w:tc>
          <w:tcPr>
            <w:tcW w:w="2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623</w:t>
            </w:r>
          </w:p>
        </w:tc>
        <w:tc>
          <w:tcPr>
            <w:tcW w:w="2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3,558</w:t>
            </w:r>
          </w:p>
        </w:tc>
        <w:tc>
          <w:tcPr>
            <w:tcW w:w="8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Accretion of original issue discount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284</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180</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465</w:t>
            </w:r>
          </w:p>
        </w:tc>
        <w:tc>
          <w:tcPr>
            <w:tcW w:w="80" w:type="dxa"/>
            <w:vAlign w:val="bottom"/>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Realized gain/(loss) from investments</w:t>
            </w:r>
          </w:p>
        </w:tc>
        <w:tc>
          <w:tcPr>
            <w:tcW w:w="1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(985)</w:t>
            </w:r>
          </w:p>
        </w:tc>
        <w:tc>
          <w:tcPr>
            <w:tcW w:w="2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(15,595)</w:t>
            </w:r>
          </w:p>
        </w:tc>
        <w:tc>
          <w:tcPr>
            <w:tcW w:w="2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14,756</w:t>
            </w:r>
          </w:p>
        </w:tc>
        <w:tc>
          <w:tcPr>
            <w:tcW w:w="24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(1,824)</w:t>
            </w:r>
          </w:p>
        </w:tc>
      </w:tr>
      <w:tr>
        <w:trPr>
          <w:trHeight w:val="23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appreciation/(depreciation) on investments</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(2,421)</w:t>
            </w: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7,938</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(2,240)</w:t>
            </w: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3,277</w:t>
            </w:r>
          </w:p>
        </w:tc>
        <w:tc>
          <w:tcPr>
            <w:tcW w:w="80" w:type="dxa"/>
            <w:vAlign w:val="bottom"/>
            <w:shd w:val="clear" w:color="auto" w:fill="CCEEFF"/>
          </w:tcPr>
          <w:p>
            <w:pPr>
              <w:spacing w:after="0"/>
              <w:rPr>
                <w:sz w:val="19"/>
                <w:szCs w:val="19"/>
                <w:color w:val="auto"/>
              </w:rPr>
            </w:pPr>
          </w:p>
        </w:tc>
      </w:tr>
      <w:tr>
        <w:trPr>
          <w:trHeight w:val="223"/>
        </w:trPr>
        <w:tc>
          <w:tcPr>
            <w:tcW w:w="4940" w:type="dxa"/>
            <w:vAlign w:val="bottom"/>
          </w:tcPr>
          <w:p>
            <w:pPr>
              <w:spacing w:after="0"/>
              <w:rPr>
                <w:sz w:val="20"/>
                <w:szCs w:val="20"/>
                <w:color w:val="auto"/>
              </w:rPr>
            </w:pPr>
            <w:r>
              <w:rPr>
                <w:rFonts w:ascii="Arial" w:cs="Arial" w:eastAsia="Arial" w:hAnsi="Arial"/>
                <w:sz w:val="18"/>
                <w:szCs w:val="18"/>
                <w:color w:val="auto"/>
              </w:rPr>
              <w:t>Balance as of September 30, 2015</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215,633</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260,303</w:t>
            </w: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90,949</w:t>
            </w: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566,885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1300" w:hanging="644"/>
        <w:spacing w:after="0" w:line="25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Excludes investment activity and fair value associated with our investment in CSLLF. During the nine months ended September 30, 2015, the Company invested $20.0 million in CSLLF. CSLLF had $0.7 million in realized gains, $0.6 million in unrealized depreciation, and $0.5 million of distributions to shareholders for the nine months ended September 30, 2015. Based on CPTA’s 80% ownership of CSLLF, our allocation was approximately $0.5 million in realized gains, $0.5 million in unrealized depreciation, and $0.4 million of distribution for the nine months ended September 30, 2015.</w:t>
      </w:r>
    </w:p>
    <w:p>
      <w:pPr>
        <w:spacing w:after="0" w:line="188" w:lineRule="exact"/>
        <w:rPr>
          <w:sz w:val="20"/>
          <w:szCs w:val="20"/>
          <w:color w:val="auto"/>
        </w:rPr>
      </w:pPr>
    </w:p>
    <w:p>
      <w:pPr>
        <w:ind w:right="220" w:firstLine="881"/>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balances for investments that use Level 3 inputs for the nine months ended September 30, 2014 (dollars in thousands):</w:t>
      </w:r>
    </w:p>
    <w:p>
      <w:pPr>
        <w:spacing w:after="0" w:line="166"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Senior</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Secured</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3"/>
              </w:rPr>
              <w:t>Subordinated</w:t>
            </w:r>
          </w:p>
        </w:tc>
        <w:tc>
          <w:tcPr>
            <w:tcW w:w="14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and</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Debt</w:t>
            </w:r>
          </w:p>
        </w:tc>
        <w:tc>
          <w:tcPr>
            <w:tcW w:w="240" w:type="dxa"/>
            <w:vAlign w:val="bottom"/>
          </w:tcPr>
          <w:p>
            <w:pPr>
              <w:spacing w:after="0"/>
              <w:rPr>
                <w:sz w:val="20"/>
                <w:szCs w:val="20"/>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Debt</w:t>
            </w:r>
          </w:p>
        </w:tc>
        <w:tc>
          <w:tcPr>
            <w:tcW w:w="14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Warrants</w:t>
            </w:r>
          </w:p>
        </w:tc>
        <w:tc>
          <w:tcPr>
            <w:tcW w:w="240" w:type="dxa"/>
            <w:vAlign w:val="bottom"/>
          </w:tcPr>
          <w:p>
            <w:pPr>
              <w:spacing w:after="0"/>
              <w:rPr>
                <w:sz w:val="20"/>
                <w:szCs w:val="20"/>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r>
      <w:tr>
        <w:trPr>
          <w:trHeight w:val="210"/>
        </w:trPr>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2014</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102,071</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133,710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128,938</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364,719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Change in classification due to restructure</w:t>
            </w:r>
          </w:p>
        </w:tc>
        <w:tc>
          <w:tcPr>
            <w:tcW w:w="1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(7,073)</w:t>
            </w:r>
          </w:p>
        </w:tc>
        <w:tc>
          <w:tcPr>
            <w:tcW w:w="2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7,073</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Repayments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(36,300)</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(23,683)</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(4,850)</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(64,833)</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Purchases</w:t>
            </w: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76,345</w:t>
            </w:r>
          </w:p>
        </w:tc>
        <w:tc>
          <w:tcPr>
            <w:tcW w:w="2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69,069</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4,890</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150,304</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Payment in-kind interest and dividends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809</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792</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460</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2,061</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Realized gain/(loss) from investments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(5,059)</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3,686</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(1,373)</w:t>
            </w: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Net unrealized appreciation/(depreciation) on investments</w:t>
            </w:r>
          </w:p>
        </w:tc>
        <w:tc>
          <w:tcPr>
            <w:tcW w:w="1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294</w:t>
            </w:r>
          </w:p>
        </w:tc>
        <w:tc>
          <w:tcPr>
            <w:tcW w:w="2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4,574</w:t>
            </w:r>
          </w:p>
        </w:tc>
        <w:tc>
          <w:tcPr>
            <w:tcW w:w="1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(10,652)</w:t>
            </w:r>
          </w:p>
        </w:tc>
        <w:tc>
          <w:tcPr>
            <w:tcW w:w="2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(5,784)</w:t>
            </w:r>
          </w:p>
        </w:tc>
      </w:tr>
      <w:tr>
        <w:trPr>
          <w:trHeight w:val="223"/>
        </w:trPr>
        <w:tc>
          <w:tcPr>
            <w:tcW w:w="4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September 30, 2014</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136,171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186,483</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122,472</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445,126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24" w:name="page25"/>
    <w:bookmarkEnd w:id="24"/>
    <w:p>
      <w:pPr>
        <w:ind w:right="340" w:firstLine="881"/>
        <w:spacing w:after="0" w:line="279" w:lineRule="auto"/>
        <w:rPr>
          <w:sz w:val="20"/>
          <w:szCs w:val="20"/>
          <w:color w:val="auto"/>
        </w:rPr>
      </w:pPr>
      <w:r>
        <w:rPr>
          <w:rFonts w:ascii="Arial" w:cs="Arial" w:eastAsia="Arial" w:hAnsi="Arial"/>
          <w:sz w:val="17"/>
          <w:szCs w:val="17"/>
          <w:color w:val="auto"/>
        </w:rPr>
        <w:t>The net change in unrealized appreciation on investments held as of September 30, 2015 was $8.7 million and is included in net unrealized appreciation/(depreciation) on investments in the consolidated statements of operations for the nine months ended September 30, 2015. The net change in unrealized depreciation on investments held as of September 30, 2014 was $(7.4) million and is included in net unrealized appreciation/(depreciation) on investments in the consolidated statements of operations for the nine months ended September 30, 2014.</w:t>
      </w:r>
    </w:p>
    <w:p>
      <w:pPr>
        <w:spacing w:after="0" w:line="171" w:lineRule="exact"/>
        <w:rPr>
          <w:sz w:val="20"/>
          <w:szCs w:val="20"/>
          <w:color w:val="auto"/>
        </w:rPr>
      </w:pPr>
    </w:p>
    <w:p>
      <w:pPr>
        <w:ind w:right="320" w:firstLine="881"/>
        <w:spacing w:after="0" w:line="277" w:lineRule="auto"/>
        <w:rPr>
          <w:sz w:val="20"/>
          <w:szCs w:val="20"/>
          <w:color w:val="auto"/>
        </w:rPr>
      </w:pPr>
      <w:r>
        <w:rPr>
          <w:rFonts w:ascii="Arial" w:cs="Arial" w:eastAsia="Arial" w:hAnsi="Arial"/>
          <w:sz w:val="18"/>
          <w:szCs w:val="18"/>
          <w:color w:val="auto"/>
        </w:rPr>
        <w:t>The valuation techniques and significant unobservable inputs used in recurring Level 3 fair value measurements of assets as of September 30, 2015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Fair Value</w:t>
            </w:r>
          </w:p>
        </w:tc>
        <w:tc>
          <w:tcPr>
            <w:tcW w:w="216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Valuation Approach</w:t>
            </w:r>
          </w:p>
        </w:tc>
        <w:tc>
          <w:tcPr>
            <w:tcW w:w="2380" w:type="dxa"/>
            <w:vAlign w:val="bottom"/>
            <w:gridSpan w:val="2"/>
            <w:vMerge w:val="restart"/>
          </w:tcPr>
          <w:p>
            <w:pPr>
              <w:ind w:left="720"/>
              <w:spacing w:after="0"/>
              <w:rPr>
                <w:sz w:val="20"/>
                <w:szCs w:val="20"/>
                <w:color w:val="auto"/>
              </w:rPr>
            </w:pPr>
            <w:r>
              <w:rPr>
                <w:rFonts w:ascii="Arial" w:cs="Arial" w:eastAsia="Arial" w:hAnsi="Arial"/>
                <w:sz w:val="14"/>
                <w:szCs w:val="14"/>
                <w:b w:val="1"/>
                <w:bCs w:val="1"/>
                <w:color w:val="auto"/>
              </w:rPr>
              <w:t>Level 3 Input</w:t>
            </w:r>
          </w:p>
        </w:tc>
        <w:tc>
          <w:tcPr>
            <w:tcW w:w="280" w:type="dxa"/>
            <w:vAlign w:val="bottom"/>
          </w:tcPr>
          <w:p>
            <w:pPr>
              <w:spacing w:after="0"/>
              <w:rPr>
                <w:sz w:val="14"/>
                <w:szCs w:val="14"/>
                <w:color w:val="auto"/>
              </w:rPr>
            </w:pPr>
          </w:p>
        </w:tc>
        <w:tc>
          <w:tcPr>
            <w:tcW w:w="212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Range of Inputs</w:t>
            </w:r>
          </w:p>
        </w:tc>
        <w:tc>
          <w:tcPr>
            <w:tcW w:w="20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160" w:type="dxa"/>
            <w:vAlign w:val="bottom"/>
            <w:gridSpan w:val="2"/>
            <w:vMerge w:val="continue"/>
          </w:tcPr>
          <w:p>
            <w:pPr>
              <w:spacing w:after="0"/>
              <w:rPr>
                <w:sz w:val="14"/>
                <w:szCs w:val="14"/>
                <w:color w:val="auto"/>
              </w:rPr>
            </w:pPr>
          </w:p>
        </w:tc>
        <w:tc>
          <w:tcPr>
            <w:tcW w:w="23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21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1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4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Subordinated debt</w:t>
            </w:r>
          </w:p>
        </w:tc>
        <w:tc>
          <w:tcPr>
            <w:tcW w:w="1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235.4 million</w:t>
            </w:r>
          </w:p>
        </w:tc>
        <w:tc>
          <w:tcPr>
            <w:tcW w:w="21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Income</w:t>
            </w:r>
          </w:p>
        </w:tc>
        <w:tc>
          <w:tcPr>
            <w:tcW w:w="23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Required Rate of Return</w:t>
            </w:r>
          </w:p>
        </w:tc>
        <w:tc>
          <w:tcPr>
            <w:tcW w:w="24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9.3% - 16.4%</w:t>
            </w:r>
          </w:p>
        </w:tc>
        <w:tc>
          <w:tcPr>
            <w:tcW w:w="158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rPr>
              <w:t>12.8%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Leverage Ratio</w:t>
            </w: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8"/>
              </w:rPr>
              <w:t>0.9x</w:t>
            </w:r>
          </w:p>
        </w:tc>
        <w:tc>
          <w:tcPr>
            <w:tcW w:w="2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6.5x</w:t>
            </w:r>
          </w:p>
        </w:tc>
        <w:tc>
          <w:tcPr>
            <w:tcW w:w="168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4.0x</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Adjusted EBITDA</w:t>
            </w:r>
          </w:p>
        </w:tc>
        <w:tc>
          <w:tcPr>
            <w:tcW w:w="2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$2.6 million-$221.8 million</w:t>
            </w:r>
          </w:p>
        </w:tc>
        <w:tc>
          <w:tcPr>
            <w:tcW w:w="168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$45.0 million</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4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Subordinated debt</w:t>
            </w:r>
          </w:p>
        </w:tc>
        <w:tc>
          <w:tcPr>
            <w:tcW w:w="1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24.9 million</w:t>
            </w:r>
          </w:p>
        </w:tc>
        <w:tc>
          <w:tcPr>
            <w:tcW w:w="21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Enterprise Value</w:t>
            </w:r>
          </w:p>
        </w:tc>
        <w:tc>
          <w:tcPr>
            <w:tcW w:w="23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Adjusted EBITDA Multiple</w:t>
            </w:r>
          </w:p>
        </w:tc>
        <w:tc>
          <w:tcPr>
            <w:tcW w:w="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5.5x</w:t>
            </w:r>
          </w:p>
        </w:tc>
        <w:tc>
          <w:tcPr>
            <w:tcW w:w="21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 6.0x</w:t>
            </w:r>
          </w:p>
        </w:tc>
        <w:tc>
          <w:tcPr>
            <w:tcW w:w="1680" w:type="dxa"/>
            <w:vAlign w:val="bottom"/>
            <w:gridSpan w:val="3"/>
            <w:shd w:val="clear" w:color="auto" w:fill="CCEEFF"/>
          </w:tcPr>
          <w:p>
            <w:pPr>
              <w:ind w:left="200"/>
              <w:spacing w:after="0" w:line="130" w:lineRule="exact"/>
              <w:rPr>
                <w:sz w:val="20"/>
                <w:szCs w:val="20"/>
                <w:color w:val="auto"/>
              </w:rPr>
            </w:pPr>
            <w:r>
              <w:rPr>
                <w:rFonts w:ascii="Arial" w:cs="Arial" w:eastAsia="Arial" w:hAnsi="Arial"/>
                <w:sz w:val="14"/>
                <w:szCs w:val="14"/>
                <w:color w:val="auto"/>
              </w:rPr>
              <w:t>5.5x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Waterfall and</w:t>
            </w:r>
          </w:p>
        </w:tc>
        <w:tc>
          <w:tcPr>
            <w:tcW w:w="2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Adjusted EBITDA</w:t>
            </w:r>
          </w:p>
        </w:tc>
        <w:tc>
          <w:tcPr>
            <w:tcW w:w="2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$2.0 million - $2.5 million</w:t>
            </w:r>
          </w:p>
        </w:tc>
        <w:tc>
          <w:tcPr>
            <w:tcW w:w="168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$2.5 million</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160" w:type="dxa"/>
            <w:vAlign w:val="bottom"/>
            <w:gridSpan w:val="2"/>
            <w:shd w:val="clear" w:color="auto" w:fill="CCEEFF"/>
          </w:tcPr>
          <w:p>
            <w:pPr>
              <w:spacing w:after="0" w:line="181" w:lineRule="exact"/>
              <w:rPr>
                <w:sz w:val="20"/>
                <w:szCs w:val="20"/>
                <w:color w:val="auto"/>
              </w:rPr>
            </w:pPr>
            <w:r>
              <w:rPr>
                <w:rFonts w:ascii="Arial" w:cs="Arial" w:eastAsia="Arial" w:hAnsi="Arial"/>
                <w:sz w:val="13"/>
                <w:szCs w:val="13"/>
                <w:color w:val="auto"/>
              </w:rPr>
              <w:t xml:space="preserve">Asset </w:t>
            </w:r>
            <w:r>
              <w:rPr>
                <w:rFonts w:ascii="Arial" w:cs="Arial" w:eastAsia="Arial" w:hAnsi="Arial"/>
                <w:sz w:val="20"/>
                <w:szCs w:val="20"/>
                <w:color w:val="auto"/>
                <w:vertAlign w:val="superscript"/>
              </w:rPr>
              <w:t>(1)</w:t>
            </w:r>
          </w:p>
        </w:tc>
        <w:tc>
          <w:tcPr>
            <w:tcW w:w="2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Revenue Multiple</w:t>
            </w:r>
          </w:p>
        </w:tc>
        <w:tc>
          <w:tcPr>
            <w:tcW w:w="2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4.2x- 4.2x</w:t>
            </w:r>
          </w:p>
        </w:tc>
        <w:tc>
          <w:tcPr>
            <w:tcW w:w="168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4.2x</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80" w:type="dxa"/>
            <w:vAlign w:val="bottom"/>
            <w:gridSpan w:val="2"/>
            <w:shd w:val="clear" w:color="auto" w:fill="CCEEFF"/>
          </w:tcPr>
          <w:p>
            <w:pPr>
              <w:spacing w:after="0" w:line="135" w:lineRule="exact"/>
              <w:rPr>
                <w:sz w:val="20"/>
                <w:szCs w:val="20"/>
                <w:color w:val="auto"/>
              </w:rPr>
            </w:pPr>
            <w:r>
              <w:rPr>
                <w:rFonts w:ascii="Arial" w:cs="Arial" w:eastAsia="Arial" w:hAnsi="Arial"/>
                <w:sz w:val="14"/>
                <w:szCs w:val="14"/>
                <w:color w:val="auto"/>
              </w:rPr>
              <w:t>Revenue</w:t>
            </w:r>
          </w:p>
        </w:tc>
        <w:tc>
          <w:tcPr>
            <w:tcW w:w="2400" w:type="dxa"/>
            <w:vAlign w:val="bottom"/>
            <w:gridSpan w:val="2"/>
            <w:shd w:val="clear" w:color="auto" w:fill="CCEEFF"/>
          </w:tcPr>
          <w:p>
            <w:pPr>
              <w:spacing w:after="0" w:line="135" w:lineRule="exact"/>
              <w:rPr>
                <w:sz w:val="20"/>
                <w:szCs w:val="20"/>
                <w:color w:val="auto"/>
              </w:rPr>
            </w:pPr>
            <w:r>
              <w:rPr>
                <w:rFonts w:ascii="Arial" w:cs="Arial" w:eastAsia="Arial" w:hAnsi="Arial"/>
                <w:sz w:val="14"/>
                <w:szCs w:val="14"/>
                <w:color w:val="auto"/>
              </w:rPr>
              <w:t>$18.9 million - $18.9 million</w:t>
            </w:r>
          </w:p>
        </w:tc>
        <w:tc>
          <w:tcPr>
            <w:tcW w:w="1680" w:type="dxa"/>
            <w:vAlign w:val="bottom"/>
            <w:gridSpan w:val="3"/>
            <w:shd w:val="clear" w:color="auto" w:fill="CCEEFF"/>
          </w:tcPr>
          <w:p>
            <w:pPr>
              <w:ind w:left="200"/>
              <w:spacing w:after="0" w:line="135" w:lineRule="exact"/>
              <w:rPr>
                <w:sz w:val="20"/>
                <w:szCs w:val="20"/>
                <w:color w:val="auto"/>
              </w:rPr>
            </w:pPr>
            <w:r>
              <w:rPr>
                <w:rFonts w:ascii="Arial" w:cs="Arial" w:eastAsia="Arial" w:hAnsi="Arial"/>
                <w:sz w:val="14"/>
                <w:szCs w:val="14"/>
                <w:color w:val="auto"/>
              </w:rPr>
              <w:t>$18.9 million</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2"/>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4"/>
                <w:szCs w:val="14"/>
                <w:color w:val="auto"/>
              </w:rPr>
              <w:t>Senior secured debt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204.5 million</w:t>
            </w:r>
          </w:p>
        </w:tc>
        <w:tc>
          <w:tcPr>
            <w:tcW w:w="2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Income</w:t>
            </w:r>
          </w:p>
        </w:tc>
        <w:tc>
          <w:tcPr>
            <w:tcW w:w="2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Required Rate of Return</w:t>
            </w:r>
          </w:p>
        </w:tc>
        <w:tc>
          <w:tcPr>
            <w:tcW w:w="2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8.0% - 33.3%</w:t>
            </w:r>
          </w:p>
        </w:tc>
        <w:tc>
          <w:tcPr>
            <w:tcW w:w="15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38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Leverage Ratio</w:t>
            </w:r>
          </w:p>
        </w:tc>
        <w:tc>
          <w:tcPr>
            <w:tcW w:w="280" w:type="dxa"/>
            <w:vAlign w:val="bottom"/>
            <w:shd w:val="clear" w:color="auto" w:fill="CCEEFF"/>
          </w:tcPr>
          <w:p>
            <w:pPr>
              <w:spacing w:after="0" w:line="116" w:lineRule="exact"/>
              <w:rPr>
                <w:sz w:val="20"/>
                <w:szCs w:val="20"/>
                <w:color w:val="auto"/>
              </w:rPr>
            </w:pPr>
            <w:r>
              <w:rPr>
                <w:rFonts w:ascii="Arial" w:cs="Arial" w:eastAsia="Arial" w:hAnsi="Arial"/>
                <w:sz w:val="13"/>
                <w:szCs w:val="13"/>
                <w:color w:val="auto"/>
              </w:rPr>
              <w:t>0.2x</w:t>
            </w:r>
          </w:p>
        </w:tc>
        <w:tc>
          <w:tcPr>
            <w:tcW w:w="2120" w:type="dxa"/>
            <w:vAlign w:val="bottom"/>
            <w:shd w:val="clear" w:color="auto" w:fill="CCEEFF"/>
          </w:tcPr>
          <w:p>
            <w:pPr>
              <w:spacing w:after="0" w:line="116" w:lineRule="exact"/>
              <w:rPr>
                <w:sz w:val="20"/>
                <w:szCs w:val="20"/>
                <w:color w:val="auto"/>
              </w:rPr>
            </w:pPr>
            <w:r>
              <w:rPr>
                <w:rFonts w:ascii="Arial" w:cs="Arial" w:eastAsia="Arial" w:hAnsi="Arial"/>
                <w:sz w:val="13"/>
                <w:szCs w:val="13"/>
                <w:color w:val="auto"/>
              </w:rPr>
              <w:t>– 8.2x</w:t>
            </w:r>
          </w:p>
        </w:tc>
        <w:tc>
          <w:tcPr>
            <w:tcW w:w="1680" w:type="dxa"/>
            <w:vAlign w:val="bottom"/>
            <w:gridSpan w:val="3"/>
            <w:shd w:val="clear" w:color="auto" w:fill="CCEEFF"/>
          </w:tcPr>
          <w:p>
            <w:pPr>
              <w:ind w:left="200"/>
              <w:spacing w:after="0" w:line="116" w:lineRule="exact"/>
              <w:rPr>
                <w:sz w:val="20"/>
                <w:szCs w:val="20"/>
                <w:color w:val="auto"/>
              </w:rPr>
            </w:pPr>
            <w:r>
              <w:rPr>
                <w:rFonts w:ascii="Arial" w:cs="Arial" w:eastAsia="Arial" w:hAnsi="Arial"/>
                <w:sz w:val="13"/>
                <w:szCs w:val="13"/>
                <w:color w:val="auto"/>
              </w:rPr>
              <w:t>3.7x</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20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380" w:type="dxa"/>
            <w:vAlign w:val="bottom"/>
            <w:gridSpan w:val="2"/>
            <w:vMerge w:val="continue"/>
            <w:shd w:val="clear" w:color="auto" w:fill="CCEEFF"/>
          </w:tcPr>
          <w:p>
            <w:pPr>
              <w:spacing w:after="0"/>
              <w:rPr>
                <w:sz w:val="5"/>
                <w:szCs w:val="5"/>
                <w:color w:val="auto"/>
              </w:rPr>
            </w:pPr>
          </w:p>
        </w:tc>
        <w:tc>
          <w:tcPr>
            <w:tcW w:w="240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$0.5 million- $103.8 million</w:t>
            </w:r>
          </w:p>
        </w:tc>
        <w:tc>
          <w:tcPr>
            <w:tcW w:w="1680" w:type="dxa"/>
            <w:vAlign w:val="bottom"/>
            <w:gridSpan w:val="3"/>
            <w:vMerge w:val="restart"/>
            <w:shd w:val="clear" w:color="auto" w:fill="CCEEFF"/>
          </w:tcPr>
          <w:p>
            <w:pPr>
              <w:ind w:left="200"/>
              <w:spacing w:after="0"/>
              <w:rPr>
                <w:sz w:val="20"/>
                <w:szCs w:val="20"/>
                <w:color w:val="auto"/>
              </w:rPr>
            </w:pPr>
            <w:r>
              <w:rPr>
                <w:rFonts w:ascii="Arial" w:cs="Arial" w:eastAsia="Arial" w:hAnsi="Arial"/>
                <w:sz w:val="14"/>
                <w:szCs w:val="14"/>
                <w:color w:val="auto"/>
              </w:rPr>
              <w:t>$25.7 million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4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20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380" w:type="dxa"/>
            <w:vAlign w:val="bottom"/>
            <w:tcBorders>
              <w:bottom w:val="single" w:sz="8" w:color="CCEEFF"/>
            </w:tcBorders>
            <w:gridSpan w:val="2"/>
            <w:shd w:val="clear" w:color="auto" w:fill="CCEEFF"/>
          </w:tcPr>
          <w:p>
            <w:pPr>
              <w:spacing w:after="0" w:line="147" w:lineRule="exact"/>
              <w:rPr>
                <w:sz w:val="20"/>
                <w:szCs w:val="20"/>
                <w:color w:val="auto"/>
              </w:rPr>
            </w:pPr>
            <w:r>
              <w:rPr>
                <w:rFonts w:ascii="Arial" w:cs="Arial" w:eastAsia="Arial" w:hAnsi="Arial"/>
                <w:sz w:val="14"/>
                <w:szCs w:val="14"/>
                <w:color w:val="auto"/>
              </w:rPr>
              <w:t>Adjusted EBITDA</w:t>
            </w:r>
          </w:p>
        </w:tc>
        <w:tc>
          <w:tcPr>
            <w:tcW w:w="2400" w:type="dxa"/>
            <w:vAlign w:val="bottom"/>
            <w:tcBorders>
              <w:bottom w:val="single" w:sz="8" w:color="CCEEFF"/>
            </w:tcBorders>
            <w:gridSpan w:val="2"/>
            <w:vMerge w:val="continue"/>
            <w:shd w:val="clear" w:color="auto" w:fill="CCEEFF"/>
          </w:tcPr>
          <w:p>
            <w:pPr>
              <w:spacing w:after="0"/>
              <w:rPr>
                <w:sz w:val="12"/>
                <w:szCs w:val="12"/>
                <w:color w:val="auto"/>
              </w:rPr>
            </w:pPr>
          </w:p>
        </w:tc>
        <w:tc>
          <w:tcPr>
            <w:tcW w:w="1680" w:type="dxa"/>
            <w:vAlign w:val="bottom"/>
            <w:tcBorders>
              <w:bottom w:val="single" w:sz="8" w:color="CCEEFF"/>
            </w:tcBorders>
            <w:gridSpan w:val="3"/>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4"/>
                <w:szCs w:val="14"/>
                <w:color w:val="auto"/>
              </w:rPr>
              <w:t>Senior secured debt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11.1 million</w:t>
            </w:r>
          </w:p>
        </w:tc>
        <w:tc>
          <w:tcPr>
            <w:tcW w:w="2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Enterprise Value</w:t>
            </w:r>
          </w:p>
        </w:tc>
        <w:tc>
          <w:tcPr>
            <w:tcW w:w="2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Revenue Multiple</w:t>
            </w:r>
          </w:p>
        </w:tc>
        <w:tc>
          <w:tcPr>
            <w:tcW w:w="280" w:type="dxa"/>
            <w:vAlign w:val="bottom"/>
            <w:shd w:val="clear" w:color="auto" w:fill="CCEEFF"/>
          </w:tcPr>
          <w:p>
            <w:pPr>
              <w:spacing w:after="0"/>
              <w:rPr>
                <w:sz w:val="20"/>
                <w:szCs w:val="20"/>
                <w:color w:val="auto"/>
              </w:rPr>
            </w:pPr>
            <w:r>
              <w:rPr>
                <w:rFonts w:ascii="Arial" w:cs="Arial" w:eastAsia="Arial" w:hAnsi="Arial"/>
                <w:sz w:val="14"/>
                <w:szCs w:val="14"/>
                <w:color w:val="auto"/>
                <w:w w:val="98"/>
              </w:rPr>
              <w:t>4.2x</w:t>
            </w:r>
          </w:p>
        </w:tc>
        <w:tc>
          <w:tcPr>
            <w:tcW w:w="2120" w:type="dxa"/>
            <w:vAlign w:val="bottom"/>
            <w:shd w:val="clear" w:color="auto" w:fill="CCEEFF"/>
          </w:tcPr>
          <w:p>
            <w:pPr>
              <w:spacing w:after="0"/>
              <w:rPr>
                <w:sz w:val="20"/>
                <w:szCs w:val="20"/>
                <w:color w:val="auto"/>
              </w:rPr>
            </w:pPr>
            <w:r>
              <w:rPr>
                <w:rFonts w:ascii="Arial" w:cs="Arial" w:eastAsia="Arial" w:hAnsi="Arial"/>
                <w:sz w:val="14"/>
                <w:szCs w:val="14"/>
                <w:color w:val="auto"/>
              </w:rPr>
              <w:t>– 4.2x</w:t>
            </w:r>
          </w:p>
        </w:tc>
        <w:tc>
          <w:tcPr>
            <w:tcW w:w="168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4.2x</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16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 xml:space="preserve">Waterfall and Asset </w:t>
            </w:r>
            <w:r>
              <w:rPr>
                <w:rFonts w:ascii="Arial" w:cs="Arial" w:eastAsia="Arial" w:hAnsi="Arial"/>
                <w:sz w:val="20"/>
                <w:szCs w:val="20"/>
                <w:color w:val="auto"/>
                <w:vertAlign w:val="superscript"/>
              </w:rPr>
              <w:t>(1)</w:t>
            </w:r>
          </w:p>
        </w:tc>
        <w:tc>
          <w:tcPr>
            <w:tcW w:w="2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Revenue</w:t>
            </w:r>
          </w:p>
        </w:tc>
        <w:tc>
          <w:tcPr>
            <w:tcW w:w="2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$18.9 million- $18.9 million</w:t>
            </w:r>
          </w:p>
        </w:tc>
        <w:tc>
          <w:tcPr>
            <w:tcW w:w="168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$18.9 million</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4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Equity shares and</w:t>
            </w:r>
          </w:p>
        </w:tc>
        <w:tc>
          <w:tcPr>
            <w:tcW w:w="1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90.9 million</w:t>
            </w:r>
          </w:p>
        </w:tc>
        <w:tc>
          <w:tcPr>
            <w:tcW w:w="21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Enterprise Value</w:t>
            </w:r>
          </w:p>
        </w:tc>
        <w:tc>
          <w:tcPr>
            <w:tcW w:w="23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Revenue Multiple</w:t>
            </w:r>
          </w:p>
        </w:tc>
        <w:tc>
          <w:tcPr>
            <w:tcW w:w="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4.2x</w:t>
            </w:r>
          </w:p>
        </w:tc>
        <w:tc>
          <w:tcPr>
            <w:tcW w:w="21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 4.2x</w:t>
            </w:r>
          </w:p>
        </w:tc>
        <w:tc>
          <w:tcPr>
            <w:tcW w:w="1680" w:type="dxa"/>
            <w:vAlign w:val="bottom"/>
            <w:gridSpan w:val="3"/>
            <w:shd w:val="clear" w:color="auto" w:fill="CCEEFF"/>
          </w:tcPr>
          <w:p>
            <w:pPr>
              <w:ind w:left="200"/>
              <w:spacing w:after="0" w:line="130" w:lineRule="exact"/>
              <w:rPr>
                <w:sz w:val="20"/>
                <w:szCs w:val="20"/>
                <w:color w:val="auto"/>
              </w:rPr>
            </w:pPr>
            <w:r>
              <w:rPr>
                <w:rFonts w:ascii="Arial" w:cs="Arial" w:eastAsia="Arial" w:hAnsi="Arial"/>
                <w:sz w:val="14"/>
                <w:szCs w:val="14"/>
                <w:color w:val="auto"/>
              </w:rPr>
              <w:t>4.2x</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480" w:type="dxa"/>
            <w:vAlign w:val="bottom"/>
            <w:shd w:val="clear" w:color="auto" w:fill="CCEEFF"/>
          </w:tcPr>
          <w:p>
            <w:pPr>
              <w:ind w:left="200"/>
              <w:spacing w:after="0" w:line="181" w:lineRule="exact"/>
              <w:rPr>
                <w:sz w:val="20"/>
                <w:szCs w:val="20"/>
                <w:color w:val="auto"/>
              </w:rPr>
            </w:pPr>
            <w:r>
              <w:rPr>
                <w:rFonts w:ascii="Arial" w:cs="Arial" w:eastAsia="Arial" w:hAnsi="Arial"/>
                <w:sz w:val="13"/>
                <w:szCs w:val="13"/>
                <w:color w:val="auto"/>
              </w:rPr>
              <w:t xml:space="preserve">warrants </w:t>
            </w:r>
            <w:r>
              <w:rPr>
                <w:rFonts w:ascii="Arial" w:cs="Arial" w:eastAsia="Arial" w:hAnsi="Arial"/>
                <w:sz w:val="20"/>
                <w:szCs w:val="20"/>
                <w:color w:val="auto"/>
                <w:vertAlign w:val="superscript"/>
              </w:rPr>
              <w:t>(2)</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Waterfall</w:t>
            </w:r>
          </w:p>
        </w:tc>
        <w:tc>
          <w:tcPr>
            <w:tcW w:w="2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Revenue</w:t>
            </w:r>
          </w:p>
        </w:tc>
        <w:tc>
          <w:tcPr>
            <w:tcW w:w="2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$18.9 million- $18.9 million</w:t>
            </w:r>
          </w:p>
        </w:tc>
        <w:tc>
          <w:tcPr>
            <w:tcW w:w="168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$18.9 million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380" w:type="dxa"/>
            <w:vAlign w:val="bottom"/>
            <w:gridSpan w:val="2"/>
            <w:shd w:val="clear" w:color="auto" w:fill="CCEEFF"/>
          </w:tcPr>
          <w:p>
            <w:pPr>
              <w:spacing w:after="0" w:line="116" w:lineRule="exact"/>
              <w:rPr>
                <w:sz w:val="20"/>
                <w:szCs w:val="20"/>
                <w:color w:val="auto"/>
              </w:rPr>
            </w:pPr>
            <w:r>
              <w:rPr>
                <w:rFonts w:ascii="Arial" w:cs="Arial" w:eastAsia="Arial" w:hAnsi="Arial"/>
                <w:sz w:val="13"/>
                <w:szCs w:val="13"/>
                <w:color w:val="auto"/>
              </w:rPr>
              <w:t>Adjusted EBITDA Multiple</w:t>
            </w:r>
          </w:p>
        </w:tc>
        <w:tc>
          <w:tcPr>
            <w:tcW w:w="280" w:type="dxa"/>
            <w:vAlign w:val="bottom"/>
            <w:shd w:val="clear" w:color="auto" w:fill="CCEEFF"/>
          </w:tcPr>
          <w:p>
            <w:pPr>
              <w:spacing w:after="0" w:line="116" w:lineRule="exact"/>
              <w:rPr>
                <w:sz w:val="20"/>
                <w:szCs w:val="20"/>
                <w:color w:val="auto"/>
              </w:rPr>
            </w:pPr>
            <w:r>
              <w:rPr>
                <w:rFonts w:ascii="Arial" w:cs="Arial" w:eastAsia="Arial" w:hAnsi="Arial"/>
                <w:sz w:val="13"/>
                <w:szCs w:val="13"/>
                <w:color w:val="auto"/>
              </w:rPr>
              <w:t>5.0x</w:t>
            </w:r>
          </w:p>
        </w:tc>
        <w:tc>
          <w:tcPr>
            <w:tcW w:w="2120" w:type="dxa"/>
            <w:vAlign w:val="bottom"/>
            <w:shd w:val="clear" w:color="auto" w:fill="CCEEFF"/>
          </w:tcPr>
          <w:p>
            <w:pPr>
              <w:spacing w:after="0" w:line="116" w:lineRule="exact"/>
              <w:rPr>
                <w:sz w:val="20"/>
                <w:szCs w:val="20"/>
                <w:color w:val="auto"/>
              </w:rPr>
            </w:pPr>
            <w:r>
              <w:rPr>
                <w:rFonts w:ascii="Arial" w:cs="Arial" w:eastAsia="Arial" w:hAnsi="Arial"/>
                <w:sz w:val="13"/>
                <w:szCs w:val="13"/>
                <w:color w:val="auto"/>
              </w:rPr>
              <w:t>– 10.7x</w:t>
            </w:r>
          </w:p>
        </w:tc>
        <w:tc>
          <w:tcPr>
            <w:tcW w:w="1680" w:type="dxa"/>
            <w:vAlign w:val="bottom"/>
            <w:gridSpan w:val="3"/>
            <w:shd w:val="clear" w:color="auto" w:fill="CCEEFF"/>
          </w:tcPr>
          <w:p>
            <w:pPr>
              <w:ind w:left="200"/>
              <w:spacing w:after="0" w:line="116" w:lineRule="exact"/>
              <w:rPr>
                <w:sz w:val="20"/>
                <w:szCs w:val="20"/>
                <w:color w:val="auto"/>
              </w:rPr>
            </w:pPr>
            <w:r>
              <w:rPr>
                <w:rFonts w:ascii="Arial" w:cs="Arial" w:eastAsia="Arial" w:hAnsi="Arial"/>
                <w:sz w:val="13"/>
                <w:szCs w:val="13"/>
                <w:color w:val="auto"/>
              </w:rPr>
              <w:t>7.3x</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Adjusted EBITDA</w:t>
            </w:r>
          </w:p>
        </w:tc>
        <w:tc>
          <w:tcPr>
            <w:tcW w:w="2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$2.0 million -$344.5 million</w:t>
            </w:r>
          </w:p>
        </w:tc>
        <w:tc>
          <w:tcPr>
            <w:tcW w:w="168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$40.0 million</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000" w:hanging="344"/>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$10.9 million in subordinated notes and $10.1 million senior secured notes were valued using the asset approach.</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Excludes our $19.6 million investment in CSLLF, measured at NAV.</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ind w:right="360" w:firstLine="881"/>
        <w:spacing w:after="0" w:line="277" w:lineRule="auto"/>
        <w:rPr>
          <w:sz w:val="20"/>
          <w:szCs w:val="20"/>
          <w:color w:val="auto"/>
        </w:rPr>
      </w:pPr>
      <w:r>
        <w:rPr>
          <w:rFonts w:ascii="Arial" w:cs="Arial" w:eastAsia="Arial" w:hAnsi="Arial"/>
          <w:sz w:val="18"/>
          <w:szCs w:val="18"/>
          <w:color w:val="auto"/>
        </w:rPr>
        <w:t>The valuation techniques and significant unobservable inputs used in recurring Level 3 fair value measurements of assets as of December 31, 2014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216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Valuation Approach</w:t>
            </w:r>
          </w:p>
        </w:tc>
        <w:tc>
          <w:tcPr>
            <w:tcW w:w="216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Level 3 Input</w:t>
            </w:r>
          </w:p>
        </w:tc>
        <w:tc>
          <w:tcPr>
            <w:tcW w:w="240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Range of Inputs</w:t>
            </w:r>
          </w:p>
        </w:tc>
        <w:tc>
          <w:tcPr>
            <w:tcW w:w="20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160" w:type="dxa"/>
            <w:vAlign w:val="bottom"/>
            <w:gridSpan w:val="2"/>
            <w:vMerge w:val="continue"/>
          </w:tcPr>
          <w:p>
            <w:pPr>
              <w:spacing w:after="0"/>
              <w:rPr>
                <w:sz w:val="14"/>
                <w:szCs w:val="14"/>
                <w:color w:val="auto"/>
              </w:rPr>
            </w:pPr>
          </w:p>
        </w:tc>
        <w:tc>
          <w:tcPr>
            <w:tcW w:w="2160" w:type="dxa"/>
            <w:vAlign w:val="bottom"/>
            <w:gridSpan w:val="2"/>
            <w:vMerge w:val="continue"/>
          </w:tcPr>
          <w:p>
            <w:pPr>
              <w:spacing w:after="0"/>
              <w:rPr>
                <w:sz w:val="14"/>
                <w:szCs w:val="14"/>
                <w:color w:val="auto"/>
              </w:rPr>
            </w:pPr>
          </w:p>
        </w:tc>
        <w:tc>
          <w:tcPr>
            <w:tcW w:w="24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7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7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Subordinated debt</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195.0 million</w:t>
            </w:r>
          </w:p>
        </w:tc>
        <w:tc>
          <w:tcPr>
            <w:tcW w:w="21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Income</w:t>
            </w:r>
          </w:p>
        </w:tc>
        <w:tc>
          <w:tcPr>
            <w:tcW w:w="21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Required Rate of Return</w:t>
            </w:r>
          </w:p>
        </w:tc>
        <w:tc>
          <w:tcPr>
            <w:tcW w:w="24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10.0% - 20.0%</w:t>
            </w:r>
          </w:p>
        </w:tc>
        <w:tc>
          <w:tcPr>
            <w:tcW w:w="158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Leverage Ratio</w:t>
            </w: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0.8x – 8.0x</w:t>
            </w:r>
          </w:p>
        </w:tc>
        <w:tc>
          <w:tcPr>
            <w:tcW w:w="168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3.8x</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Adjusted EBITDA</w:t>
            </w:r>
          </w:p>
        </w:tc>
        <w:tc>
          <w:tcPr>
            <w:tcW w:w="2400" w:type="dxa"/>
            <w:vAlign w:val="bottom"/>
            <w:shd w:val="clear" w:color="auto" w:fill="CCEEFF"/>
          </w:tcPr>
          <w:p>
            <w:pPr>
              <w:spacing w:after="0"/>
              <w:rPr>
                <w:sz w:val="20"/>
                <w:szCs w:val="20"/>
                <w:color w:val="auto"/>
              </w:rPr>
            </w:pPr>
            <w:r>
              <w:rPr>
                <w:rFonts w:ascii="Arial" w:cs="Arial" w:eastAsia="Arial" w:hAnsi="Arial"/>
                <w:sz w:val="14"/>
                <w:szCs w:val="14"/>
                <w:color w:val="auto"/>
              </w:rPr>
              <w:t>$2.1 million-$204.1 million</w:t>
            </w:r>
          </w:p>
        </w:tc>
        <w:tc>
          <w:tcPr>
            <w:tcW w:w="168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$44.6 million</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7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Subordinated debt</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27.3 million</w:t>
            </w:r>
          </w:p>
        </w:tc>
        <w:tc>
          <w:tcPr>
            <w:tcW w:w="21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Enterprise Value</w:t>
            </w:r>
          </w:p>
        </w:tc>
        <w:tc>
          <w:tcPr>
            <w:tcW w:w="21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Adjusted EBITDA Multiple</w:t>
            </w:r>
          </w:p>
        </w:tc>
        <w:tc>
          <w:tcPr>
            <w:tcW w:w="24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3.3x – 5.5x</w:t>
            </w:r>
          </w:p>
        </w:tc>
        <w:tc>
          <w:tcPr>
            <w:tcW w:w="1680" w:type="dxa"/>
            <w:vAlign w:val="bottom"/>
            <w:gridSpan w:val="3"/>
            <w:shd w:val="clear" w:color="auto" w:fill="CCEEFF"/>
          </w:tcPr>
          <w:p>
            <w:pPr>
              <w:ind w:left="200"/>
              <w:spacing w:after="0" w:line="130" w:lineRule="exact"/>
              <w:rPr>
                <w:sz w:val="20"/>
                <w:szCs w:val="20"/>
                <w:color w:val="auto"/>
              </w:rPr>
            </w:pPr>
            <w:r>
              <w:rPr>
                <w:rFonts w:ascii="Arial" w:cs="Arial" w:eastAsia="Arial" w:hAnsi="Arial"/>
                <w:sz w:val="14"/>
                <w:szCs w:val="14"/>
                <w:color w:val="auto"/>
              </w:rPr>
              <w:t>4.3x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Waterfall and</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Adjusted EBITDA</w:t>
            </w: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$1.6 million - $2.0 million</w:t>
            </w:r>
          </w:p>
        </w:tc>
        <w:tc>
          <w:tcPr>
            <w:tcW w:w="168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$1.8 million</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160" w:type="dxa"/>
            <w:vAlign w:val="bottom"/>
            <w:gridSpan w:val="2"/>
            <w:shd w:val="clear" w:color="auto" w:fill="CCEEFF"/>
          </w:tcPr>
          <w:p>
            <w:pPr>
              <w:spacing w:after="0" w:line="181" w:lineRule="exact"/>
              <w:rPr>
                <w:sz w:val="20"/>
                <w:szCs w:val="20"/>
                <w:color w:val="auto"/>
              </w:rPr>
            </w:pPr>
            <w:r>
              <w:rPr>
                <w:rFonts w:ascii="Arial" w:cs="Arial" w:eastAsia="Arial" w:hAnsi="Arial"/>
                <w:sz w:val="13"/>
                <w:szCs w:val="13"/>
                <w:color w:val="auto"/>
              </w:rPr>
              <w:t xml:space="preserve">Asset </w:t>
            </w:r>
            <w:r>
              <w:rPr>
                <w:rFonts w:ascii="Arial" w:cs="Arial" w:eastAsia="Arial" w:hAnsi="Arial"/>
                <w:sz w:val="20"/>
                <w:szCs w:val="20"/>
                <w:color w:val="auto"/>
                <w:vertAlign w:val="superscript"/>
              </w:rPr>
              <w:t>(1)</w:t>
            </w:r>
          </w:p>
        </w:tc>
        <w:tc>
          <w:tcPr>
            <w:tcW w:w="2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Revenue Multiple</w:t>
            </w:r>
          </w:p>
        </w:tc>
        <w:tc>
          <w:tcPr>
            <w:tcW w:w="2400" w:type="dxa"/>
            <w:vAlign w:val="bottom"/>
            <w:shd w:val="clear" w:color="auto" w:fill="CCEEFF"/>
          </w:tcPr>
          <w:p>
            <w:pPr>
              <w:spacing w:after="0"/>
              <w:rPr>
                <w:sz w:val="20"/>
                <w:szCs w:val="20"/>
                <w:color w:val="auto"/>
              </w:rPr>
            </w:pPr>
            <w:r>
              <w:rPr>
                <w:rFonts w:ascii="Arial" w:cs="Arial" w:eastAsia="Arial" w:hAnsi="Arial"/>
                <w:sz w:val="14"/>
                <w:szCs w:val="14"/>
                <w:color w:val="auto"/>
              </w:rPr>
              <w:t>0.4x- 2.5x</w:t>
            </w:r>
          </w:p>
        </w:tc>
        <w:tc>
          <w:tcPr>
            <w:tcW w:w="168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1.5x</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spacing w:after="0" w:line="135" w:lineRule="exact"/>
              <w:rPr>
                <w:sz w:val="20"/>
                <w:szCs w:val="20"/>
                <w:color w:val="auto"/>
              </w:rPr>
            </w:pPr>
            <w:r>
              <w:rPr>
                <w:rFonts w:ascii="Arial" w:cs="Arial" w:eastAsia="Arial" w:hAnsi="Arial"/>
                <w:sz w:val="14"/>
                <w:szCs w:val="14"/>
                <w:color w:val="auto"/>
              </w:rPr>
              <w:t>Revenue</w:t>
            </w:r>
          </w:p>
        </w:tc>
        <w:tc>
          <w:tcPr>
            <w:tcW w:w="240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$17.2 million - $39.7 million</w:t>
            </w:r>
          </w:p>
        </w:tc>
        <w:tc>
          <w:tcPr>
            <w:tcW w:w="1680" w:type="dxa"/>
            <w:vAlign w:val="bottom"/>
            <w:gridSpan w:val="3"/>
            <w:shd w:val="clear" w:color="auto" w:fill="CCEEFF"/>
          </w:tcPr>
          <w:p>
            <w:pPr>
              <w:ind w:left="200"/>
              <w:spacing w:after="0" w:line="135" w:lineRule="exact"/>
              <w:rPr>
                <w:sz w:val="20"/>
                <w:szCs w:val="20"/>
                <w:color w:val="auto"/>
              </w:rPr>
            </w:pPr>
            <w:r>
              <w:rPr>
                <w:rFonts w:ascii="Arial" w:cs="Arial" w:eastAsia="Arial" w:hAnsi="Arial"/>
                <w:sz w:val="14"/>
                <w:szCs w:val="14"/>
                <w:color w:val="auto"/>
              </w:rPr>
              <w:t>$27.6 million</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7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Senior secured debt</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127.8 million</w:t>
            </w:r>
          </w:p>
        </w:tc>
        <w:tc>
          <w:tcPr>
            <w:tcW w:w="21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Income</w:t>
            </w:r>
          </w:p>
        </w:tc>
        <w:tc>
          <w:tcPr>
            <w:tcW w:w="21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Required Rate of Return</w:t>
            </w:r>
          </w:p>
        </w:tc>
        <w:tc>
          <w:tcPr>
            <w:tcW w:w="24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6.8% - 33.3%</w:t>
            </w:r>
          </w:p>
        </w:tc>
        <w:tc>
          <w:tcPr>
            <w:tcW w:w="158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Leverage Ratio</w:t>
            </w: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1.1x – 6.2x</w:t>
            </w:r>
          </w:p>
        </w:tc>
        <w:tc>
          <w:tcPr>
            <w:tcW w:w="168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3.7x</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Adjusted EBITDA</w:t>
            </w:r>
          </w:p>
        </w:tc>
        <w:tc>
          <w:tcPr>
            <w:tcW w:w="2400" w:type="dxa"/>
            <w:vAlign w:val="bottom"/>
            <w:shd w:val="clear" w:color="auto" w:fill="CCEEFF"/>
          </w:tcPr>
          <w:p>
            <w:pPr>
              <w:spacing w:after="0"/>
              <w:rPr>
                <w:sz w:val="20"/>
                <w:szCs w:val="20"/>
                <w:color w:val="auto"/>
              </w:rPr>
            </w:pPr>
            <w:r>
              <w:rPr>
                <w:rFonts w:ascii="Arial" w:cs="Arial" w:eastAsia="Arial" w:hAnsi="Arial"/>
                <w:sz w:val="14"/>
                <w:szCs w:val="14"/>
                <w:color w:val="auto"/>
              </w:rPr>
              <w:t>$1.0 million- $95.4 million</w:t>
            </w:r>
          </w:p>
        </w:tc>
        <w:tc>
          <w:tcPr>
            <w:tcW w:w="168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$22.0 million</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17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Senior secured debt</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color w:val="auto"/>
              </w:rPr>
              <w:t>18.5 million</w:t>
            </w:r>
          </w:p>
        </w:tc>
        <w:tc>
          <w:tcPr>
            <w:tcW w:w="216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Enterprise Value</w:t>
            </w:r>
          </w:p>
        </w:tc>
        <w:tc>
          <w:tcPr>
            <w:tcW w:w="216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Revenue Multiple</w:t>
            </w:r>
          </w:p>
        </w:tc>
        <w:tc>
          <w:tcPr>
            <w:tcW w:w="24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0.4x – 2.5x</w:t>
            </w:r>
          </w:p>
        </w:tc>
        <w:tc>
          <w:tcPr>
            <w:tcW w:w="1680" w:type="dxa"/>
            <w:vAlign w:val="bottom"/>
            <w:gridSpan w:val="3"/>
            <w:shd w:val="clear" w:color="auto" w:fill="CCEEFF"/>
          </w:tcPr>
          <w:p>
            <w:pPr>
              <w:ind w:left="200"/>
              <w:spacing w:after="0" w:line="142" w:lineRule="exact"/>
              <w:rPr>
                <w:sz w:val="20"/>
                <w:szCs w:val="20"/>
                <w:color w:val="auto"/>
              </w:rPr>
            </w:pPr>
            <w:r>
              <w:rPr>
                <w:rFonts w:ascii="Arial" w:cs="Arial" w:eastAsia="Arial" w:hAnsi="Arial"/>
                <w:sz w:val="16"/>
                <w:szCs w:val="16"/>
                <w:color w:val="auto"/>
              </w:rPr>
              <w:t>0</w:t>
            </w:r>
            <w:r>
              <w:rPr>
                <w:rFonts w:ascii="Arial" w:cs="Arial" w:eastAsia="Arial" w:hAnsi="Arial"/>
                <w:sz w:val="13"/>
                <w:szCs w:val="13"/>
                <w:color w:val="auto"/>
              </w:rPr>
              <w:t>.5x</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Waterfall and</w:t>
            </w:r>
          </w:p>
        </w:tc>
        <w:tc>
          <w:tcPr>
            <w:tcW w:w="216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Revenue</w:t>
            </w:r>
          </w:p>
        </w:tc>
        <w:tc>
          <w:tcPr>
            <w:tcW w:w="240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$17.2 million- $39.7 million</w:t>
            </w:r>
          </w:p>
        </w:tc>
        <w:tc>
          <w:tcPr>
            <w:tcW w:w="1680" w:type="dxa"/>
            <w:vAlign w:val="bottom"/>
            <w:gridSpan w:val="3"/>
            <w:vMerge w:val="restart"/>
            <w:shd w:val="clear" w:color="auto" w:fill="CCEEFF"/>
          </w:tcPr>
          <w:p>
            <w:pPr>
              <w:ind w:left="200"/>
              <w:spacing w:after="0"/>
              <w:rPr>
                <w:sz w:val="20"/>
                <w:szCs w:val="20"/>
                <w:color w:val="auto"/>
              </w:rPr>
            </w:pPr>
            <w:r>
              <w:rPr>
                <w:rFonts w:ascii="Arial" w:cs="Arial" w:eastAsia="Arial" w:hAnsi="Arial"/>
                <w:sz w:val="14"/>
                <w:szCs w:val="14"/>
                <w:color w:val="auto"/>
              </w:rPr>
              <w:t>$37.7 million</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7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160" w:type="dxa"/>
            <w:vAlign w:val="bottom"/>
            <w:gridSpan w:val="2"/>
            <w:vMerge w:val="restart"/>
            <w:shd w:val="clear" w:color="auto" w:fill="CCEEFF"/>
          </w:tcPr>
          <w:p>
            <w:pPr>
              <w:spacing w:after="0" w:line="198" w:lineRule="exact"/>
              <w:rPr>
                <w:sz w:val="20"/>
                <w:szCs w:val="20"/>
                <w:color w:val="auto"/>
              </w:rPr>
            </w:pPr>
            <w:r>
              <w:rPr>
                <w:rFonts w:ascii="Arial" w:cs="Arial" w:eastAsia="Arial" w:hAnsi="Arial"/>
                <w:sz w:val="14"/>
                <w:szCs w:val="14"/>
                <w:color w:val="auto"/>
              </w:rPr>
              <w:t xml:space="preserve">Asset </w:t>
            </w:r>
            <w:r>
              <w:rPr>
                <w:rFonts w:ascii="Arial" w:cs="Arial" w:eastAsia="Arial" w:hAnsi="Arial"/>
                <w:sz w:val="22"/>
                <w:szCs w:val="22"/>
                <w:color w:val="auto"/>
                <w:vertAlign w:val="superscript"/>
              </w:rPr>
              <w:t>(1)</w:t>
            </w:r>
          </w:p>
        </w:tc>
        <w:tc>
          <w:tcPr>
            <w:tcW w:w="20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0" w:type="dxa"/>
            <w:vAlign w:val="bottom"/>
            <w:shd w:val="clear" w:color="auto" w:fill="CCEEFF"/>
          </w:tcPr>
          <w:p>
            <w:pPr>
              <w:spacing w:after="0"/>
              <w:rPr>
                <w:sz w:val="7"/>
                <w:szCs w:val="7"/>
                <w:color w:val="auto"/>
              </w:rPr>
            </w:pPr>
          </w:p>
        </w:tc>
        <w:tc>
          <w:tcPr>
            <w:tcW w:w="1680" w:type="dxa"/>
            <w:vAlign w:val="bottom"/>
            <w:gridSpan w:val="3"/>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7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160" w:type="dxa"/>
            <w:vAlign w:val="bottom"/>
            <w:gridSpan w:val="2"/>
            <w:vMerge w:val="continue"/>
            <w:shd w:val="clear" w:color="auto" w:fill="CCEEFF"/>
          </w:tcPr>
          <w:p>
            <w:pPr>
              <w:spacing w:after="0"/>
              <w:rPr>
                <w:sz w:val="9"/>
                <w:szCs w:val="9"/>
                <w:color w:val="auto"/>
              </w:rPr>
            </w:pPr>
          </w:p>
        </w:tc>
        <w:tc>
          <w:tcPr>
            <w:tcW w:w="2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4"/>
                <w:szCs w:val="14"/>
                <w:color w:val="auto"/>
              </w:rPr>
              <w:t>Equity shares and warrants</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100.8 million</w:t>
            </w:r>
          </w:p>
        </w:tc>
        <w:tc>
          <w:tcPr>
            <w:tcW w:w="2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Enterprise Value</w:t>
            </w:r>
          </w:p>
        </w:tc>
        <w:tc>
          <w:tcPr>
            <w:tcW w:w="2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Adjusted EBITDA Multiple</w:t>
            </w:r>
          </w:p>
        </w:tc>
        <w:tc>
          <w:tcPr>
            <w:tcW w:w="2400" w:type="dxa"/>
            <w:vAlign w:val="bottom"/>
            <w:shd w:val="clear" w:color="auto" w:fill="CCEEFF"/>
          </w:tcPr>
          <w:p>
            <w:pPr>
              <w:spacing w:after="0"/>
              <w:rPr>
                <w:sz w:val="20"/>
                <w:szCs w:val="20"/>
                <w:color w:val="auto"/>
              </w:rPr>
            </w:pPr>
            <w:r>
              <w:rPr>
                <w:rFonts w:ascii="Arial" w:cs="Arial" w:eastAsia="Arial" w:hAnsi="Arial"/>
                <w:sz w:val="14"/>
                <w:szCs w:val="14"/>
                <w:color w:val="auto"/>
              </w:rPr>
              <w:t>5.0x – 10.5x</w:t>
            </w:r>
          </w:p>
        </w:tc>
        <w:tc>
          <w:tcPr>
            <w:tcW w:w="168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7.0x</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Waterfall</w:t>
            </w:r>
          </w:p>
        </w:tc>
        <w:tc>
          <w:tcPr>
            <w:tcW w:w="2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Adjusted EBITDA</w:t>
            </w:r>
          </w:p>
        </w:tc>
        <w:tc>
          <w:tcPr>
            <w:tcW w:w="2400" w:type="dxa"/>
            <w:vAlign w:val="bottom"/>
            <w:shd w:val="clear" w:color="auto" w:fill="CCEEFF"/>
          </w:tcPr>
          <w:p>
            <w:pPr>
              <w:spacing w:after="0"/>
              <w:rPr>
                <w:sz w:val="20"/>
                <w:szCs w:val="20"/>
                <w:color w:val="auto"/>
              </w:rPr>
            </w:pPr>
            <w:r>
              <w:rPr>
                <w:rFonts w:ascii="Arial" w:cs="Arial" w:eastAsia="Arial" w:hAnsi="Arial"/>
                <w:sz w:val="14"/>
                <w:szCs w:val="14"/>
                <w:color w:val="auto"/>
              </w:rPr>
              <w:t>$1.6 million -$215.3 million</w:t>
            </w:r>
          </w:p>
        </w:tc>
        <w:tc>
          <w:tcPr>
            <w:tcW w:w="168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$26.3 million</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Transaction Price</w:t>
            </w:r>
          </w:p>
        </w:tc>
        <w:tc>
          <w:tcPr>
            <w:tcW w:w="2400" w:type="dxa"/>
            <w:vAlign w:val="bottom"/>
            <w:shd w:val="clear" w:color="auto" w:fill="CCEEFF"/>
          </w:tcPr>
          <w:p>
            <w:pPr>
              <w:spacing w:after="0"/>
              <w:rPr>
                <w:sz w:val="20"/>
                <w:szCs w:val="20"/>
                <w:color w:val="auto"/>
              </w:rPr>
            </w:pPr>
            <w:r>
              <w:rPr>
                <w:rFonts w:ascii="Arial" w:cs="Arial" w:eastAsia="Arial" w:hAnsi="Arial"/>
                <w:sz w:val="14"/>
                <w:szCs w:val="14"/>
                <w:color w:val="auto"/>
              </w:rPr>
              <w:t>n/a</w:t>
            </w:r>
          </w:p>
        </w:tc>
        <w:tc>
          <w:tcPr>
            <w:tcW w:w="168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$12.2 million in subordinated notes and $14.1 million in senior secured notes were valued using the asset approach.</w:t>
      </w:r>
    </w:p>
    <w:p>
      <w:pPr>
        <w:spacing w:after="0" w:line="225" w:lineRule="exact"/>
        <w:rPr>
          <w:sz w:val="20"/>
          <w:szCs w:val="20"/>
          <w:color w:val="auto"/>
        </w:rPr>
      </w:pPr>
    </w:p>
    <w:p>
      <w:pPr>
        <w:ind w:right="140" w:firstLine="881"/>
        <w:spacing w:after="0" w:line="257" w:lineRule="auto"/>
        <w:rPr>
          <w:sz w:val="20"/>
          <w:szCs w:val="20"/>
          <w:color w:val="auto"/>
        </w:rPr>
      </w:pPr>
      <w:r>
        <w:rPr>
          <w:rFonts w:ascii="Arial" w:cs="Arial" w:eastAsia="Arial" w:hAnsi="Arial"/>
          <w:sz w:val="18"/>
          <w:szCs w:val="18"/>
          <w:color w:val="auto"/>
        </w:rPr>
        <w:t>The significant unobservable inputs used in the valuation of the Company’s debt and equity investments are required rate of return, adjusted EBITDA, EBITDA multiples, revenue, revenue multiples, leverage and transaction prices. Changes in any of these unobservable inputs could have a significant impact on the Company’s estimate of fair value. An increase (decrease) in required rate of return or leverage will result in a lower (higher) estimate of fair value while an increase (decrease) in adjusted EBITDA, EBITDA multiples, revenue, revenue multiples, or transaction prices will result in a higher (lower) estimate of fair value.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Capitala Senior Liquid Loan Fund I, LLC</w:t>
      </w:r>
    </w:p>
    <w:p>
      <w:pPr>
        <w:spacing w:after="0" w:line="225" w:lineRule="exact"/>
        <w:rPr>
          <w:sz w:val="20"/>
          <w:szCs w:val="20"/>
          <w:color w:val="auto"/>
        </w:rPr>
      </w:pPr>
    </w:p>
    <w:p>
      <w:pPr>
        <w:ind w:right="40" w:firstLine="881"/>
        <w:spacing w:after="0" w:line="255" w:lineRule="auto"/>
        <w:rPr>
          <w:sz w:val="20"/>
          <w:szCs w:val="20"/>
          <w:color w:val="auto"/>
        </w:rPr>
      </w:pPr>
      <w:r>
        <w:rPr>
          <w:rFonts w:ascii="Arial" w:cs="Arial" w:eastAsia="Arial" w:hAnsi="Arial"/>
          <w:sz w:val="18"/>
          <w:szCs w:val="18"/>
          <w:color w:val="auto"/>
        </w:rPr>
        <w:t>On March 24, 2015, Capitala and Trinity Universal Insurance Company (“Trinity”), a subsidiary of Kemper Corporation (“Kemper”), entered into a limited liability company agreement to co-manage Capitala Senior Liquid Loan Fund I, LLC. The purpose and design of the joint venture is to invest primarily in broadly syndicated senior secured loans to larger middle market companies, which will be purchased on the secondary market. Capitala and Trinity have committed to provide $25.0 million of equity to CSLLF, with Capitala providing $20.0 million and Trinity providing $5.0 million, resulting in an 80%/20% economic ownership between the two parties. The board of directors and investment committee of CSLLF is split 50/50 between Trinity and Capitala, resulting in equal voting power between the two entities.</w:t>
      </w:r>
    </w:p>
    <w:p>
      <w:pPr>
        <w:spacing w:after="0" w:line="193" w:lineRule="exact"/>
        <w:rPr>
          <w:sz w:val="20"/>
          <w:szCs w:val="20"/>
          <w:color w:val="auto"/>
        </w:rPr>
      </w:pPr>
    </w:p>
    <w:p>
      <w:pPr>
        <w:ind w:right="200" w:firstLine="881"/>
        <w:spacing w:after="0" w:line="264" w:lineRule="auto"/>
        <w:rPr>
          <w:sz w:val="20"/>
          <w:szCs w:val="20"/>
          <w:color w:val="auto"/>
        </w:rPr>
      </w:pPr>
      <w:r>
        <w:rPr>
          <w:rFonts w:ascii="Arial" w:cs="Arial" w:eastAsia="Arial" w:hAnsi="Arial"/>
          <w:sz w:val="18"/>
          <w:szCs w:val="18"/>
          <w:color w:val="auto"/>
        </w:rPr>
        <w:t>As of September 30, 2015, $20.0 million and $5.0 million in capital had been contributed by Capitala and Trinity, respectively. The Company’s investment in CSLLF is not redeemable; as such, the fair value of CSLLF is classified as a Level 3 measurement. For the three and nine months ended September 30, 2015, the Company received $0.4 million in dividend income from its equity interest in CSLLF.</w:t>
      </w:r>
    </w:p>
    <w:p>
      <w:pPr>
        <w:spacing w:after="0" w:line="181" w:lineRule="exact"/>
        <w:rPr>
          <w:sz w:val="20"/>
          <w:szCs w:val="20"/>
          <w:color w:val="auto"/>
        </w:rPr>
      </w:pPr>
    </w:p>
    <w:p>
      <w:pPr>
        <w:jc w:val="both"/>
        <w:ind w:right="420" w:firstLine="881"/>
        <w:spacing w:after="0" w:line="259" w:lineRule="auto"/>
        <w:rPr>
          <w:sz w:val="20"/>
          <w:szCs w:val="20"/>
          <w:color w:val="auto"/>
        </w:rPr>
      </w:pPr>
      <w:r>
        <w:rPr>
          <w:rFonts w:ascii="Arial" w:cs="Arial" w:eastAsia="Arial" w:hAnsi="Arial"/>
          <w:sz w:val="18"/>
          <w:szCs w:val="18"/>
          <w:color w:val="auto"/>
        </w:rPr>
        <w:t>On March 27, 2015, CSLLF entered into a total return swap (“TRS”) with Bank of America, N.A. (“Bank of America”) that is indexed to a basket of senior secured loans purchased by CSLLF. CSLLF will obtain the economic benefit of the loans underlying the TRS, including the net interest spread between the interest income generated by the underlying loans and the interest type payment under the TRS, the realized gain/(loss) on liquidated loans, and the unrealized appreciation/(depreciation) on the underlying loans.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ind w:right="20" w:firstLine="881"/>
        <w:spacing w:after="0" w:line="269" w:lineRule="auto"/>
        <w:rPr>
          <w:sz w:val="20"/>
          <w:szCs w:val="20"/>
          <w:color w:val="auto"/>
        </w:rPr>
      </w:pPr>
      <w:r>
        <w:rPr>
          <w:rFonts w:ascii="Arial" w:cs="Arial" w:eastAsia="Arial" w:hAnsi="Arial"/>
          <w:sz w:val="17"/>
          <w:szCs w:val="17"/>
          <w:color w:val="auto"/>
        </w:rPr>
        <w:t>The terms of the TRS are governed by an ISDA 2002 Master Agreement, the Schedule thereto and Credit Support Annex to such Schedule, and the confirmation exchanged thereunder, between CSLLF and Bank of America, which collectively establish the TRS, and are collectively referred to herein as the “TRS Agreement.” Pursuant to the terms of the TRS Agreement, CSLLF may select a portfolio of loans with a maximum market value (determined at the time each such loan becomes subject to the TRS) of $100,000,000, which is also referred to as the maximum notional amount of the TRS. Each individual loan, and the portfolio of loans taken as a whole, must meet criteria described in the TRS Agreement. CSLLF receives from Bank of America, a periodic payment on set dates that is based upon any coupons, both earned and accrued, generated by the loans underlying the TRS, subject to limitations described in the TRS Agreement as well as any fees associated with the loans included in the portfolio. CSLLF pays to Bank of America interest at a rate equal to LIBOR plus 1.25% per annum; the LIBOR option paid by CSLLF is determined on an asset by asset basis such that the tenor of the LIBOR option (1 month, 3 month, etc.) matches the tenor of the underlying reference asset. In addition, upon the termination of any loan subject to the TRS or any repayment of the underlying reference asset, CSLLF either receives from Bank of America, the appreciation in the value of such loan, or pays to Bank of America any depreciation in the value of such loan.</w:t>
      </w:r>
    </w:p>
    <w:p>
      <w:pPr>
        <w:spacing w:after="0" w:line="183" w:lineRule="exact"/>
        <w:rPr>
          <w:sz w:val="20"/>
          <w:szCs w:val="20"/>
          <w:color w:val="auto"/>
        </w:rPr>
      </w:pPr>
    </w:p>
    <w:p>
      <w:pPr>
        <w:jc w:val="both"/>
        <w:ind w:right="40" w:firstLine="881"/>
        <w:spacing w:after="0" w:line="286" w:lineRule="auto"/>
        <w:rPr>
          <w:sz w:val="20"/>
          <w:szCs w:val="20"/>
          <w:color w:val="auto"/>
        </w:rPr>
      </w:pPr>
      <w:r>
        <w:rPr>
          <w:rFonts w:ascii="Arial" w:cs="Arial" w:eastAsia="Arial" w:hAnsi="Arial"/>
          <w:sz w:val="17"/>
          <w:szCs w:val="17"/>
          <w:color w:val="auto"/>
        </w:rPr>
        <w:t>CSLLF is required to pay an unused facility fee of 1.25% on any amount of unused facility under the minimum facility amount of $70,000,000 as outlined in the TRS agreement. Such unused facility fee will not apply during the first 4 months and last 60 days of the term of the TRS. CSLLF will also pay Bank of America customary fees and expenses in connection with the establishment and maintenance of the TRS.</w:t>
      </w:r>
    </w:p>
    <w:p>
      <w:pPr>
        <w:spacing w:after="0" w:line="166" w:lineRule="exact"/>
        <w:rPr>
          <w:sz w:val="20"/>
          <w:szCs w:val="20"/>
          <w:color w:val="auto"/>
        </w:rPr>
      </w:pPr>
    </w:p>
    <w:p>
      <w:pPr>
        <w:ind w:right="20" w:firstLine="881"/>
        <w:spacing w:after="0" w:line="276" w:lineRule="auto"/>
        <w:rPr>
          <w:sz w:val="20"/>
          <w:szCs w:val="20"/>
          <w:color w:val="auto"/>
        </w:rPr>
      </w:pPr>
      <w:r>
        <w:rPr>
          <w:rFonts w:ascii="Arial" w:cs="Arial" w:eastAsia="Arial" w:hAnsi="Arial"/>
          <w:sz w:val="17"/>
          <w:szCs w:val="17"/>
          <w:color w:val="auto"/>
        </w:rPr>
        <w:t>CSLLF is required to initially cash collateralize a specified percentage of each loan (generally 20% to 35% of the market value of senior secured loans) included under the TRS in accordance with margin requirements described in the TRS Agreement. As of September 30, 2015, CSLLF has posted $16.7 million in collateral to Bank of America in relation to the TRS which is recorded on CSLLF’s statements of assets and liabilities as cash held as collateral on total return swap. CSLLF may be required to post additional collateral as a result of a decline in the mark-to-market value of the portfolio of loans subject to the TRS. The $16.7 million in cash collateral represents CSLLF’s maximum credit exposure as of September 30, 2015.</w:t>
      </w:r>
    </w:p>
    <w:p>
      <w:pPr>
        <w:spacing w:after="0" w:line="173" w:lineRule="exact"/>
        <w:rPr>
          <w:sz w:val="20"/>
          <w:szCs w:val="20"/>
          <w:color w:val="auto"/>
        </w:rPr>
      </w:pPr>
    </w:p>
    <w:p>
      <w:pPr>
        <w:ind w:right="120" w:firstLine="881"/>
        <w:spacing w:after="0" w:line="264" w:lineRule="auto"/>
        <w:rPr>
          <w:sz w:val="20"/>
          <w:szCs w:val="20"/>
          <w:color w:val="auto"/>
        </w:rPr>
      </w:pPr>
      <w:r>
        <w:rPr>
          <w:rFonts w:ascii="Arial" w:cs="Arial" w:eastAsia="Arial" w:hAnsi="Arial"/>
          <w:sz w:val="18"/>
          <w:szCs w:val="18"/>
          <w:color w:val="auto"/>
        </w:rPr>
        <w:t>In connection with the TRS, CSLLF has made customary representations and warranties and is required to comply with various covenants, reporting requirements and other customary requirements for similar transactions governed by an ISDA 2002 Master Agreement. As of September 30, 2015, CSLLF is not in default with regards to any covenants or requirements of the TRS.</w:t>
      </w:r>
    </w:p>
    <w:p>
      <w:pPr>
        <w:spacing w:after="0" w:line="181" w:lineRule="exact"/>
        <w:rPr>
          <w:sz w:val="20"/>
          <w:szCs w:val="20"/>
          <w:color w:val="auto"/>
        </w:rPr>
      </w:pPr>
    </w:p>
    <w:p>
      <w:pPr>
        <w:ind w:firstLine="881"/>
        <w:spacing w:after="0" w:line="259" w:lineRule="auto"/>
        <w:rPr>
          <w:sz w:val="20"/>
          <w:szCs w:val="20"/>
          <w:color w:val="auto"/>
        </w:rPr>
      </w:pPr>
      <w:r>
        <w:rPr>
          <w:rFonts w:ascii="Arial" w:cs="Arial" w:eastAsia="Arial" w:hAnsi="Arial"/>
          <w:sz w:val="18"/>
          <w:szCs w:val="18"/>
          <w:color w:val="auto"/>
        </w:rPr>
        <w:t>CSLLF’s receivable due on total return swap represents realized amounts from payments on underlying loans in the total return swap portfolio. At September 30, 2015, the receivable due on total return swap was $0.3 million and is recorded on CSLLF’s statements of assets and liabilities below. CSLLF does not offset collateral posted in relation to the TRS with any unrealized appreciation or depreciation outstanding in the statements of assets and liabilities as of September 30, 2015.</w:t>
      </w:r>
    </w:p>
    <w:p>
      <w:pPr>
        <w:spacing w:after="0" w:line="187" w:lineRule="exact"/>
        <w:rPr>
          <w:sz w:val="20"/>
          <w:szCs w:val="20"/>
          <w:color w:val="auto"/>
        </w:rPr>
      </w:pPr>
    </w:p>
    <w:p>
      <w:pPr>
        <w:ind w:right="220" w:firstLine="881"/>
        <w:spacing w:after="0" w:line="264" w:lineRule="auto"/>
        <w:rPr>
          <w:sz w:val="20"/>
          <w:szCs w:val="20"/>
          <w:color w:val="auto"/>
        </w:rPr>
      </w:pPr>
      <w:r>
        <w:rPr>
          <w:rFonts w:ascii="Arial" w:cs="Arial" w:eastAsia="Arial" w:hAnsi="Arial"/>
          <w:sz w:val="18"/>
          <w:szCs w:val="18"/>
          <w:color w:val="auto"/>
        </w:rPr>
        <w:t>Transactions in TRS contracts during the three and nine months ended September 30, 2015 resulted in $0.6 million and $0.7 million in realized gains, respectively, and $(0.7) million and $(0.6) million in unrealized depreciation, respectively, which is recorded on CSLLF’s statements of operations below.</w:t>
      </w:r>
    </w:p>
    <w:p>
      <w:pPr>
        <w:spacing w:after="0" w:line="181" w:lineRule="exact"/>
        <w:rPr>
          <w:sz w:val="20"/>
          <w:szCs w:val="20"/>
          <w:color w:val="auto"/>
        </w:rPr>
      </w:pPr>
    </w:p>
    <w:p>
      <w:pPr>
        <w:ind w:right="60" w:firstLine="881"/>
        <w:spacing w:after="0" w:line="286" w:lineRule="auto"/>
        <w:rPr>
          <w:sz w:val="20"/>
          <w:szCs w:val="20"/>
          <w:color w:val="auto"/>
        </w:rPr>
      </w:pPr>
      <w:r>
        <w:rPr>
          <w:rFonts w:ascii="Arial" w:cs="Arial" w:eastAsia="Arial" w:hAnsi="Arial"/>
          <w:sz w:val="17"/>
          <w:szCs w:val="17"/>
          <w:color w:val="auto"/>
        </w:rPr>
        <w:t>CSLLF only held one derivative position as of the three and nine months ended September 30, 2015 and the derivative held is subject to a netting arrangement. The following table represents CSLLF’s gross and net amounts after offset under Master Agreements (“MA”) of the derivative assets and liabilities presented by derivative type net of the related collateral pledged by the CSLLF as of September 30, 2015 (dollars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Derivative</w:t>
            </w:r>
          </w:p>
        </w:tc>
        <w:tc>
          <w:tcPr>
            <w:tcW w:w="19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Net Amount Presented</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6"/>
              </w:rPr>
              <w:t>Net</w:t>
            </w:r>
          </w:p>
        </w:tc>
      </w:tr>
      <w:tr>
        <w:trPr>
          <w:trHeight w:val="216"/>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Gross Derivative</w:t>
            </w:r>
          </w:p>
        </w:tc>
        <w:tc>
          <w:tcPr>
            <w:tcW w:w="10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18"/>
                <w:szCs w:val="18"/>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in the Consolidated</w:t>
            </w: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Cash</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Amount of</w:t>
            </w:r>
          </w:p>
        </w:tc>
      </w:tr>
      <w:tr>
        <w:trPr>
          <w:trHeight w:val="216"/>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20" w:type="dxa"/>
            <w:vAlign w:val="bottom"/>
            <w:gridSpan w:val="4"/>
          </w:tcPr>
          <w:p>
            <w:pPr>
              <w:jc w:val="center"/>
              <w:ind w:left="670"/>
              <w:spacing w:after="0"/>
              <w:rPr>
                <w:sz w:val="20"/>
                <w:szCs w:val="20"/>
                <w:color w:val="auto"/>
              </w:rPr>
            </w:pPr>
            <w:r>
              <w:rPr>
                <w:rFonts w:ascii="Arial" w:cs="Arial" w:eastAsia="Arial" w:hAnsi="Arial"/>
                <w:sz w:val="18"/>
                <w:szCs w:val="18"/>
                <w:b w:val="1"/>
                <w:bCs w:val="1"/>
                <w:color w:val="auto"/>
                <w:w w:val="89"/>
              </w:rPr>
              <w:t>Assets/(Liabilities)</w:t>
            </w:r>
          </w:p>
        </w:tc>
        <w:tc>
          <w:tcPr>
            <w:tcW w:w="10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Available for</w:t>
            </w:r>
          </w:p>
        </w:tc>
        <w:tc>
          <w:tcPr>
            <w:tcW w:w="19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5"/>
              </w:rPr>
              <w:t>Statements of Assets</w:t>
            </w: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Collateral</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Derivative</w:t>
            </w:r>
          </w:p>
        </w:tc>
      </w:tr>
      <w:tr>
        <w:trPr>
          <w:trHeight w:val="234"/>
        </w:trPr>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Subject to MA</w:t>
            </w:r>
          </w:p>
        </w:tc>
        <w:tc>
          <w:tcPr>
            <w:tcW w:w="100" w:type="dxa"/>
            <w:vAlign w:val="bottom"/>
          </w:tcPr>
          <w:p>
            <w:pPr>
              <w:spacing w:after="0"/>
              <w:rPr>
                <w:sz w:val="20"/>
                <w:szCs w:val="20"/>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Offset</w:t>
            </w:r>
          </w:p>
        </w:tc>
        <w:tc>
          <w:tcPr>
            <w:tcW w:w="100" w:type="dxa"/>
            <w:vAlign w:val="bottom"/>
          </w:tcPr>
          <w:p>
            <w:pPr>
              <w:spacing w:after="0"/>
              <w:rPr>
                <w:sz w:val="20"/>
                <w:szCs w:val="20"/>
                <w:color w:val="auto"/>
              </w:rPr>
            </w:pPr>
          </w:p>
        </w:tc>
        <w:tc>
          <w:tcPr>
            <w:tcW w:w="18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and Liabilities</w:t>
            </w:r>
          </w:p>
        </w:tc>
        <w:tc>
          <w:tcPr>
            <w:tcW w:w="14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Received</w:t>
            </w:r>
          </w:p>
        </w:tc>
        <w:tc>
          <w:tcPr>
            <w:tcW w:w="164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Assets/(Liabilities)</w:t>
            </w:r>
          </w:p>
        </w:tc>
      </w:tr>
      <w:tr>
        <w:trPr>
          <w:trHeight w:val="190"/>
        </w:trPr>
        <w:tc>
          <w:tcPr>
            <w:tcW w:w="20" w:type="dxa"/>
            <w:vAlign w:val="bottom"/>
          </w:tcPr>
          <w:p>
            <w:pPr>
              <w:spacing w:after="0"/>
              <w:rPr>
                <w:sz w:val="16"/>
                <w:szCs w:val="16"/>
                <w:color w:val="auto"/>
              </w:rPr>
            </w:pPr>
          </w:p>
        </w:tc>
        <w:tc>
          <w:tcPr>
            <w:tcW w:w="1500" w:type="dxa"/>
            <w:vAlign w:val="bottom"/>
            <w:tcBorders>
              <w:top w:val="single" w:sz="8" w:color="CCEEFF"/>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8"/>
              </w:rPr>
              <w:t>September 30, 2015</w:t>
            </w:r>
          </w:p>
        </w:tc>
        <w:tc>
          <w:tcPr>
            <w:tcW w:w="102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30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62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390"/>
        </w:trPr>
        <w:tc>
          <w:tcPr>
            <w:tcW w:w="2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 xml:space="preserve">Total Return Swap </w:t>
            </w:r>
            <w:r>
              <w:rPr>
                <w:rFonts w:ascii="Arial" w:cs="Arial" w:eastAsia="Arial" w:hAnsi="Arial"/>
                <w:sz w:val="30"/>
                <w:szCs w:val="30"/>
                <w:color w:val="auto"/>
                <w:vertAlign w:val="superscript"/>
              </w:rPr>
              <w:t>(1)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(631)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gridSpan w:val="2"/>
          </w:tcPr>
          <w:p>
            <w:pPr>
              <w:jc w:val="right"/>
              <w:ind w:right="160"/>
              <w:spacing w:after="0"/>
              <w:rPr>
                <w:sz w:val="20"/>
                <w:szCs w:val="20"/>
                <w:color w:val="auto"/>
              </w:rPr>
            </w:pPr>
            <w:r>
              <w:rPr>
                <w:rFonts w:ascii="Arial" w:cs="Arial" w:eastAsia="Arial" w:hAnsi="Arial"/>
                <w:sz w:val="18"/>
                <w:szCs w:val="18"/>
                <w:color w:val="auto"/>
              </w:rPr>
              <w:t>(631)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(631)</w:t>
            </w:r>
          </w:p>
        </w:tc>
      </w:tr>
    </w:tbl>
    <w:p>
      <w:pPr>
        <w:spacing w:after="0" w:line="68" w:lineRule="exact"/>
        <w:rPr>
          <w:sz w:val="20"/>
          <w:szCs w:val="20"/>
          <w:color w:val="auto"/>
        </w:rPr>
      </w:pPr>
    </w:p>
    <w:p>
      <w:pPr>
        <w:ind w:left="680" w:right="120" w:hanging="334"/>
        <w:spacing w:after="0" w:line="277"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Cash was posted for initial margin requirements for the total return swap as of September 30, 2015 and is reported on CSLLF’s statements of assets and liabilities as cash collateral on total return swap.</w:t>
      </w:r>
    </w:p>
    <w:p>
      <w:pPr>
        <w:spacing w:after="0" w:line="170" w:lineRule="exact"/>
        <w:rPr>
          <w:sz w:val="20"/>
          <w:szCs w:val="20"/>
          <w:color w:val="auto"/>
        </w:rPr>
      </w:pPr>
    </w:p>
    <w:p>
      <w:pPr>
        <w:ind w:right="60" w:firstLine="881"/>
        <w:spacing w:after="0" w:line="277" w:lineRule="auto"/>
        <w:rPr>
          <w:sz w:val="20"/>
          <w:szCs w:val="20"/>
          <w:color w:val="auto"/>
        </w:rPr>
      </w:pPr>
      <w:r>
        <w:rPr>
          <w:rFonts w:ascii="Arial" w:cs="Arial" w:eastAsia="Arial" w:hAnsi="Arial"/>
          <w:sz w:val="18"/>
          <w:szCs w:val="18"/>
          <w:color w:val="auto"/>
        </w:rPr>
        <w:t>The following represents the volume of the CSLLF’s derivative transactions during the three and nine months ended September 30, 2015 (dollars in thousands):</w:t>
      </w:r>
    </w:p>
    <w:p>
      <w:pPr>
        <w:spacing w:after="0" w:line="166" w:lineRule="exact"/>
        <w:rPr>
          <w:sz w:val="20"/>
          <w:szCs w:val="20"/>
          <w:color w:val="auto"/>
        </w:rPr>
      </w:pPr>
    </w:p>
    <w:tbl>
      <w:tblPr>
        <w:tblLayout w:type="fixed"/>
        <w:tblInd w:w="104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2"/>
              </w:rPr>
              <w:t>For the three</w:t>
            </w:r>
          </w:p>
        </w:tc>
        <w:tc>
          <w:tcPr>
            <w:tcW w:w="80" w:type="dxa"/>
            <w:vAlign w:val="bottom"/>
          </w:tcPr>
          <w:p>
            <w:pPr>
              <w:spacing w:after="0"/>
              <w:rPr>
                <w:sz w:val="18"/>
                <w:szCs w:val="18"/>
                <w:color w:val="auto"/>
              </w:rPr>
            </w:pPr>
          </w:p>
        </w:tc>
        <w:tc>
          <w:tcPr>
            <w:tcW w:w="11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1"/>
              </w:rPr>
              <w:t>For the nine</w:t>
            </w:r>
          </w:p>
        </w:tc>
      </w:tr>
      <w:tr>
        <w:trPr>
          <w:trHeight w:val="216"/>
        </w:trPr>
        <w:tc>
          <w:tcPr>
            <w:tcW w:w="48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6"/>
              </w:rPr>
              <w:t>months ended</w:t>
            </w:r>
          </w:p>
        </w:tc>
        <w:tc>
          <w:tcPr>
            <w:tcW w:w="80" w:type="dxa"/>
            <w:vAlign w:val="bottom"/>
          </w:tcPr>
          <w:p>
            <w:pPr>
              <w:spacing w:after="0"/>
              <w:rPr>
                <w:sz w:val="18"/>
                <w:szCs w:val="18"/>
                <w:color w:val="auto"/>
              </w:rPr>
            </w:pPr>
          </w:p>
        </w:tc>
        <w:tc>
          <w:tcPr>
            <w:tcW w:w="11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months ended</w:t>
            </w:r>
          </w:p>
        </w:tc>
      </w:tr>
      <w:tr>
        <w:trPr>
          <w:trHeight w:val="220"/>
        </w:trPr>
        <w:tc>
          <w:tcPr>
            <w:tcW w:w="4800" w:type="dxa"/>
            <w:vAlign w:val="bottom"/>
          </w:tcPr>
          <w:p>
            <w:pPr>
              <w:spacing w:after="0"/>
              <w:rPr>
                <w:sz w:val="19"/>
                <w:szCs w:val="19"/>
                <w:color w:val="auto"/>
              </w:rPr>
            </w:pPr>
          </w:p>
        </w:tc>
        <w:tc>
          <w:tcPr>
            <w:tcW w:w="3080" w:type="dxa"/>
            <w:vAlign w:val="bottom"/>
            <w:gridSpan w:val="4"/>
          </w:tcPr>
          <w:p>
            <w:pPr>
              <w:jc w:val="center"/>
              <w:ind w:left="1730"/>
              <w:spacing w:after="0"/>
              <w:rPr>
                <w:sz w:val="20"/>
                <w:szCs w:val="20"/>
                <w:color w:val="auto"/>
              </w:rPr>
            </w:pPr>
            <w:r>
              <w:rPr>
                <w:rFonts w:ascii="Arial" w:cs="Arial" w:eastAsia="Arial" w:hAnsi="Arial"/>
                <w:sz w:val="18"/>
                <w:szCs w:val="18"/>
                <w:b w:val="1"/>
                <w:bCs w:val="1"/>
                <w:color w:val="auto"/>
                <w:w w:val="89"/>
              </w:rPr>
              <w:t>September 30,</w:t>
            </w:r>
          </w:p>
        </w:tc>
        <w:tc>
          <w:tcPr>
            <w:tcW w:w="12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September 30,</w:t>
            </w:r>
          </w:p>
        </w:tc>
      </w:tr>
      <w:tr>
        <w:trPr>
          <w:trHeight w:val="271"/>
        </w:trPr>
        <w:tc>
          <w:tcPr>
            <w:tcW w:w="4800" w:type="dxa"/>
            <w:vAlign w:val="bottom"/>
            <w:tcBorders>
              <w:bottom w:val="single" w:sz="8" w:color="CCEEFF"/>
            </w:tcBorders>
          </w:tcPr>
          <w:p>
            <w:pPr>
              <w:spacing w:after="0"/>
              <w:rPr>
                <w:sz w:val="23"/>
                <w:szCs w:val="23"/>
                <w:color w:val="auto"/>
              </w:rPr>
            </w:pPr>
          </w:p>
        </w:tc>
        <w:tc>
          <w:tcPr>
            <w:tcW w:w="19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2015</w:t>
            </w:r>
          </w:p>
        </w:tc>
        <w:tc>
          <w:tcPr>
            <w:tcW w:w="8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center"/>
              <w:ind w:right="90"/>
              <w:spacing w:after="0" w:line="271" w:lineRule="exact"/>
              <w:rPr>
                <w:sz w:val="20"/>
                <w:szCs w:val="20"/>
                <w:color w:val="auto"/>
              </w:rPr>
            </w:pPr>
            <w:r>
              <w:rPr>
                <w:rFonts w:ascii="Arial" w:cs="Arial" w:eastAsia="Arial" w:hAnsi="Arial"/>
                <w:sz w:val="18"/>
                <w:szCs w:val="18"/>
                <w:b w:val="1"/>
                <w:bCs w:val="1"/>
                <w:color w:val="auto"/>
                <w:w w:val="83"/>
              </w:rPr>
              <w:t xml:space="preserve">2015 </w:t>
            </w:r>
            <w:r>
              <w:rPr>
                <w:rFonts w:ascii="Arial" w:cs="Arial" w:eastAsia="Arial" w:hAnsi="Arial"/>
                <w:sz w:val="30"/>
                <w:szCs w:val="30"/>
                <w:b w:val="1"/>
                <w:bCs w:val="1"/>
                <w:color w:val="auto"/>
                <w:w w:val="83"/>
                <w:vertAlign w:val="superscript"/>
              </w:rPr>
              <w:t>(1)</w:t>
            </w:r>
          </w:p>
        </w:tc>
        <w:tc>
          <w:tcPr>
            <w:tcW w:w="80" w:type="dxa"/>
            <w:vAlign w:val="bottom"/>
            <w:tcBorders>
              <w:bottom w:val="single" w:sz="8" w:color="CCEEFF"/>
            </w:tcBorders>
          </w:tcPr>
          <w:p>
            <w:pPr>
              <w:spacing w:after="0"/>
              <w:rPr>
                <w:sz w:val="23"/>
                <w:szCs w:val="23"/>
                <w:color w:val="auto"/>
              </w:rPr>
            </w:pP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Average notional par amount of contract</w:t>
            </w:r>
          </w:p>
        </w:tc>
        <w:tc>
          <w:tcPr>
            <w:tcW w:w="19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76,057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52,174</w:t>
            </w: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Average calculated from period of TRS inception, March 27 to September 30, 2015.</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ind w:left="880"/>
        <w:spacing w:after="0"/>
        <w:rPr>
          <w:sz w:val="20"/>
          <w:szCs w:val="20"/>
          <w:color w:val="auto"/>
        </w:rPr>
      </w:pPr>
      <w:r>
        <w:rPr>
          <w:rFonts w:ascii="Arial" w:cs="Arial" w:eastAsia="Arial" w:hAnsi="Arial"/>
          <w:sz w:val="18"/>
          <w:szCs w:val="18"/>
          <w:color w:val="auto"/>
        </w:rPr>
        <w:t>The following is a summary of the TRS reference assets as of September 30, 2015 (dollars in thousands):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Capitala Senior Liquid Loan Fund I, LLC Loan Portfolio as of September 30, 2015</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38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Portfolio Company</w:t>
            </w:r>
          </w:p>
        </w:tc>
        <w:tc>
          <w:tcPr>
            <w:tcW w:w="16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Business Description</w:t>
            </w:r>
          </w:p>
        </w:tc>
        <w:tc>
          <w:tcPr>
            <w:tcW w:w="100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Security Type</w:t>
            </w:r>
          </w:p>
        </w:tc>
        <w:tc>
          <w:tcPr>
            <w:tcW w:w="106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Maturity Date</w:t>
            </w:r>
          </w:p>
        </w:tc>
        <w:tc>
          <w:tcPr>
            <w:tcW w:w="1720" w:type="dxa"/>
            <w:vAlign w:val="bottom"/>
            <w:tcBorders>
              <w:top w:val="single" w:sz="8" w:color="auto"/>
            </w:tcBorders>
            <w:gridSpan w:val="3"/>
          </w:tcPr>
          <w:p>
            <w:pPr>
              <w:ind w:left="100"/>
              <w:spacing w:after="0" w:line="183" w:lineRule="exact"/>
              <w:rPr>
                <w:sz w:val="20"/>
                <w:szCs w:val="20"/>
                <w:color w:val="auto"/>
              </w:rPr>
            </w:pPr>
            <w:r>
              <w:rPr>
                <w:rFonts w:ascii="Arial" w:cs="Arial" w:eastAsia="Arial" w:hAnsi="Arial"/>
                <w:sz w:val="13"/>
                <w:szCs w:val="13"/>
                <w:b w:val="1"/>
                <w:bCs w:val="1"/>
                <w:color w:val="auto"/>
              </w:rPr>
              <w:t xml:space="preserve">Current Interest Rate </w:t>
            </w:r>
            <w:r>
              <w:rPr>
                <w:rFonts w:ascii="Arial" w:cs="Arial" w:eastAsia="Arial" w:hAnsi="Arial"/>
                <w:sz w:val="21"/>
                <w:szCs w:val="21"/>
                <w:b w:val="1"/>
                <w:bCs w:val="1"/>
                <w:color w:val="auto"/>
                <w:vertAlign w:val="superscript"/>
              </w:rPr>
              <w:t>(2)</w:t>
            </w: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Principal</w:t>
            </w: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Cost</w:t>
            </w:r>
          </w:p>
        </w:tc>
        <w:tc>
          <w:tcPr>
            <w:tcW w:w="1080" w:type="dxa"/>
            <w:vAlign w:val="bottom"/>
            <w:tcBorders>
              <w:top w:val="single" w:sz="8" w:color="auto"/>
            </w:tcBorders>
            <w:gridSpan w:val="3"/>
          </w:tcPr>
          <w:p>
            <w:pPr>
              <w:spacing w:after="0" w:line="183" w:lineRule="exact"/>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21"/>
                <w:szCs w:val="21"/>
                <w:b w:val="1"/>
                <w:bCs w:val="1"/>
                <w:color w:val="auto"/>
                <w:vertAlign w:val="superscript"/>
              </w:rPr>
              <w:t>(1)</w:t>
            </w:r>
          </w:p>
        </w:tc>
        <w:tc>
          <w:tcPr>
            <w:tcW w:w="1520" w:type="dxa"/>
            <w:vAlign w:val="bottom"/>
            <w:tcBorders>
              <w:top w:val="single" w:sz="8" w:color="auto"/>
            </w:tcBorders>
            <w:gridSpan w:val="3"/>
          </w:tcPr>
          <w:p>
            <w:pPr>
              <w:spacing w:after="0"/>
              <w:rPr>
                <w:sz w:val="20"/>
                <w:szCs w:val="20"/>
                <w:color w:val="auto"/>
              </w:rPr>
            </w:pPr>
            <w:r>
              <w:rPr>
                <w:rFonts w:ascii="Arial" w:cs="Arial" w:eastAsia="Arial" w:hAnsi="Arial"/>
                <w:sz w:val="14"/>
                <w:szCs w:val="14"/>
                <w:b w:val="1"/>
                <w:bCs w:val="1"/>
                <w:color w:val="auto"/>
                <w:w w:val="98"/>
              </w:rPr>
              <w:t>Unrealized Gain/(Loss)</w:t>
            </w:r>
          </w:p>
        </w:tc>
        <w:tc>
          <w:tcPr>
            <w:tcW w:w="0" w:type="dxa"/>
            <w:vAlign w:val="bottom"/>
          </w:tcPr>
          <w:p>
            <w:pPr>
              <w:spacing w:after="0"/>
              <w:rPr>
                <w:sz w:val="1"/>
                <w:szCs w:val="1"/>
                <w:color w:val="auto"/>
              </w:rPr>
            </w:pPr>
          </w:p>
        </w:tc>
      </w:tr>
      <w:tr>
        <w:trPr>
          <w:trHeight w:val="123"/>
        </w:trPr>
        <w:tc>
          <w:tcPr>
            <w:tcW w:w="130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21st Century</w:t>
            </w:r>
          </w:p>
        </w:tc>
        <w:tc>
          <w:tcPr>
            <w:tcW w:w="80" w:type="dxa"/>
            <w:vAlign w:val="bottom"/>
            <w:tcBorders>
              <w:top w:val="single" w:sz="8" w:color="CCEEFF"/>
            </w:tcBorders>
            <w:shd w:val="clear" w:color="auto" w:fill="CCEEFF"/>
          </w:tcPr>
          <w:p>
            <w:pPr>
              <w:spacing w:after="0"/>
              <w:rPr>
                <w:sz w:val="10"/>
                <w:szCs w:val="10"/>
                <w:color w:val="auto"/>
              </w:rPr>
            </w:pPr>
          </w:p>
        </w:tc>
        <w:tc>
          <w:tcPr>
            <w:tcW w:w="158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w w:val="94"/>
              </w:rPr>
              <w:t>Healthcare, Education and</w:t>
            </w:r>
          </w:p>
        </w:tc>
        <w:tc>
          <w:tcPr>
            <w:tcW w:w="8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5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Oncology, Inc.</w:t>
            </w:r>
          </w:p>
        </w:tc>
        <w:tc>
          <w:tcPr>
            <w:tcW w:w="1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Childcare</w:t>
            </w:r>
          </w:p>
        </w:tc>
        <w:tc>
          <w:tcPr>
            <w:tcW w:w="1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Senior Loan</w:t>
            </w:r>
          </w:p>
        </w:tc>
        <w:tc>
          <w:tcPr>
            <w:tcW w:w="1060" w:type="dxa"/>
            <w:vAlign w:val="bottom"/>
            <w:shd w:val="clear" w:color="auto" w:fill="CCEEFF"/>
          </w:tcPr>
          <w:p>
            <w:pPr>
              <w:spacing w:after="0"/>
              <w:rPr>
                <w:sz w:val="20"/>
                <w:szCs w:val="20"/>
                <w:color w:val="auto"/>
              </w:rPr>
            </w:pPr>
            <w:r>
              <w:rPr>
                <w:rFonts w:ascii="Arial" w:cs="Arial" w:eastAsia="Arial" w:hAnsi="Arial"/>
                <w:sz w:val="14"/>
                <w:szCs w:val="14"/>
                <w:color w:val="auto"/>
              </w:rPr>
              <w:t>April, 2022</w:t>
            </w:r>
          </w:p>
        </w:tc>
        <w:tc>
          <w:tcPr>
            <w:tcW w:w="17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Libor + 5.5%, 1% floor</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1,995</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1,975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1,890</w:t>
            </w:r>
          </w:p>
        </w:tc>
        <w:tc>
          <w:tcPr>
            <w:tcW w:w="64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30"/>
        </w:trPr>
        <w:tc>
          <w:tcPr>
            <w:tcW w:w="1380" w:type="dxa"/>
            <w:vAlign w:val="bottom"/>
            <w:gridSpan w:val="2"/>
          </w:tcPr>
          <w:p>
            <w:pPr>
              <w:spacing w:after="0" w:line="130" w:lineRule="exact"/>
              <w:rPr>
                <w:sz w:val="20"/>
                <w:szCs w:val="20"/>
                <w:color w:val="auto"/>
              </w:rPr>
            </w:pPr>
            <w:r>
              <w:rPr>
                <w:rFonts w:ascii="Arial" w:cs="Arial" w:eastAsia="Arial" w:hAnsi="Arial"/>
                <w:sz w:val="14"/>
                <w:szCs w:val="14"/>
                <w:color w:val="auto"/>
              </w:rPr>
              <w:t>ABG Intermediate</w:t>
            </w: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380" w:type="dxa"/>
            <w:vAlign w:val="bottom"/>
            <w:gridSpan w:val="2"/>
          </w:tcPr>
          <w:p>
            <w:pPr>
              <w:spacing w:after="0"/>
              <w:rPr>
                <w:sz w:val="20"/>
                <w:szCs w:val="20"/>
                <w:color w:val="auto"/>
              </w:rPr>
            </w:pPr>
            <w:r>
              <w:rPr>
                <w:rFonts w:ascii="Arial" w:cs="Arial" w:eastAsia="Arial" w:hAnsi="Arial"/>
                <w:sz w:val="14"/>
                <w:szCs w:val="14"/>
                <w:color w:val="auto"/>
              </w:rPr>
              <w:t>Holdings 2, LLC</w:t>
            </w:r>
          </w:p>
        </w:tc>
        <w:tc>
          <w:tcPr>
            <w:tcW w:w="1660" w:type="dxa"/>
            <w:vAlign w:val="bottom"/>
            <w:gridSpan w:val="2"/>
          </w:tcPr>
          <w:p>
            <w:pPr>
              <w:spacing w:after="0"/>
              <w:rPr>
                <w:sz w:val="20"/>
                <w:szCs w:val="20"/>
                <w:color w:val="auto"/>
              </w:rPr>
            </w:pPr>
            <w:r>
              <w:rPr>
                <w:rFonts w:ascii="Arial" w:cs="Arial" w:eastAsia="Arial" w:hAnsi="Arial"/>
                <w:sz w:val="14"/>
                <w:szCs w:val="14"/>
                <w:color w:val="auto"/>
              </w:rPr>
              <w:t>Textiles and Leather</w:t>
            </w:r>
          </w:p>
        </w:tc>
        <w:tc>
          <w:tcPr>
            <w:tcW w:w="1000" w:type="dxa"/>
            <w:vAlign w:val="bottom"/>
            <w:gridSpan w:val="2"/>
          </w:tcPr>
          <w:p>
            <w:pPr>
              <w:spacing w:after="0"/>
              <w:rPr>
                <w:sz w:val="20"/>
                <w:szCs w:val="20"/>
                <w:color w:val="auto"/>
              </w:rPr>
            </w:pPr>
            <w:r>
              <w:rPr>
                <w:rFonts w:ascii="Arial" w:cs="Arial" w:eastAsia="Arial" w:hAnsi="Arial"/>
                <w:sz w:val="14"/>
                <w:szCs w:val="14"/>
                <w:color w:val="auto"/>
              </w:rPr>
              <w:t>Senior Loan</w:t>
            </w:r>
          </w:p>
        </w:tc>
        <w:tc>
          <w:tcPr>
            <w:tcW w:w="1060" w:type="dxa"/>
            <w:vAlign w:val="bottom"/>
          </w:tcPr>
          <w:p>
            <w:pPr>
              <w:spacing w:after="0"/>
              <w:rPr>
                <w:sz w:val="20"/>
                <w:szCs w:val="20"/>
                <w:color w:val="auto"/>
              </w:rPr>
            </w:pPr>
            <w:r>
              <w:rPr>
                <w:rFonts w:ascii="Arial" w:cs="Arial" w:eastAsia="Arial" w:hAnsi="Arial"/>
                <w:sz w:val="14"/>
                <w:szCs w:val="14"/>
                <w:color w:val="auto"/>
              </w:rPr>
              <w:t>May, 2021</w:t>
            </w:r>
          </w:p>
        </w:tc>
        <w:tc>
          <w:tcPr>
            <w:tcW w:w="1720" w:type="dxa"/>
            <w:vAlign w:val="bottom"/>
            <w:gridSpan w:val="3"/>
          </w:tcPr>
          <w:p>
            <w:pPr>
              <w:ind w:left="100"/>
              <w:spacing w:after="0"/>
              <w:rPr>
                <w:sz w:val="20"/>
                <w:szCs w:val="20"/>
                <w:color w:val="auto"/>
              </w:rPr>
            </w:pPr>
            <w:r>
              <w:rPr>
                <w:rFonts w:ascii="Arial" w:cs="Arial" w:eastAsia="Arial" w:hAnsi="Arial"/>
                <w:sz w:val="14"/>
                <w:szCs w:val="14"/>
                <w:color w:val="auto"/>
              </w:rPr>
              <w:t>Libor + 4.5%, 1% floor</w:t>
            </w: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1,992</w:t>
            </w:r>
          </w:p>
        </w:tc>
        <w:tc>
          <w:tcPr>
            <w:tcW w:w="20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1,972</w:t>
            </w:r>
          </w:p>
        </w:tc>
        <w:tc>
          <w:tcPr>
            <w:tcW w:w="30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1,978</w:t>
            </w:r>
          </w:p>
        </w:tc>
        <w:tc>
          <w:tcPr>
            <w:tcW w:w="6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American Rock Salt</w:t>
            </w:r>
          </w:p>
        </w:tc>
        <w:tc>
          <w:tcPr>
            <w:tcW w:w="16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Mining, Steel, Iron and</w:t>
            </w: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Company, LLC</w:t>
            </w:r>
          </w:p>
        </w:tc>
        <w:tc>
          <w:tcPr>
            <w:tcW w:w="1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Non Precious Metals</w:t>
            </w:r>
          </w:p>
        </w:tc>
        <w:tc>
          <w:tcPr>
            <w:tcW w:w="1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Senior Loan</w:t>
            </w:r>
          </w:p>
        </w:tc>
        <w:tc>
          <w:tcPr>
            <w:tcW w:w="1060" w:type="dxa"/>
            <w:vAlign w:val="bottom"/>
            <w:shd w:val="clear" w:color="auto" w:fill="CCEEFF"/>
          </w:tcPr>
          <w:p>
            <w:pPr>
              <w:spacing w:after="0"/>
              <w:rPr>
                <w:sz w:val="20"/>
                <w:szCs w:val="20"/>
                <w:color w:val="auto"/>
              </w:rPr>
            </w:pPr>
            <w:r>
              <w:rPr>
                <w:rFonts w:ascii="Arial" w:cs="Arial" w:eastAsia="Arial" w:hAnsi="Arial"/>
                <w:sz w:val="14"/>
                <w:szCs w:val="14"/>
                <w:color w:val="auto"/>
              </w:rPr>
              <w:t>May, 2021</w:t>
            </w:r>
          </w:p>
        </w:tc>
        <w:tc>
          <w:tcPr>
            <w:tcW w:w="17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Libor + 3.75%, 1% floor</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1,990</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1,990</w:t>
            </w:r>
          </w:p>
        </w:tc>
        <w:tc>
          <w:tcPr>
            <w:tcW w:w="3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1,958</w:t>
            </w:r>
          </w:p>
        </w:tc>
        <w:tc>
          <w:tcPr>
            <w:tcW w:w="6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30"/>
        </w:trPr>
        <w:tc>
          <w:tcPr>
            <w:tcW w:w="1380" w:type="dxa"/>
            <w:vAlign w:val="bottom"/>
            <w:gridSpan w:val="2"/>
          </w:tcPr>
          <w:p>
            <w:pPr>
              <w:spacing w:after="0" w:line="130" w:lineRule="exact"/>
              <w:rPr>
                <w:sz w:val="20"/>
                <w:szCs w:val="20"/>
                <w:color w:val="auto"/>
              </w:rPr>
            </w:pPr>
            <w:r>
              <w:rPr>
                <w:rFonts w:ascii="Arial" w:cs="Arial" w:eastAsia="Arial" w:hAnsi="Arial"/>
                <w:sz w:val="14"/>
                <w:szCs w:val="14"/>
                <w:color w:val="auto"/>
              </w:rPr>
              <w:t>Anchor Glass</w:t>
            </w:r>
          </w:p>
        </w:tc>
        <w:tc>
          <w:tcPr>
            <w:tcW w:w="1660" w:type="dxa"/>
            <w:vAlign w:val="bottom"/>
            <w:gridSpan w:val="2"/>
          </w:tcPr>
          <w:p>
            <w:pPr>
              <w:spacing w:after="0" w:line="130" w:lineRule="exact"/>
              <w:rPr>
                <w:sz w:val="20"/>
                <w:szCs w:val="20"/>
                <w:color w:val="auto"/>
              </w:rPr>
            </w:pPr>
            <w:r>
              <w:rPr>
                <w:rFonts w:ascii="Arial" w:cs="Arial" w:eastAsia="Arial" w:hAnsi="Arial"/>
                <w:sz w:val="14"/>
                <w:szCs w:val="14"/>
                <w:color w:val="auto"/>
                <w:w w:val="97"/>
              </w:rPr>
              <w:t>Containers, Packaging and</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380" w:type="dxa"/>
            <w:vAlign w:val="bottom"/>
            <w:gridSpan w:val="2"/>
          </w:tcPr>
          <w:p>
            <w:pPr>
              <w:spacing w:after="0"/>
              <w:rPr>
                <w:sz w:val="20"/>
                <w:szCs w:val="20"/>
                <w:color w:val="auto"/>
              </w:rPr>
            </w:pPr>
            <w:r>
              <w:rPr>
                <w:rFonts w:ascii="Arial" w:cs="Arial" w:eastAsia="Arial" w:hAnsi="Arial"/>
                <w:sz w:val="14"/>
                <w:szCs w:val="14"/>
                <w:color w:val="auto"/>
              </w:rPr>
              <w:t>Container Corp</w:t>
            </w:r>
          </w:p>
        </w:tc>
        <w:tc>
          <w:tcPr>
            <w:tcW w:w="1660" w:type="dxa"/>
            <w:vAlign w:val="bottom"/>
            <w:gridSpan w:val="2"/>
          </w:tcPr>
          <w:p>
            <w:pPr>
              <w:spacing w:after="0"/>
              <w:rPr>
                <w:sz w:val="20"/>
                <w:szCs w:val="20"/>
                <w:color w:val="auto"/>
              </w:rPr>
            </w:pPr>
            <w:r>
              <w:rPr>
                <w:rFonts w:ascii="Arial" w:cs="Arial" w:eastAsia="Arial" w:hAnsi="Arial"/>
                <w:sz w:val="14"/>
                <w:szCs w:val="14"/>
                <w:color w:val="auto"/>
              </w:rPr>
              <w:t>Glass</w:t>
            </w:r>
          </w:p>
        </w:tc>
        <w:tc>
          <w:tcPr>
            <w:tcW w:w="1000" w:type="dxa"/>
            <w:vAlign w:val="bottom"/>
            <w:gridSpan w:val="2"/>
          </w:tcPr>
          <w:p>
            <w:pPr>
              <w:spacing w:after="0"/>
              <w:rPr>
                <w:sz w:val="20"/>
                <w:szCs w:val="20"/>
                <w:color w:val="auto"/>
              </w:rPr>
            </w:pPr>
            <w:r>
              <w:rPr>
                <w:rFonts w:ascii="Arial" w:cs="Arial" w:eastAsia="Arial" w:hAnsi="Arial"/>
                <w:sz w:val="14"/>
                <w:szCs w:val="14"/>
                <w:color w:val="auto"/>
              </w:rPr>
              <w:t>Senior Loan</w:t>
            </w:r>
          </w:p>
        </w:tc>
        <w:tc>
          <w:tcPr>
            <w:tcW w:w="1060" w:type="dxa"/>
            <w:vAlign w:val="bottom"/>
          </w:tcPr>
          <w:p>
            <w:pPr>
              <w:spacing w:after="0"/>
              <w:rPr>
                <w:sz w:val="20"/>
                <w:szCs w:val="20"/>
                <w:color w:val="auto"/>
              </w:rPr>
            </w:pPr>
            <w:r>
              <w:rPr>
                <w:rFonts w:ascii="Arial" w:cs="Arial" w:eastAsia="Arial" w:hAnsi="Arial"/>
                <w:sz w:val="14"/>
                <w:szCs w:val="14"/>
                <w:color w:val="auto"/>
              </w:rPr>
              <w:t>June, 2022</w:t>
            </w:r>
          </w:p>
        </w:tc>
        <w:tc>
          <w:tcPr>
            <w:tcW w:w="1720" w:type="dxa"/>
            <w:vAlign w:val="bottom"/>
            <w:gridSpan w:val="3"/>
          </w:tcPr>
          <w:p>
            <w:pPr>
              <w:ind w:left="100"/>
              <w:spacing w:after="0"/>
              <w:rPr>
                <w:sz w:val="20"/>
                <w:szCs w:val="20"/>
                <w:color w:val="auto"/>
              </w:rPr>
            </w:pPr>
            <w:r>
              <w:rPr>
                <w:rFonts w:ascii="Arial" w:cs="Arial" w:eastAsia="Arial" w:hAnsi="Arial"/>
                <w:sz w:val="14"/>
                <w:szCs w:val="14"/>
                <w:color w:val="auto"/>
              </w:rPr>
              <w:t>Libor + 3.75%, 1% floor</w:t>
            </w: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482</w:t>
            </w:r>
          </w:p>
        </w:tc>
        <w:tc>
          <w:tcPr>
            <w:tcW w:w="20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479</w:t>
            </w:r>
          </w:p>
        </w:tc>
        <w:tc>
          <w:tcPr>
            <w:tcW w:w="30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482</w:t>
            </w:r>
          </w:p>
        </w:tc>
        <w:tc>
          <w:tcPr>
            <w:tcW w:w="6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Ardent Legacy</w:t>
            </w:r>
          </w:p>
        </w:tc>
        <w:tc>
          <w:tcPr>
            <w:tcW w:w="16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9"/>
              </w:rPr>
              <w:t>Healthcare, Education and</w:t>
            </w: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Acquisitions, Inc.</w:t>
            </w:r>
          </w:p>
        </w:tc>
        <w:tc>
          <w:tcPr>
            <w:tcW w:w="1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Childcare</w:t>
            </w:r>
          </w:p>
        </w:tc>
        <w:tc>
          <w:tcPr>
            <w:tcW w:w="1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Senior Loan</w:t>
            </w:r>
          </w:p>
        </w:tc>
        <w:tc>
          <w:tcPr>
            <w:tcW w:w="1060" w:type="dxa"/>
            <w:vAlign w:val="bottom"/>
            <w:shd w:val="clear" w:color="auto" w:fill="CCEEFF"/>
          </w:tcPr>
          <w:p>
            <w:pPr>
              <w:spacing w:after="0"/>
              <w:rPr>
                <w:sz w:val="20"/>
                <w:szCs w:val="20"/>
                <w:color w:val="auto"/>
              </w:rPr>
            </w:pPr>
            <w:r>
              <w:rPr>
                <w:rFonts w:ascii="Arial" w:cs="Arial" w:eastAsia="Arial" w:hAnsi="Arial"/>
                <w:sz w:val="14"/>
                <w:szCs w:val="14"/>
                <w:color w:val="auto"/>
              </w:rPr>
              <w:t>August, 2021</w:t>
            </w:r>
          </w:p>
        </w:tc>
        <w:tc>
          <w:tcPr>
            <w:tcW w:w="17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Libor + 5.5%, 1% floor</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2,000</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1,980</w:t>
            </w:r>
          </w:p>
        </w:tc>
        <w:tc>
          <w:tcPr>
            <w:tcW w:w="3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2,000</w:t>
            </w:r>
          </w:p>
        </w:tc>
        <w:tc>
          <w:tcPr>
            <w:tcW w:w="6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80" w:type="dxa"/>
            <w:vAlign w:val="bottom"/>
            <w:gridSpan w:val="2"/>
          </w:tcPr>
          <w:p>
            <w:pPr>
              <w:spacing w:after="0" w:line="130" w:lineRule="exact"/>
              <w:rPr>
                <w:sz w:val="20"/>
                <w:szCs w:val="20"/>
                <w:color w:val="auto"/>
              </w:rPr>
            </w:pPr>
            <w:r>
              <w:rPr>
                <w:rFonts w:ascii="Arial" w:cs="Arial" w:eastAsia="Arial" w:hAnsi="Arial"/>
                <w:sz w:val="14"/>
                <w:szCs w:val="14"/>
                <w:color w:val="auto"/>
              </w:rPr>
              <w:t>Aspen Dental</w:t>
            </w:r>
          </w:p>
        </w:tc>
        <w:tc>
          <w:tcPr>
            <w:tcW w:w="1660" w:type="dxa"/>
            <w:vAlign w:val="bottom"/>
            <w:gridSpan w:val="2"/>
          </w:tcPr>
          <w:p>
            <w:pPr>
              <w:spacing w:after="0" w:line="130" w:lineRule="exact"/>
              <w:rPr>
                <w:sz w:val="20"/>
                <w:szCs w:val="20"/>
                <w:color w:val="auto"/>
              </w:rPr>
            </w:pPr>
            <w:r>
              <w:rPr>
                <w:rFonts w:ascii="Arial" w:cs="Arial" w:eastAsia="Arial" w:hAnsi="Arial"/>
                <w:sz w:val="14"/>
                <w:szCs w:val="14"/>
                <w:color w:val="auto"/>
                <w:w w:val="99"/>
              </w:rPr>
              <w:t>Healthcare, Education and</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380" w:type="dxa"/>
            <w:vAlign w:val="bottom"/>
            <w:gridSpan w:val="2"/>
          </w:tcPr>
          <w:p>
            <w:pPr>
              <w:spacing w:after="0"/>
              <w:rPr>
                <w:sz w:val="20"/>
                <w:szCs w:val="20"/>
                <w:color w:val="auto"/>
              </w:rPr>
            </w:pPr>
            <w:r>
              <w:rPr>
                <w:rFonts w:ascii="Arial" w:cs="Arial" w:eastAsia="Arial" w:hAnsi="Arial"/>
                <w:sz w:val="14"/>
                <w:szCs w:val="14"/>
                <w:color w:val="auto"/>
              </w:rPr>
              <w:t>Management, Inc.</w:t>
            </w:r>
          </w:p>
        </w:tc>
        <w:tc>
          <w:tcPr>
            <w:tcW w:w="1660" w:type="dxa"/>
            <w:vAlign w:val="bottom"/>
            <w:gridSpan w:val="2"/>
          </w:tcPr>
          <w:p>
            <w:pPr>
              <w:spacing w:after="0"/>
              <w:rPr>
                <w:sz w:val="20"/>
                <w:szCs w:val="20"/>
                <w:color w:val="auto"/>
              </w:rPr>
            </w:pPr>
            <w:r>
              <w:rPr>
                <w:rFonts w:ascii="Arial" w:cs="Arial" w:eastAsia="Arial" w:hAnsi="Arial"/>
                <w:sz w:val="14"/>
                <w:szCs w:val="14"/>
                <w:color w:val="auto"/>
              </w:rPr>
              <w:t>Childcare</w:t>
            </w:r>
          </w:p>
        </w:tc>
        <w:tc>
          <w:tcPr>
            <w:tcW w:w="1000" w:type="dxa"/>
            <w:vAlign w:val="bottom"/>
            <w:gridSpan w:val="2"/>
          </w:tcPr>
          <w:p>
            <w:pPr>
              <w:spacing w:after="0"/>
              <w:rPr>
                <w:sz w:val="20"/>
                <w:szCs w:val="20"/>
                <w:color w:val="auto"/>
              </w:rPr>
            </w:pPr>
            <w:r>
              <w:rPr>
                <w:rFonts w:ascii="Arial" w:cs="Arial" w:eastAsia="Arial" w:hAnsi="Arial"/>
                <w:sz w:val="14"/>
                <w:szCs w:val="14"/>
                <w:color w:val="auto"/>
              </w:rPr>
              <w:t>Senior Loan</w:t>
            </w:r>
          </w:p>
        </w:tc>
        <w:tc>
          <w:tcPr>
            <w:tcW w:w="1060" w:type="dxa"/>
            <w:vAlign w:val="bottom"/>
          </w:tcPr>
          <w:p>
            <w:pPr>
              <w:spacing w:after="0"/>
              <w:rPr>
                <w:sz w:val="20"/>
                <w:szCs w:val="20"/>
                <w:color w:val="auto"/>
              </w:rPr>
            </w:pPr>
            <w:r>
              <w:rPr>
                <w:rFonts w:ascii="Arial" w:cs="Arial" w:eastAsia="Arial" w:hAnsi="Arial"/>
                <w:sz w:val="14"/>
                <w:szCs w:val="14"/>
                <w:color w:val="auto"/>
              </w:rPr>
              <w:t>April, 2022</w:t>
            </w:r>
          </w:p>
        </w:tc>
        <w:tc>
          <w:tcPr>
            <w:tcW w:w="1720" w:type="dxa"/>
            <w:vAlign w:val="bottom"/>
            <w:gridSpan w:val="3"/>
          </w:tcPr>
          <w:p>
            <w:pPr>
              <w:ind w:left="100"/>
              <w:spacing w:after="0"/>
              <w:rPr>
                <w:sz w:val="20"/>
                <w:szCs w:val="20"/>
                <w:color w:val="auto"/>
              </w:rPr>
            </w:pPr>
            <w:r>
              <w:rPr>
                <w:rFonts w:ascii="Arial" w:cs="Arial" w:eastAsia="Arial" w:hAnsi="Arial"/>
                <w:sz w:val="14"/>
                <w:szCs w:val="14"/>
                <w:color w:val="auto"/>
              </w:rPr>
              <w:t>Libor + 4.5%, 1% floor</w:t>
            </w: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1,496</w:t>
            </w:r>
          </w:p>
        </w:tc>
        <w:tc>
          <w:tcPr>
            <w:tcW w:w="20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1,489</w:t>
            </w:r>
          </w:p>
        </w:tc>
        <w:tc>
          <w:tcPr>
            <w:tcW w:w="30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1,500</w:t>
            </w:r>
          </w:p>
        </w:tc>
        <w:tc>
          <w:tcPr>
            <w:tcW w:w="640" w:type="dxa"/>
            <w:vAlign w:val="bottom"/>
          </w:tcPr>
          <w:p>
            <w:pPr>
              <w:spacing w:after="0"/>
              <w:rPr>
                <w:sz w:val="14"/>
                <w:szCs w:val="14"/>
                <w:color w:val="auto"/>
              </w:rPr>
            </w:pPr>
          </w:p>
        </w:tc>
        <w:tc>
          <w:tcPr>
            <w:tcW w:w="880" w:type="dxa"/>
            <w:vAlign w:val="bottom"/>
            <w:gridSpan w:val="2"/>
          </w:tcPr>
          <w:p>
            <w:pPr>
              <w:jc w:val="right"/>
              <w:ind w:right="2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1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Asurion, LLC</w:t>
            </w:r>
          </w:p>
        </w:tc>
        <w:tc>
          <w:tcPr>
            <w:tcW w:w="1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Insurance</w:t>
            </w:r>
          </w:p>
        </w:tc>
        <w:tc>
          <w:tcPr>
            <w:tcW w:w="1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Senior Loan</w:t>
            </w:r>
          </w:p>
        </w:tc>
        <w:tc>
          <w:tcPr>
            <w:tcW w:w="1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August, 2022</w:t>
            </w:r>
          </w:p>
        </w:tc>
        <w:tc>
          <w:tcPr>
            <w:tcW w:w="172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Libor + 4.0%, 1% floor</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2,244</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2,233</w:t>
            </w:r>
          </w:p>
        </w:tc>
        <w:tc>
          <w:tcPr>
            <w:tcW w:w="3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2,118</w:t>
            </w:r>
          </w:p>
        </w:tc>
        <w:tc>
          <w:tcPr>
            <w:tcW w:w="6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30"/>
        </w:trPr>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2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Libor + 3.25%, .75%</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380" w:type="dxa"/>
            <w:vAlign w:val="bottom"/>
            <w:gridSpan w:val="2"/>
          </w:tcPr>
          <w:p>
            <w:pPr>
              <w:spacing w:after="0"/>
              <w:rPr>
                <w:sz w:val="20"/>
                <w:szCs w:val="20"/>
                <w:color w:val="auto"/>
              </w:rPr>
            </w:pPr>
            <w:r>
              <w:rPr>
                <w:rFonts w:ascii="Arial" w:cs="Arial" w:eastAsia="Arial" w:hAnsi="Arial"/>
                <w:sz w:val="14"/>
                <w:szCs w:val="14"/>
                <w:color w:val="auto"/>
              </w:rPr>
              <w:t>Bass Pro Group, LLC</w:t>
            </w:r>
          </w:p>
        </w:tc>
        <w:tc>
          <w:tcPr>
            <w:tcW w:w="1660" w:type="dxa"/>
            <w:vAlign w:val="bottom"/>
            <w:gridSpan w:val="2"/>
          </w:tcPr>
          <w:p>
            <w:pPr>
              <w:spacing w:after="0"/>
              <w:rPr>
                <w:sz w:val="20"/>
                <w:szCs w:val="20"/>
                <w:color w:val="auto"/>
              </w:rPr>
            </w:pPr>
            <w:r>
              <w:rPr>
                <w:rFonts w:ascii="Arial" w:cs="Arial" w:eastAsia="Arial" w:hAnsi="Arial"/>
                <w:sz w:val="14"/>
                <w:szCs w:val="14"/>
                <w:color w:val="auto"/>
              </w:rPr>
              <w:t>Retail Stores</w:t>
            </w:r>
          </w:p>
        </w:tc>
        <w:tc>
          <w:tcPr>
            <w:tcW w:w="1000" w:type="dxa"/>
            <w:vAlign w:val="bottom"/>
            <w:gridSpan w:val="2"/>
          </w:tcPr>
          <w:p>
            <w:pPr>
              <w:spacing w:after="0"/>
              <w:rPr>
                <w:sz w:val="20"/>
                <w:szCs w:val="20"/>
                <w:color w:val="auto"/>
              </w:rPr>
            </w:pPr>
            <w:r>
              <w:rPr>
                <w:rFonts w:ascii="Arial" w:cs="Arial" w:eastAsia="Arial" w:hAnsi="Arial"/>
                <w:sz w:val="14"/>
                <w:szCs w:val="14"/>
                <w:color w:val="auto"/>
              </w:rPr>
              <w:t>Senior Loan</w:t>
            </w:r>
          </w:p>
        </w:tc>
        <w:tc>
          <w:tcPr>
            <w:tcW w:w="1060" w:type="dxa"/>
            <w:vAlign w:val="bottom"/>
          </w:tcPr>
          <w:p>
            <w:pPr>
              <w:spacing w:after="0"/>
              <w:rPr>
                <w:sz w:val="20"/>
                <w:szCs w:val="20"/>
                <w:color w:val="auto"/>
              </w:rPr>
            </w:pPr>
            <w:r>
              <w:rPr>
                <w:rFonts w:ascii="Arial" w:cs="Arial" w:eastAsia="Arial" w:hAnsi="Arial"/>
                <w:sz w:val="14"/>
                <w:szCs w:val="14"/>
                <w:color w:val="auto"/>
              </w:rPr>
              <w:t>June, 2020</w:t>
            </w:r>
          </w:p>
        </w:tc>
        <w:tc>
          <w:tcPr>
            <w:tcW w:w="1720" w:type="dxa"/>
            <w:vAlign w:val="bottom"/>
            <w:gridSpan w:val="3"/>
          </w:tcPr>
          <w:p>
            <w:pPr>
              <w:ind w:left="100"/>
              <w:spacing w:after="0"/>
              <w:rPr>
                <w:sz w:val="20"/>
                <w:szCs w:val="20"/>
                <w:color w:val="auto"/>
              </w:rPr>
            </w:pPr>
            <w:r>
              <w:rPr>
                <w:rFonts w:ascii="Arial" w:cs="Arial" w:eastAsia="Arial" w:hAnsi="Arial"/>
                <w:sz w:val="14"/>
                <w:szCs w:val="14"/>
                <w:color w:val="auto"/>
              </w:rPr>
              <w:t>floor</w:t>
            </w: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995</w:t>
            </w:r>
          </w:p>
        </w:tc>
        <w:tc>
          <w:tcPr>
            <w:tcW w:w="20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993</w:t>
            </w:r>
          </w:p>
        </w:tc>
        <w:tc>
          <w:tcPr>
            <w:tcW w:w="30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989</w:t>
            </w:r>
          </w:p>
        </w:tc>
        <w:tc>
          <w:tcPr>
            <w:tcW w:w="64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30"/>
        </w:trPr>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Diversified/Conglomerate</w:t>
            </w: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Bioplan USA, Inc.</w:t>
            </w:r>
          </w:p>
        </w:tc>
        <w:tc>
          <w:tcPr>
            <w:tcW w:w="1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Service</w:t>
            </w:r>
          </w:p>
        </w:tc>
        <w:tc>
          <w:tcPr>
            <w:tcW w:w="1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Senior Loan</w:t>
            </w:r>
          </w:p>
        </w:tc>
        <w:tc>
          <w:tcPr>
            <w:tcW w:w="1060" w:type="dxa"/>
            <w:vAlign w:val="bottom"/>
            <w:shd w:val="clear" w:color="auto" w:fill="CCEEFF"/>
          </w:tcPr>
          <w:p>
            <w:pPr>
              <w:spacing w:after="0"/>
              <w:rPr>
                <w:sz w:val="20"/>
                <w:szCs w:val="20"/>
                <w:color w:val="auto"/>
              </w:rPr>
            </w:pPr>
            <w:r>
              <w:rPr>
                <w:rFonts w:ascii="Arial" w:cs="Arial" w:eastAsia="Arial" w:hAnsi="Arial"/>
                <w:sz w:val="14"/>
                <w:szCs w:val="14"/>
                <w:color w:val="auto"/>
                <w:w w:val="96"/>
              </w:rPr>
              <w:t>September, 2021</w:t>
            </w:r>
          </w:p>
        </w:tc>
        <w:tc>
          <w:tcPr>
            <w:tcW w:w="17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Libor + 4.75%, 1% floor</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995</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846</w:t>
            </w:r>
          </w:p>
        </w:tc>
        <w:tc>
          <w:tcPr>
            <w:tcW w:w="3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853</w:t>
            </w:r>
          </w:p>
        </w:tc>
        <w:tc>
          <w:tcPr>
            <w:tcW w:w="6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80" w:type="dxa"/>
            <w:vAlign w:val="bottom"/>
            <w:gridSpan w:val="2"/>
          </w:tcPr>
          <w:p>
            <w:pPr>
              <w:spacing w:after="0" w:line="130" w:lineRule="exact"/>
              <w:rPr>
                <w:sz w:val="20"/>
                <w:szCs w:val="20"/>
                <w:color w:val="auto"/>
              </w:rPr>
            </w:pPr>
            <w:r>
              <w:rPr>
                <w:rFonts w:ascii="Arial" w:cs="Arial" w:eastAsia="Arial" w:hAnsi="Arial"/>
                <w:sz w:val="14"/>
                <w:szCs w:val="14"/>
                <w:color w:val="auto"/>
              </w:rPr>
              <w:t>Blue Coat Systems,</w:t>
            </w: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380" w:type="dxa"/>
            <w:vAlign w:val="bottom"/>
            <w:gridSpan w:val="2"/>
          </w:tcPr>
          <w:p>
            <w:pPr>
              <w:spacing w:after="0"/>
              <w:rPr>
                <w:sz w:val="20"/>
                <w:szCs w:val="20"/>
                <w:color w:val="auto"/>
              </w:rPr>
            </w:pPr>
            <w:r>
              <w:rPr>
                <w:rFonts w:ascii="Arial" w:cs="Arial" w:eastAsia="Arial" w:hAnsi="Arial"/>
                <w:sz w:val="14"/>
                <w:szCs w:val="14"/>
                <w:color w:val="auto"/>
              </w:rPr>
              <w:t>Inc.</w:t>
            </w:r>
          </w:p>
        </w:tc>
        <w:tc>
          <w:tcPr>
            <w:tcW w:w="1660" w:type="dxa"/>
            <w:vAlign w:val="bottom"/>
            <w:gridSpan w:val="2"/>
          </w:tcPr>
          <w:p>
            <w:pPr>
              <w:spacing w:after="0"/>
              <w:rPr>
                <w:sz w:val="20"/>
                <w:szCs w:val="20"/>
                <w:color w:val="auto"/>
              </w:rPr>
            </w:pPr>
            <w:r>
              <w:rPr>
                <w:rFonts w:ascii="Arial" w:cs="Arial" w:eastAsia="Arial" w:hAnsi="Arial"/>
                <w:sz w:val="14"/>
                <w:szCs w:val="14"/>
                <w:color w:val="auto"/>
              </w:rPr>
              <w:t>Electronics</w:t>
            </w:r>
          </w:p>
        </w:tc>
        <w:tc>
          <w:tcPr>
            <w:tcW w:w="1000" w:type="dxa"/>
            <w:vAlign w:val="bottom"/>
            <w:gridSpan w:val="2"/>
          </w:tcPr>
          <w:p>
            <w:pPr>
              <w:spacing w:after="0"/>
              <w:rPr>
                <w:sz w:val="20"/>
                <w:szCs w:val="20"/>
                <w:color w:val="auto"/>
              </w:rPr>
            </w:pPr>
            <w:r>
              <w:rPr>
                <w:rFonts w:ascii="Arial" w:cs="Arial" w:eastAsia="Arial" w:hAnsi="Arial"/>
                <w:sz w:val="14"/>
                <w:szCs w:val="14"/>
                <w:color w:val="auto"/>
              </w:rPr>
              <w:t>Senior Loan</w:t>
            </w:r>
          </w:p>
        </w:tc>
        <w:tc>
          <w:tcPr>
            <w:tcW w:w="1060" w:type="dxa"/>
            <w:vAlign w:val="bottom"/>
          </w:tcPr>
          <w:p>
            <w:pPr>
              <w:spacing w:after="0"/>
              <w:rPr>
                <w:sz w:val="20"/>
                <w:szCs w:val="20"/>
                <w:color w:val="auto"/>
              </w:rPr>
            </w:pPr>
            <w:r>
              <w:rPr>
                <w:rFonts w:ascii="Arial" w:cs="Arial" w:eastAsia="Arial" w:hAnsi="Arial"/>
                <w:sz w:val="14"/>
                <w:szCs w:val="14"/>
                <w:color w:val="auto"/>
              </w:rPr>
              <w:t>May, 2022</w:t>
            </w:r>
          </w:p>
        </w:tc>
        <w:tc>
          <w:tcPr>
            <w:tcW w:w="1720" w:type="dxa"/>
            <w:vAlign w:val="bottom"/>
            <w:gridSpan w:val="3"/>
          </w:tcPr>
          <w:p>
            <w:pPr>
              <w:ind w:left="100"/>
              <w:spacing w:after="0"/>
              <w:rPr>
                <w:sz w:val="20"/>
                <w:szCs w:val="20"/>
                <w:color w:val="auto"/>
              </w:rPr>
            </w:pPr>
            <w:r>
              <w:rPr>
                <w:rFonts w:ascii="Arial" w:cs="Arial" w:eastAsia="Arial" w:hAnsi="Arial"/>
                <w:sz w:val="14"/>
                <w:szCs w:val="14"/>
                <w:color w:val="auto"/>
              </w:rPr>
              <w:t>Libor + 3.5%, 1% floor</w:t>
            </w: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2,000</w:t>
            </w:r>
          </w:p>
        </w:tc>
        <w:tc>
          <w:tcPr>
            <w:tcW w:w="20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2,000</w:t>
            </w:r>
          </w:p>
        </w:tc>
        <w:tc>
          <w:tcPr>
            <w:tcW w:w="30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1,983</w:t>
            </w:r>
          </w:p>
        </w:tc>
        <w:tc>
          <w:tcPr>
            <w:tcW w:w="64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30"/>
        </w:trPr>
        <w:tc>
          <w:tcPr>
            <w:tcW w:w="13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Brock Holdings III,</w:t>
            </w:r>
          </w:p>
        </w:tc>
        <w:tc>
          <w:tcPr>
            <w:tcW w:w="1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w:t>
            </w:r>
          </w:p>
        </w:tc>
        <w:tc>
          <w:tcPr>
            <w:tcW w:w="1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Buildings and Real Estate</w:t>
            </w:r>
          </w:p>
        </w:tc>
        <w:tc>
          <w:tcPr>
            <w:tcW w:w="1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Senior Loan</w:t>
            </w:r>
          </w:p>
        </w:tc>
        <w:tc>
          <w:tcPr>
            <w:tcW w:w="1060" w:type="dxa"/>
            <w:vAlign w:val="bottom"/>
            <w:shd w:val="clear" w:color="auto" w:fill="CCEEFF"/>
          </w:tcPr>
          <w:p>
            <w:pPr>
              <w:spacing w:after="0"/>
              <w:rPr>
                <w:sz w:val="20"/>
                <w:szCs w:val="20"/>
                <w:color w:val="auto"/>
              </w:rPr>
            </w:pPr>
            <w:r>
              <w:rPr>
                <w:rFonts w:ascii="Arial" w:cs="Arial" w:eastAsia="Arial" w:hAnsi="Arial"/>
                <w:sz w:val="14"/>
                <w:szCs w:val="14"/>
                <w:color w:val="auto"/>
              </w:rPr>
              <w:t>March, 2017</w:t>
            </w:r>
          </w:p>
        </w:tc>
        <w:tc>
          <w:tcPr>
            <w:tcW w:w="17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Libor + 4.5%, 1% floor</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1,492</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1,484</w:t>
            </w:r>
          </w:p>
        </w:tc>
        <w:tc>
          <w:tcPr>
            <w:tcW w:w="3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1,443</w:t>
            </w:r>
          </w:p>
        </w:tc>
        <w:tc>
          <w:tcPr>
            <w:tcW w:w="6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30"/>
        </w:trPr>
        <w:tc>
          <w:tcPr>
            <w:tcW w:w="1380" w:type="dxa"/>
            <w:vAlign w:val="bottom"/>
            <w:gridSpan w:val="2"/>
          </w:tcPr>
          <w:p>
            <w:pPr>
              <w:spacing w:after="0" w:line="130" w:lineRule="exact"/>
              <w:rPr>
                <w:sz w:val="20"/>
                <w:szCs w:val="20"/>
                <w:color w:val="auto"/>
              </w:rPr>
            </w:pPr>
            <w:r>
              <w:rPr>
                <w:rFonts w:ascii="Arial" w:cs="Arial" w:eastAsia="Arial" w:hAnsi="Arial"/>
                <w:sz w:val="14"/>
                <w:szCs w:val="14"/>
                <w:color w:val="auto"/>
              </w:rPr>
              <w:t>CDS U.S.</w:t>
            </w: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80" w:type="dxa"/>
            <w:vAlign w:val="bottom"/>
            <w:gridSpan w:val="2"/>
          </w:tcPr>
          <w:p>
            <w:pPr>
              <w:spacing w:after="0" w:line="149" w:lineRule="exact"/>
              <w:rPr>
                <w:sz w:val="20"/>
                <w:szCs w:val="20"/>
                <w:color w:val="auto"/>
              </w:rPr>
            </w:pPr>
            <w:r>
              <w:rPr>
                <w:rFonts w:ascii="Arial" w:cs="Arial" w:eastAsia="Arial" w:hAnsi="Arial"/>
                <w:sz w:val="14"/>
                <w:szCs w:val="14"/>
                <w:color w:val="auto"/>
              </w:rPr>
              <w:t>Intermediate</w:t>
            </w:r>
          </w:p>
        </w:tc>
        <w:tc>
          <w:tcPr>
            <w:tcW w:w="1660" w:type="dxa"/>
            <w:vAlign w:val="bottom"/>
            <w:gridSpan w:val="2"/>
          </w:tcPr>
          <w:p>
            <w:pPr>
              <w:spacing w:after="0" w:line="149" w:lineRule="exact"/>
              <w:rPr>
                <w:sz w:val="20"/>
                <w:szCs w:val="20"/>
                <w:color w:val="auto"/>
              </w:rPr>
            </w:pPr>
            <w:r>
              <w:rPr>
                <w:rFonts w:ascii="Arial" w:cs="Arial" w:eastAsia="Arial" w:hAnsi="Arial"/>
                <w:sz w:val="14"/>
                <w:szCs w:val="14"/>
                <w:color w:val="auto"/>
              </w:rPr>
              <w:t>Leisure, Amusement,</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80" w:type="dxa"/>
            <w:vAlign w:val="bottom"/>
            <w:gridSpan w:val="2"/>
          </w:tcPr>
          <w:p>
            <w:pPr>
              <w:spacing w:after="0"/>
              <w:rPr>
                <w:sz w:val="20"/>
                <w:szCs w:val="20"/>
                <w:color w:val="auto"/>
              </w:rPr>
            </w:pPr>
            <w:r>
              <w:rPr>
                <w:rFonts w:ascii="Arial" w:cs="Arial" w:eastAsia="Arial" w:hAnsi="Arial"/>
                <w:sz w:val="14"/>
                <w:szCs w:val="14"/>
                <w:color w:val="auto"/>
              </w:rPr>
              <w:t>Holdings, Inc.</w:t>
            </w:r>
          </w:p>
        </w:tc>
        <w:tc>
          <w:tcPr>
            <w:tcW w:w="1660" w:type="dxa"/>
            <w:vAlign w:val="bottom"/>
            <w:gridSpan w:val="2"/>
          </w:tcPr>
          <w:p>
            <w:pPr>
              <w:spacing w:after="0"/>
              <w:rPr>
                <w:sz w:val="20"/>
                <w:szCs w:val="20"/>
                <w:color w:val="auto"/>
              </w:rPr>
            </w:pPr>
            <w:r>
              <w:rPr>
                <w:rFonts w:ascii="Arial" w:cs="Arial" w:eastAsia="Arial" w:hAnsi="Arial"/>
                <w:sz w:val="14"/>
                <w:szCs w:val="14"/>
                <w:color w:val="auto"/>
              </w:rPr>
              <w:t>Entertainment</w:t>
            </w:r>
          </w:p>
        </w:tc>
        <w:tc>
          <w:tcPr>
            <w:tcW w:w="1000" w:type="dxa"/>
            <w:vAlign w:val="bottom"/>
            <w:gridSpan w:val="2"/>
          </w:tcPr>
          <w:p>
            <w:pPr>
              <w:spacing w:after="0"/>
              <w:rPr>
                <w:sz w:val="20"/>
                <w:szCs w:val="20"/>
                <w:color w:val="auto"/>
              </w:rPr>
            </w:pPr>
            <w:r>
              <w:rPr>
                <w:rFonts w:ascii="Arial" w:cs="Arial" w:eastAsia="Arial" w:hAnsi="Arial"/>
                <w:sz w:val="14"/>
                <w:szCs w:val="14"/>
                <w:color w:val="auto"/>
              </w:rPr>
              <w:t>Senior Loan</w:t>
            </w:r>
          </w:p>
        </w:tc>
        <w:tc>
          <w:tcPr>
            <w:tcW w:w="1060" w:type="dxa"/>
            <w:vAlign w:val="bottom"/>
          </w:tcPr>
          <w:p>
            <w:pPr>
              <w:spacing w:after="0"/>
              <w:rPr>
                <w:sz w:val="20"/>
                <w:szCs w:val="20"/>
                <w:color w:val="auto"/>
              </w:rPr>
            </w:pPr>
            <w:r>
              <w:rPr>
                <w:rFonts w:ascii="Arial" w:cs="Arial" w:eastAsia="Arial" w:hAnsi="Arial"/>
                <w:sz w:val="14"/>
                <w:szCs w:val="14"/>
                <w:color w:val="auto"/>
              </w:rPr>
              <w:t>July, 2022</w:t>
            </w:r>
          </w:p>
        </w:tc>
        <w:tc>
          <w:tcPr>
            <w:tcW w:w="1720" w:type="dxa"/>
            <w:vAlign w:val="bottom"/>
            <w:gridSpan w:val="3"/>
          </w:tcPr>
          <w:p>
            <w:pPr>
              <w:ind w:left="100"/>
              <w:spacing w:after="0"/>
              <w:rPr>
                <w:sz w:val="20"/>
                <w:szCs w:val="20"/>
                <w:color w:val="auto"/>
              </w:rPr>
            </w:pPr>
            <w:r>
              <w:rPr>
                <w:rFonts w:ascii="Arial" w:cs="Arial" w:eastAsia="Arial" w:hAnsi="Arial"/>
                <w:sz w:val="14"/>
                <w:szCs w:val="14"/>
                <w:color w:val="auto"/>
              </w:rPr>
              <w:t>Libor + 4.25%, 1% floor</w:t>
            </w: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1,000</w:t>
            </w:r>
          </w:p>
        </w:tc>
        <w:tc>
          <w:tcPr>
            <w:tcW w:w="20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997</w:t>
            </w:r>
          </w:p>
        </w:tc>
        <w:tc>
          <w:tcPr>
            <w:tcW w:w="30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996</w:t>
            </w:r>
          </w:p>
        </w:tc>
        <w:tc>
          <w:tcPr>
            <w:tcW w:w="64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0"/>
        </w:trPr>
        <w:tc>
          <w:tcPr>
            <w:tcW w:w="138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Chelsea Petroleum</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380" w:type="dxa"/>
            <w:vAlign w:val="bottom"/>
            <w:gridSpan w:val="2"/>
            <w:shd w:val="clear" w:color="auto" w:fill="CCEEFF"/>
          </w:tcPr>
          <w:p>
            <w:pPr>
              <w:spacing w:after="0" w:line="198" w:lineRule="exact"/>
              <w:rPr>
                <w:sz w:val="20"/>
                <w:szCs w:val="20"/>
                <w:color w:val="auto"/>
              </w:rPr>
            </w:pPr>
            <w:r>
              <w:rPr>
                <w:rFonts w:ascii="Arial" w:cs="Arial" w:eastAsia="Arial" w:hAnsi="Arial"/>
                <w:sz w:val="14"/>
                <w:szCs w:val="14"/>
                <w:color w:val="auto"/>
              </w:rPr>
              <w:t xml:space="preserve">Products I LLC </w:t>
            </w:r>
            <w:r>
              <w:rPr>
                <w:rFonts w:ascii="Arial" w:cs="Arial" w:eastAsia="Arial" w:hAnsi="Arial"/>
                <w:sz w:val="22"/>
                <w:szCs w:val="22"/>
                <w:color w:val="auto"/>
                <w:vertAlign w:val="superscript"/>
              </w:rPr>
              <w:t>(4)</w:t>
            </w:r>
          </w:p>
        </w:tc>
        <w:tc>
          <w:tcPr>
            <w:tcW w:w="1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Oil &amp; Gas</w:t>
            </w:r>
          </w:p>
        </w:tc>
        <w:tc>
          <w:tcPr>
            <w:tcW w:w="1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Senior Loan</w:t>
            </w:r>
          </w:p>
        </w:tc>
        <w:tc>
          <w:tcPr>
            <w:tcW w:w="1060" w:type="dxa"/>
            <w:vAlign w:val="bottom"/>
            <w:shd w:val="clear" w:color="auto" w:fill="CCEEFF"/>
          </w:tcPr>
          <w:p>
            <w:pPr>
              <w:spacing w:after="0"/>
              <w:rPr>
                <w:sz w:val="20"/>
                <w:szCs w:val="20"/>
                <w:color w:val="auto"/>
              </w:rPr>
            </w:pPr>
            <w:r>
              <w:rPr>
                <w:rFonts w:ascii="Arial" w:cs="Arial" w:eastAsia="Arial" w:hAnsi="Arial"/>
                <w:sz w:val="14"/>
                <w:szCs w:val="14"/>
                <w:color w:val="auto"/>
              </w:rPr>
              <w:t>July, 2022</w:t>
            </w:r>
          </w:p>
        </w:tc>
        <w:tc>
          <w:tcPr>
            <w:tcW w:w="17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Libor + 4.25%, 1% floor</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500</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497</w:t>
            </w:r>
          </w:p>
        </w:tc>
        <w:tc>
          <w:tcPr>
            <w:tcW w:w="3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493</w:t>
            </w:r>
          </w:p>
        </w:tc>
        <w:tc>
          <w:tcPr>
            <w:tcW w:w="6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30"/>
        </w:trPr>
        <w:tc>
          <w:tcPr>
            <w:tcW w:w="1380" w:type="dxa"/>
            <w:vAlign w:val="bottom"/>
            <w:gridSpan w:val="2"/>
          </w:tcPr>
          <w:p>
            <w:pPr>
              <w:spacing w:after="0" w:line="130" w:lineRule="exact"/>
              <w:rPr>
                <w:sz w:val="20"/>
                <w:szCs w:val="20"/>
                <w:color w:val="auto"/>
              </w:rPr>
            </w:pPr>
            <w:r>
              <w:rPr>
                <w:rFonts w:ascii="Arial" w:cs="Arial" w:eastAsia="Arial" w:hAnsi="Arial"/>
                <w:sz w:val="14"/>
                <w:szCs w:val="14"/>
                <w:color w:val="auto"/>
              </w:rPr>
              <w:t>Communications</w:t>
            </w: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380" w:type="dxa"/>
            <w:vAlign w:val="bottom"/>
            <w:gridSpan w:val="2"/>
          </w:tcPr>
          <w:p>
            <w:pPr>
              <w:spacing w:after="0"/>
              <w:rPr>
                <w:sz w:val="20"/>
                <w:szCs w:val="20"/>
                <w:color w:val="auto"/>
              </w:rPr>
            </w:pPr>
            <w:r>
              <w:rPr>
                <w:rFonts w:ascii="Arial" w:cs="Arial" w:eastAsia="Arial" w:hAnsi="Arial"/>
                <w:sz w:val="14"/>
                <w:szCs w:val="14"/>
                <w:color w:val="auto"/>
              </w:rPr>
              <w:t>Sales &amp; Leasing, Inc.</w:t>
            </w:r>
          </w:p>
        </w:tc>
        <w:tc>
          <w:tcPr>
            <w:tcW w:w="1660" w:type="dxa"/>
            <w:vAlign w:val="bottom"/>
            <w:gridSpan w:val="2"/>
          </w:tcPr>
          <w:p>
            <w:pPr>
              <w:spacing w:after="0"/>
              <w:rPr>
                <w:sz w:val="20"/>
                <w:szCs w:val="20"/>
                <w:color w:val="auto"/>
              </w:rPr>
            </w:pPr>
            <w:r>
              <w:rPr>
                <w:rFonts w:ascii="Arial" w:cs="Arial" w:eastAsia="Arial" w:hAnsi="Arial"/>
                <w:sz w:val="14"/>
                <w:szCs w:val="14"/>
                <w:color w:val="auto"/>
              </w:rPr>
              <w:t>Finance</w:t>
            </w:r>
          </w:p>
        </w:tc>
        <w:tc>
          <w:tcPr>
            <w:tcW w:w="1000" w:type="dxa"/>
            <w:vAlign w:val="bottom"/>
            <w:gridSpan w:val="2"/>
          </w:tcPr>
          <w:p>
            <w:pPr>
              <w:spacing w:after="0"/>
              <w:rPr>
                <w:sz w:val="20"/>
                <w:szCs w:val="20"/>
                <w:color w:val="auto"/>
              </w:rPr>
            </w:pPr>
            <w:r>
              <w:rPr>
                <w:rFonts w:ascii="Arial" w:cs="Arial" w:eastAsia="Arial" w:hAnsi="Arial"/>
                <w:sz w:val="14"/>
                <w:szCs w:val="14"/>
                <w:color w:val="auto"/>
              </w:rPr>
              <w:t>Senior Loan</w:t>
            </w:r>
          </w:p>
        </w:tc>
        <w:tc>
          <w:tcPr>
            <w:tcW w:w="1060" w:type="dxa"/>
            <w:vAlign w:val="bottom"/>
          </w:tcPr>
          <w:p>
            <w:pPr>
              <w:spacing w:after="0"/>
              <w:rPr>
                <w:sz w:val="20"/>
                <w:szCs w:val="20"/>
                <w:color w:val="auto"/>
              </w:rPr>
            </w:pPr>
            <w:r>
              <w:rPr>
                <w:rFonts w:ascii="Arial" w:cs="Arial" w:eastAsia="Arial" w:hAnsi="Arial"/>
                <w:sz w:val="14"/>
                <w:szCs w:val="14"/>
                <w:color w:val="auto"/>
              </w:rPr>
              <w:t>October, 2022</w:t>
            </w:r>
          </w:p>
        </w:tc>
        <w:tc>
          <w:tcPr>
            <w:tcW w:w="1720" w:type="dxa"/>
            <w:vAlign w:val="bottom"/>
            <w:gridSpan w:val="3"/>
          </w:tcPr>
          <w:p>
            <w:pPr>
              <w:ind w:left="100"/>
              <w:spacing w:after="0"/>
              <w:rPr>
                <w:sz w:val="20"/>
                <w:szCs w:val="20"/>
                <w:color w:val="auto"/>
              </w:rPr>
            </w:pPr>
            <w:r>
              <w:rPr>
                <w:rFonts w:ascii="Arial" w:cs="Arial" w:eastAsia="Arial" w:hAnsi="Arial"/>
                <w:sz w:val="14"/>
                <w:szCs w:val="14"/>
                <w:color w:val="auto"/>
              </w:rPr>
              <w:t>Libor + 4.0%, 1% floor</w:t>
            </w: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1,995</w:t>
            </w:r>
          </w:p>
        </w:tc>
        <w:tc>
          <w:tcPr>
            <w:tcW w:w="20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1,955</w:t>
            </w:r>
          </w:p>
        </w:tc>
        <w:tc>
          <w:tcPr>
            <w:tcW w:w="30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1,855</w:t>
            </w:r>
          </w:p>
        </w:tc>
        <w:tc>
          <w:tcPr>
            <w:tcW w:w="64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30"/>
        </w:trPr>
        <w:tc>
          <w:tcPr>
            <w:tcW w:w="13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Concordia Healthcare</w:t>
            </w:r>
          </w:p>
        </w:tc>
        <w:tc>
          <w:tcPr>
            <w:tcW w:w="16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9"/>
              </w:rPr>
              <w:t>Healthcare, Education and</w:t>
            </w: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Corp</w:t>
            </w:r>
          </w:p>
        </w:tc>
        <w:tc>
          <w:tcPr>
            <w:tcW w:w="1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Childcare</w:t>
            </w:r>
          </w:p>
        </w:tc>
        <w:tc>
          <w:tcPr>
            <w:tcW w:w="1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Senior Loan</w:t>
            </w:r>
          </w:p>
        </w:tc>
        <w:tc>
          <w:tcPr>
            <w:tcW w:w="1060" w:type="dxa"/>
            <w:vAlign w:val="bottom"/>
            <w:shd w:val="clear" w:color="auto" w:fill="CCEEFF"/>
          </w:tcPr>
          <w:p>
            <w:pPr>
              <w:spacing w:after="0"/>
              <w:rPr>
                <w:sz w:val="20"/>
                <w:szCs w:val="20"/>
                <w:color w:val="auto"/>
              </w:rPr>
            </w:pPr>
            <w:r>
              <w:rPr>
                <w:rFonts w:ascii="Arial" w:cs="Arial" w:eastAsia="Arial" w:hAnsi="Arial"/>
                <w:sz w:val="14"/>
                <w:szCs w:val="14"/>
                <w:color w:val="auto"/>
              </w:rPr>
              <w:t>April, 2022</w:t>
            </w:r>
          </w:p>
        </w:tc>
        <w:tc>
          <w:tcPr>
            <w:tcW w:w="17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Libor + 3.75%, 1% floor</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1,496</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1,489</w:t>
            </w:r>
          </w:p>
        </w:tc>
        <w:tc>
          <w:tcPr>
            <w:tcW w:w="3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1,492</w:t>
            </w:r>
          </w:p>
        </w:tc>
        <w:tc>
          <w:tcPr>
            <w:tcW w:w="6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80" w:type="dxa"/>
            <w:vAlign w:val="bottom"/>
            <w:gridSpan w:val="2"/>
          </w:tcPr>
          <w:p>
            <w:pPr>
              <w:spacing w:after="0" w:line="130" w:lineRule="exact"/>
              <w:rPr>
                <w:sz w:val="20"/>
                <w:szCs w:val="20"/>
                <w:color w:val="auto"/>
              </w:rPr>
            </w:pPr>
            <w:r>
              <w:rPr>
                <w:rFonts w:ascii="Arial" w:cs="Arial" w:eastAsia="Arial" w:hAnsi="Arial"/>
                <w:sz w:val="14"/>
                <w:szCs w:val="14"/>
                <w:color w:val="auto"/>
              </w:rPr>
              <w:t>Convatec Healthcare</w:t>
            </w:r>
          </w:p>
        </w:tc>
        <w:tc>
          <w:tcPr>
            <w:tcW w:w="1660" w:type="dxa"/>
            <w:vAlign w:val="bottom"/>
            <w:gridSpan w:val="2"/>
          </w:tcPr>
          <w:p>
            <w:pPr>
              <w:spacing w:after="0" w:line="130" w:lineRule="exact"/>
              <w:rPr>
                <w:sz w:val="20"/>
                <w:szCs w:val="20"/>
                <w:color w:val="auto"/>
              </w:rPr>
            </w:pPr>
            <w:r>
              <w:rPr>
                <w:rFonts w:ascii="Arial" w:cs="Arial" w:eastAsia="Arial" w:hAnsi="Arial"/>
                <w:sz w:val="14"/>
                <w:szCs w:val="14"/>
                <w:color w:val="auto"/>
                <w:w w:val="99"/>
              </w:rPr>
              <w:t>Healthcare, Education and</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380" w:type="dxa"/>
            <w:vAlign w:val="bottom"/>
            <w:gridSpan w:val="2"/>
          </w:tcPr>
          <w:p>
            <w:pPr>
              <w:spacing w:after="0"/>
              <w:rPr>
                <w:sz w:val="20"/>
                <w:szCs w:val="20"/>
                <w:color w:val="auto"/>
              </w:rPr>
            </w:pPr>
            <w:r>
              <w:rPr>
                <w:rFonts w:ascii="Arial" w:cs="Arial" w:eastAsia="Arial" w:hAnsi="Arial"/>
                <w:sz w:val="14"/>
                <w:szCs w:val="14"/>
                <w:color w:val="auto"/>
              </w:rPr>
              <w:t>E S.A.</w:t>
            </w:r>
          </w:p>
        </w:tc>
        <w:tc>
          <w:tcPr>
            <w:tcW w:w="1660" w:type="dxa"/>
            <w:vAlign w:val="bottom"/>
            <w:gridSpan w:val="2"/>
          </w:tcPr>
          <w:p>
            <w:pPr>
              <w:spacing w:after="0"/>
              <w:rPr>
                <w:sz w:val="20"/>
                <w:szCs w:val="20"/>
                <w:color w:val="auto"/>
              </w:rPr>
            </w:pPr>
            <w:r>
              <w:rPr>
                <w:rFonts w:ascii="Arial" w:cs="Arial" w:eastAsia="Arial" w:hAnsi="Arial"/>
                <w:sz w:val="14"/>
                <w:szCs w:val="14"/>
                <w:color w:val="auto"/>
              </w:rPr>
              <w:t>Childcare</w:t>
            </w:r>
          </w:p>
        </w:tc>
        <w:tc>
          <w:tcPr>
            <w:tcW w:w="1000" w:type="dxa"/>
            <w:vAlign w:val="bottom"/>
            <w:gridSpan w:val="2"/>
          </w:tcPr>
          <w:p>
            <w:pPr>
              <w:spacing w:after="0"/>
              <w:rPr>
                <w:sz w:val="20"/>
                <w:szCs w:val="20"/>
                <w:color w:val="auto"/>
              </w:rPr>
            </w:pPr>
            <w:r>
              <w:rPr>
                <w:rFonts w:ascii="Arial" w:cs="Arial" w:eastAsia="Arial" w:hAnsi="Arial"/>
                <w:sz w:val="14"/>
                <w:szCs w:val="14"/>
                <w:color w:val="auto"/>
              </w:rPr>
              <w:t>Senior Loan</w:t>
            </w:r>
          </w:p>
        </w:tc>
        <w:tc>
          <w:tcPr>
            <w:tcW w:w="1060" w:type="dxa"/>
            <w:vAlign w:val="bottom"/>
          </w:tcPr>
          <w:p>
            <w:pPr>
              <w:spacing w:after="0"/>
              <w:rPr>
                <w:sz w:val="20"/>
                <w:szCs w:val="20"/>
                <w:color w:val="auto"/>
              </w:rPr>
            </w:pPr>
            <w:r>
              <w:rPr>
                <w:rFonts w:ascii="Arial" w:cs="Arial" w:eastAsia="Arial" w:hAnsi="Arial"/>
                <w:sz w:val="14"/>
                <w:szCs w:val="14"/>
                <w:color w:val="auto"/>
              </w:rPr>
              <w:t>June, 2020</w:t>
            </w:r>
          </w:p>
        </w:tc>
        <w:tc>
          <w:tcPr>
            <w:tcW w:w="1720" w:type="dxa"/>
            <w:vAlign w:val="bottom"/>
            <w:gridSpan w:val="3"/>
          </w:tcPr>
          <w:p>
            <w:pPr>
              <w:ind w:left="100"/>
              <w:spacing w:after="0"/>
              <w:rPr>
                <w:sz w:val="20"/>
                <w:szCs w:val="20"/>
                <w:color w:val="auto"/>
              </w:rPr>
            </w:pPr>
            <w:r>
              <w:rPr>
                <w:rFonts w:ascii="Arial" w:cs="Arial" w:eastAsia="Arial" w:hAnsi="Arial"/>
                <w:sz w:val="14"/>
                <w:szCs w:val="14"/>
                <w:color w:val="auto"/>
              </w:rPr>
              <w:t>Libor + 3.25%, 1% floor</w:t>
            </w: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1,995</w:t>
            </w:r>
          </w:p>
        </w:tc>
        <w:tc>
          <w:tcPr>
            <w:tcW w:w="20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1,993</w:t>
            </w:r>
          </w:p>
        </w:tc>
        <w:tc>
          <w:tcPr>
            <w:tcW w:w="30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1,988</w:t>
            </w:r>
          </w:p>
        </w:tc>
        <w:tc>
          <w:tcPr>
            <w:tcW w:w="64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30"/>
        </w:trPr>
        <w:tc>
          <w:tcPr>
            <w:tcW w:w="13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Emerging Markets</w:t>
            </w:r>
          </w:p>
        </w:tc>
        <w:tc>
          <w:tcPr>
            <w:tcW w:w="1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Communications,</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LLC</w:t>
            </w:r>
          </w:p>
        </w:tc>
        <w:tc>
          <w:tcPr>
            <w:tcW w:w="1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Telecommunications</w:t>
            </w:r>
          </w:p>
        </w:tc>
        <w:tc>
          <w:tcPr>
            <w:tcW w:w="1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Senior Loan</w:t>
            </w:r>
          </w:p>
        </w:tc>
        <w:tc>
          <w:tcPr>
            <w:tcW w:w="1060" w:type="dxa"/>
            <w:vAlign w:val="bottom"/>
            <w:shd w:val="clear" w:color="auto" w:fill="CCEEFF"/>
          </w:tcPr>
          <w:p>
            <w:pPr>
              <w:spacing w:after="0"/>
              <w:rPr>
                <w:sz w:val="20"/>
                <w:szCs w:val="20"/>
                <w:color w:val="auto"/>
              </w:rPr>
            </w:pPr>
            <w:r>
              <w:rPr>
                <w:rFonts w:ascii="Arial" w:cs="Arial" w:eastAsia="Arial" w:hAnsi="Arial"/>
                <w:sz w:val="14"/>
                <w:szCs w:val="14"/>
                <w:color w:val="auto"/>
              </w:rPr>
              <w:t>June, 2021</w:t>
            </w:r>
          </w:p>
        </w:tc>
        <w:tc>
          <w:tcPr>
            <w:tcW w:w="17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Libor + 4.25%, 1% floor</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2,494</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2,456</w:t>
            </w:r>
          </w:p>
        </w:tc>
        <w:tc>
          <w:tcPr>
            <w:tcW w:w="3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2,431</w:t>
            </w:r>
          </w:p>
        </w:tc>
        <w:tc>
          <w:tcPr>
            <w:tcW w:w="6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30"/>
        </w:trPr>
        <w:tc>
          <w:tcPr>
            <w:tcW w:w="1380" w:type="dxa"/>
            <w:vAlign w:val="bottom"/>
            <w:gridSpan w:val="2"/>
          </w:tcPr>
          <w:p>
            <w:pPr>
              <w:spacing w:after="0" w:line="130" w:lineRule="exact"/>
              <w:rPr>
                <w:sz w:val="20"/>
                <w:szCs w:val="20"/>
                <w:color w:val="auto"/>
              </w:rPr>
            </w:pPr>
            <w:r>
              <w:rPr>
                <w:rFonts w:ascii="Arial" w:cs="Arial" w:eastAsia="Arial" w:hAnsi="Arial"/>
                <w:sz w:val="14"/>
                <w:szCs w:val="14"/>
                <w:color w:val="auto"/>
              </w:rPr>
              <w:t>Eresearch</w:t>
            </w:r>
          </w:p>
        </w:tc>
        <w:tc>
          <w:tcPr>
            <w:tcW w:w="1660" w:type="dxa"/>
            <w:vAlign w:val="bottom"/>
            <w:gridSpan w:val="2"/>
          </w:tcPr>
          <w:p>
            <w:pPr>
              <w:spacing w:after="0" w:line="130" w:lineRule="exact"/>
              <w:rPr>
                <w:sz w:val="20"/>
                <w:szCs w:val="20"/>
                <w:color w:val="auto"/>
              </w:rPr>
            </w:pPr>
            <w:r>
              <w:rPr>
                <w:rFonts w:ascii="Arial" w:cs="Arial" w:eastAsia="Arial" w:hAnsi="Arial"/>
                <w:sz w:val="14"/>
                <w:szCs w:val="14"/>
                <w:color w:val="auto"/>
                <w:w w:val="99"/>
              </w:rPr>
              <w:t>Healthcare, Education and</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380" w:type="dxa"/>
            <w:vAlign w:val="bottom"/>
            <w:gridSpan w:val="2"/>
          </w:tcPr>
          <w:p>
            <w:pPr>
              <w:spacing w:after="0"/>
              <w:rPr>
                <w:sz w:val="20"/>
                <w:szCs w:val="20"/>
                <w:color w:val="auto"/>
              </w:rPr>
            </w:pPr>
            <w:r>
              <w:rPr>
                <w:rFonts w:ascii="Arial" w:cs="Arial" w:eastAsia="Arial" w:hAnsi="Arial"/>
                <w:sz w:val="14"/>
                <w:szCs w:val="14"/>
                <w:color w:val="auto"/>
              </w:rPr>
              <w:t>Technology, Inc.</w:t>
            </w:r>
          </w:p>
        </w:tc>
        <w:tc>
          <w:tcPr>
            <w:tcW w:w="1660" w:type="dxa"/>
            <w:vAlign w:val="bottom"/>
            <w:gridSpan w:val="2"/>
          </w:tcPr>
          <w:p>
            <w:pPr>
              <w:spacing w:after="0"/>
              <w:rPr>
                <w:sz w:val="20"/>
                <w:szCs w:val="20"/>
                <w:color w:val="auto"/>
              </w:rPr>
            </w:pPr>
            <w:r>
              <w:rPr>
                <w:rFonts w:ascii="Arial" w:cs="Arial" w:eastAsia="Arial" w:hAnsi="Arial"/>
                <w:sz w:val="14"/>
                <w:szCs w:val="14"/>
                <w:color w:val="auto"/>
              </w:rPr>
              <w:t>Childcare</w:t>
            </w:r>
          </w:p>
        </w:tc>
        <w:tc>
          <w:tcPr>
            <w:tcW w:w="1000" w:type="dxa"/>
            <w:vAlign w:val="bottom"/>
            <w:gridSpan w:val="2"/>
          </w:tcPr>
          <w:p>
            <w:pPr>
              <w:spacing w:after="0"/>
              <w:rPr>
                <w:sz w:val="20"/>
                <w:szCs w:val="20"/>
                <w:color w:val="auto"/>
              </w:rPr>
            </w:pPr>
            <w:r>
              <w:rPr>
                <w:rFonts w:ascii="Arial" w:cs="Arial" w:eastAsia="Arial" w:hAnsi="Arial"/>
                <w:sz w:val="14"/>
                <w:szCs w:val="14"/>
                <w:color w:val="auto"/>
              </w:rPr>
              <w:t>Senior Loan</w:t>
            </w:r>
          </w:p>
        </w:tc>
        <w:tc>
          <w:tcPr>
            <w:tcW w:w="1060" w:type="dxa"/>
            <w:vAlign w:val="bottom"/>
          </w:tcPr>
          <w:p>
            <w:pPr>
              <w:spacing w:after="0"/>
              <w:rPr>
                <w:sz w:val="20"/>
                <w:szCs w:val="20"/>
                <w:color w:val="auto"/>
              </w:rPr>
            </w:pPr>
            <w:r>
              <w:rPr>
                <w:rFonts w:ascii="Arial" w:cs="Arial" w:eastAsia="Arial" w:hAnsi="Arial"/>
                <w:sz w:val="14"/>
                <w:szCs w:val="14"/>
                <w:color w:val="auto"/>
              </w:rPr>
              <w:t>May, 2022</w:t>
            </w:r>
          </w:p>
        </w:tc>
        <w:tc>
          <w:tcPr>
            <w:tcW w:w="1720" w:type="dxa"/>
            <w:vAlign w:val="bottom"/>
            <w:gridSpan w:val="3"/>
          </w:tcPr>
          <w:p>
            <w:pPr>
              <w:ind w:left="100"/>
              <w:spacing w:after="0"/>
              <w:rPr>
                <w:sz w:val="20"/>
                <w:szCs w:val="20"/>
                <w:color w:val="auto"/>
              </w:rPr>
            </w:pPr>
            <w:r>
              <w:rPr>
                <w:rFonts w:ascii="Arial" w:cs="Arial" w:eastAsia="Arial" w:hAnsi="Arial"/>
                <w:sz w:val="14"/>
                <w:szCs w:val="14"/>
                <w:color w:val="auto"/>
              </w:rPr>
              <w:t>Libor + 4.5%, 1% floor</w:t>
            </w: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2,494</w:t>
            </w:r>
          </w:p>
        </w:tc>
        <w:tc>
          <w:tcPr>
            <w:tcW w:w="20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2,481</w:t>
            </w:r>
          </w:p>
        </w:tc>
        <w:tc>
          <w:tcPr>
            <w:tcW w:w="30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2,481</w:t>
            </w:r>
          </w:p>
        </w:tc>
        <w:tc>
          <w:tcPr>
            <w:tcW w:w="6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Genoa Healthcare</w:t>
            </w:r>
          </w:p>
        </w:tc>
        <w:tc>
          <w:tcPr>
            <w:tcW w:w="16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9"/>
              </w:rPr>
              <w:t>Healthcare, Education and</w:t>
            </w: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Group, LLC</w:t>
            </w:r>
          </w:p>
        </w:tc>
        <w:tc>
          <w:tcPr>
            <w:tcW w:w="1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Childcare</w:t>
            </w:r>
          </w:p>
        </w:tc>
        <w:tc>
          <w:tcPr>
            <w:tcW w:w="1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Senior Loan</w:t>
            </w:r>
          </w:p>
        </w:tc>
        <w:tc>
          <w:tcPr>
            <w:tcW w:w="1060" w:type="dxa"/>
            <w:vAlign w:val="bottom"/>
            <w:shd w:val="clear" w:color="auto" w:fill="CCEEFF"/>
          </w:tcPr>
          <w:p>
            <w:pPr>
              <w:spacing w:after="0"/>
              <w:rPr>
                <w:sz w:val="20"/>
                <w:szCs w:val="20"/>
                <w:color w:val="auto"/>
              </w:rPr>
            </w:pPr>
            <w:r>
              <w:rPr>
                <w:rFonts w:ascii="Arial" w:cs="Arial" w:eastAsia="Arial" w:hAnsi="Arial"/>
                <w:sz w:val="14"/>
                <w:szCs w:val="14"/>
                <w:color w:val="auto"/>
              </w:rPr>
              <w:t>May, 2022</w:t>
            </w:r>
          </w:p>
        </w:tc>
        <w:tc>
          <w:tcPr>
            <w:tcW w:w="17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Libor + 3.5%, 1% floor</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1,995</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1,985</w:t>
            </w:r>
          </w:p>
        </w:tc>
        <w:tc>
          <w:tcPr>
            <w:tcW w:w="3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1,986</w:t>
            </w:r>
          </w:p>
        </w:tc>
        <w:tc>
          <w:tcPr>
            <w:tcW w:w="6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gridSpan w:val="2"/>
          </w:tcPr>
          <w:p>
            <w:pPr>
              <w:spacing w:after="0" w:line="130" w:lineRule="exact"/>
              <w:rPr>
                <w:sz w:val="20"/>
                <w:szCs w:val="20"/>
                <w:color w:val="auto"/>
              </w:rPr>
            </w:pPr>
            <w:r>
              <w:rPr>
                <w:rFonts w:ascii="Arial" w:cs="Arial" w:eastAsia="Arial" w:hAnsi="Arial"/>
                <w:sz w:val="14"/>
                <w:szCs w:val="14"/>
                <w:color w:val="auto"/>
              </w:rPr>
              <w:t>Beverage, Food and</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380" w:type="dxa"/>
            <w:vAlign w:val="bottom"/>
            <w:gridSpan w:val="2"/>
          </w:tcPr>
          <w:p>
            <w:pPr>
              <w:spacing w:after="0"/>
              <w:rPr>
                <w:sz w:val="20"/>
                <w:szCs w:val="20"/>
                <w:color w:val="auto"/>
              </w:rPr>
            </w:pPr>
            <w:r>
              <w:rPr>
                <w:rFonts w:ascii="Arial" w:cs="Arial" w:eastAsia="Arial" w:hAnsi="Arial"/>
                <w:sz w:val="14"/>
                <w:szCs w:val="14"/>
                <w:color w:val="auto"/>
              </w:rPr>
              <w:t>Hostess Brands, Inc.</w:t>
            </w:r>
          </w:p>
        </w:tc>
        <w:tc>
          <w:tcPr>
            <w:tcW w:w="1660" w:type="dxa"/>
            <w:vAlign w:val="bottom"/>
            <w:gridSpan w:val="2"/>
          </w:tcPr>
          <w:p>
            <w:pPr>
              <w:spacing w:after="0"/>
              <w:rPr>
                <w:sz w:val="20"/>
                <w:szCs w:val="20"/>
                <w:color w:val="auto"/>
              </w:rPr>
            </w:pPr>
            <w:r>
              <w:rPr>
                <w:rFonts w:ascii="Arial" w:cs="Arial" w:eastAsia="Arial" w:hAnsi="Arial"/>
                <w:sz w:val="14"/>
                <w:szCs w:val="14"/>
                <w:color w:val="auto"/>
              </w:rPr>
              <w:t>Tobacco</w:t>
            </w:r>
          </w:p>
        </w:tc>
        <w:tc>
          <w:tcPr>
            <w:tcW w:w="1000" w:type="dxa"/>
            <w:vAlign w:val="bottom"/>
            <w:gridSpan w:val="2"/>
          </w:tcPr>
          <w:p>
            <w:pPr>
              <w:spacing w:after="0"/>
              <w:rPr>
                <w:sz w:val="20"/>
                <w:szCs w:val="20"/>
                <w:color w:val="auto"/>
              </w:rPr>
            </w:pPr>
            <w:r>
              <w:rPr>
                <w:rFonts w:ascii="Arial" w:cs="Arial" w:eastAsia="Arial" w:hAnsi="Arial"/>
                <w:sz w:val="14"/>
                <w:szCs w:val="14"/>
                <w:color w:val="auto"/>
              </w:rPr>
              <w:t>Senior Loan</w:t>
            </w:r>
          </w:p>
        </w:tc>
        <w:tc>
          <w:tcPr>
            <w:tcW w:w="1060" w:type="dxa"/>
            <w:vAlign w:val="bottom"/>
          </w:tcPr>
          <w:p>
            <w:pPr>
              <w:spacing w:after="0"/>
              <w:rPr>
                <w:sz w:val="20"/>
                <w:szCs w:val="20"/>
                <w:color w:val="auto"/>
              </w:rPr>
            </w:pPr>
            <w:r>
              <w:rPr>
                <w:rFonts w:ascii="Arial" w:cs="Arial" w:eastAsia="Arial" w:hAnsi="Arial"/>
                <w:sz w:val="14"/>
                <w:szCs w:val="14"/>
                <w:color w:val="auto"/>
              </w:rPr>
              <w:t>August, 2022</w:t>
            </w:r>
          </w:p>
        </w:tc>
        <w:tc>
          <w:tcPr>
            <w:tcW w:w="1720" w:type="dxa"/>
            <w:vAlign w:val="bottom"/>
            <w:gridSpan w:val="3"/>
          </w:tcPr>
          <w:p>
            <w:pPr>
              <w:ind w:left="100"/>
              <w:spacing w:after="0"/>
              <w:rPr>
                <w:sz w:val="20"/>
                <w:szCs w:val="20"/>
                <w:color w:val="auto"/>
              </w:rPr>
            </w:pPr>
            <w:r>
              <w:rPr>
                <w:rFonts w:ascii="Arial" w:cs="Arial" w:eastAsia="Arial" w:hAnsi="Arial"/>
                <w:sz w:val="14"/>
                <w:szCs w:val="14"/>
                <w:color w:val="auto"/>
              </w:rPr>
              <w:t>Libor + 3.5%, 1% floor</w:t>
            </w: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2,000</w:t>
            </w:r>
          </w:p>
        </w:tc>
        <w:tc>
          <w:tcPr>
            <w:tcW w:w="20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1,995</w:t>
            </w:r>
          </w:p>
        </w:tc>
        <w:tc>
          <w:tcPr>
            <w:tcW w:w="30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2,001</w:t>
            </w:r>
          </w:p>
        </w:tc>
        <w:tc>
          <w:tcPr>
            <w:tcW w:w="6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Leisure, Amusement,</w:t>
            </w: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IMG Worldwide, Inc.</w:t>
            </w:r>
          </w:p>
        </w:tc>
        <w:tc>
          <w:tcPr>
            <w:tcW w:w="1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Entertainment</w:t>
            </w:r>
          </w:p>
        </w:tc>
        <w:tc>
          <w:tcPr>
            <w:tcW w:w="1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Senior Loan</w:t>
            </w:r>
          </w:p>
        </w:tc>
        <w:tc>
          <w:tcPr>
            <w:tcW w:w="1060" w:type="dxa"/>
            <w:vAlign w:val="bottom"/>
            <w:shd w:val="clear" w:color="auto" w:fill="CCEEFF"/>
          </w:tcPr>
          <w:p>
            <w:pPr>
              <w:spacing w:after="0"/>
              <w:rPr>
                <w:sz w:val="20"/>
                <w:szCs w:val="20"/>
                <w:color w:val="auto"/>
              </w:rPr>
            </w:pPr>
            <w:r>
              <w:rPr>
                <w:rFonts w:ascii="Arial" w:cs="Arial" w:eastAsia="Arial" w:hAnsi="Arial"/>
                <w:sz w:val="14"/>
                <w:szCs w:val="14"/>
                <w:color w:val="auto"/>
              </w:rPr>
              <w:t>May, 2021</w:t>
            </w:r>
          </w:p>
        </w:tc>
        <w:tc>
          <w:tcPr>
            <w:tcW w:w="17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Libor + 4.25%, 1% floor</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1,995</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2,000</w:t>
            </w:r>
          </w:p>
        </w:tc>
        <w:tc>
          <w:tcPr>
            <w:tcW w:w="3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1,983</w:t>
            </w:r>
          </w:p>
        </w:tc>
        <w:tc>
          <w:tcPr>
            <w:tcW w:w="6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30"/>
        </w:trPr>
        <w:tc>
          <w:tcPr>
            <w:tcW w:w="1380" w:type="dxa"/>
            <w:vAlign w:val="bottom"/>
            <w:gridSpan w:val="2"/>
          </w:tcPr>
          <w:p>
            <w:pPr>
              <w:spacing w:after="0" w:line="130" w:lineRule="exact"/>
              <w:rPr>
                <w:sz w:val="20"/>
                <w:szCs w:val="20"/>
                <w:color w:val="auto"/>
              </w:rPr>
            </w:pPr>
            <w:r>
              <w:rPr>
                <w:rFonts w:ascii="Arial" w:cs="Arial" w:eastAsia="Arial" w:hAnsi="Arial"/>
                <w:sz w:val="14"/>
                <w:szCs w:val="14"/>
                <w:color w:val="auto"/>
              </w:rPr>
              <w:t>Infiltrator Systems,</w:t>
            </w:r>
          </w:p>
        </w:tc>
        <w:tc>
          <w:tcPr>
            <w:tcW w:w="1660" w:type="dxa"/>
            <w:vAlign w:val="bottom"/>
            <w:gridSpan w:val="2"/>
          </w:tcPr>
          <w:p>
            <w:pPr>
              <w:spacing w:after="0" w:line="130" w:lineRule="exact"/>
              <w:rPr>
                <w:sz w:val="20"/>
                <w:szCs w:val="20"/>
                <w:color w:val="auto"/>
              </w:rPr>
            </w:pPr>
            <w:r>
              <w:rPr>
                <w:rFonts w:ascii="Arial" w:cs="Arial" w:eastAsia="Arial" w:hAnsi="Arial"/>
                <w:sz w:val="14"/>
                <w:szCs w:val="14"/>
                <w:color w:val="auto"/>
                <w:w w:val="97"/>
              </w:rPr>
              <w:t>Containers, Packaging and</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380" w:type="dxa"/>
            <w:vAlign w:val="bottom"/>
            <w:gridSpan w:val="2"/>
          </w:tcPr>
          <w:p>
            <w:pPr>
              <w:spacing w:after="0"/>
              <w:rPr>
                <w:sz w:val="20"/>
                <w:szCs w:val="20"/>
                <w:color w:val="auto"/>
              </w:rPr>
            </w:pPr>
            <w:r>
              <w:rPr>
                <w:rFonts w:ascii="Arial" w:cs="Arial" w:eastAsia="Arial" w:hAnsi="Arial"/>
                <w:sz w:val="14"/>
                <w:szCs w:val="14"/>
                <w:color w:val="auto"/>
              </w:rPr>
              <w:t>Inc.</w:t>
            </w:r>
          </w:p>
        </w:tc>
        <w:tc>
          <w:tcPr>
            <w:tcW w:w="1660" w:type="dxa"/>
            <w:vAlign w:val="bottom"/>
            <w:gridSpan w:val="2"/>
          </w:tcPr>
          <w:p>
            <w:pPr>
              <w:spacing w:after="0"/>
              <w:rPr>
                <w:sz w:val="20"/>
                <w:szCs w:val="20"/>
                <w:color w:val="auto"/>
              </w:rPr>
            </w:pPr>
            <w:r>
              <w:rPr>
                <w:rFonts w:ascii="Arial" w:cs="Arial" w:eastAsia="Arial" w:hAnsi="Arial"/>
                <w:sz w:val="14"/>
                <w:szCs w:val="14"/>
                <w:color w:val="auto"/>
              </w:rPr>
              <w:t>Glass</w:t>
            </w:r>
          </w:p>
        </w:tc>
        <w:tc>
          <w:tcPr>
            <w:tcW w:w="1000" w:type="dxa"/>
            <w:vAlign w:val="bottom"/>
            <w:gridSpan w:val="2"/>
          </w:tcPr>
          <w:p>
            <w:pPr>
              <w:spacing w:after="0"/>
              <w:rPr>
                <w:sz w:val="20"/>
                <w:szCs w:val="20"/>
                <w:color w:val="auto"/>
              </w:rPr>
            </w:pPr>
            <w:r>
              <w:rPr>
                <w:rFonts w:ascii="Arial" w:cs="Arial" w:eastAsia="Arial" w:hAnsi="Arial"/>
                <w:sz w:val="14"/>
                <w:szCs w:val="14"/>
                <w:color w:val="auto"/>
              </w:rPr>
              <w:t>Senior Loan</w:t>
            </w:r>
          </w:p>
        </w:tc>
        <w:tc>
          <w:tcPr>
            <w:tcW w:w="1060" w:type="dxa"/>
            <w:vAlign w:val="bottom"/>
          </w:tcPr>
          <w:p>
            <w:pPr>
              <w:spacing w:after="0"/>
              <w:rPr>
                <w:sz w:val="20"/>
                <w:szCs w:val="20"/>
                <w:color w:val="auto"/>
              </w:rPr>
            </w:pPr>
            <w:r>
              <w:rPr>
                <w:rFonts w:ascii="Arial" w:cs="Arial" w:eastAsia="Arial" w:hAnsi="Arial"/>
                <w:sz w:val="14"/>
                <w:szCs w:val="14"/>
                <w:color w:val="auto"/>
              </w:rPr>
              <w:t>May, 2022</w:t>
            </w:r>
          </w:p>
        </w:tc>
        <w:tc>
          <w:tcPr>
            <w:tcW w:w="1720" w:type="dxa"/>
            <w:vAlign w:val="bottom"/>
            <w:gridSpan w:val="3"/>
          </w:tcPr>
          <w:p>
            <w:pPr>
              <w:ind w:left="100"/>
              <w:spacing w:after="0"/>
              <w:rPr>
                <w:sz w:val="20"/>
                <w:szCs w:val="20"/>
                <w:color w:val="auto"/>
              </w:rPr>
            </w:pPr>
            <w:r>
              <w:rPr>
                <w:rFonts w:ascii="Arial" w:cs="Arial" w:eastAsia="Arial" w:hAnsi="Arial"/>
                <w:sz w:val="14"/>
                <w:szCs w:val="14"/>
                <w:color w:val="auto"/>
              </w:rPr>
              <w:t>Libor + 4.25%, 1% floor</w:t>
            </w: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998</w:t>
            </w:r>
          </w:p>
        </w:tc>
        <w:tc>
          <w:tcPr>
            <w:tcW w:w="20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993</w:t>
            </w:r>
          </w:p>
        </w:tc>
        <w:tc>
          <w:tcPr>
            <w:tcW w:w="30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995</w:t>
            </w:r>
          </w:p>
        </w:tc>
        <w:tc>
          <w:tcPr>
            <w:tcW w:w="6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Informatica</w:t>
            </w:r>
          </w:p>
        </w:tc>
        <w:tc>
          <w:tcPr>
            <w:tcW w:w="1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Corporation</w:t>
            </w:r>
          </w:p>
        </w:tc>
        <w:tc>
          <w:tcPr>
            <w:tcW w:w="1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Electronics</w:t>
            </w:r>
          </w:p>
        </w:tc>
        <w:tc>
          <w:tcPr>
            <w:tcW w:w="1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Senior Loan</w:t>
            </w:r>
          </w:p>
        </w:tc>
        <w:tc>
          <w:tcPr>
            <w:tcW w:w="1060" w:type="dxa"/>
            <w:vAlign w:val="bottom"/>
            <w:shd w:val="clear" w:color="auto" w:fill="CCEEFF"/>
          </w:tcPr>
          <w:p>
            <w:pPr>
              <w:spacing w:after="0"/>
              <w:rPr>
                <w:sz w:val="20"/>
                <w:szCs w:val="20"/>
                <w:color w:val="auto"/>
              </w:rPr>
            </w:pPr>
            <w:r>
              <w:rPr>
                <w:rFonts w:ascii="Arial" w:cs="Arial" w:eastAsia="Arial" w:hAnsi="Arial"/>
                <w:sz w:val="14"/>
                <w:szCs w:val="14"/>
                <w:color w:val="auto"/>
              </w:rPr>
              <w:t>June, 2022</w:t>
            </w:r>
          </w:p>
        </w:tc>
        <w:tc>
          <w:tcPr>
            <w:tcW w:w="17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Libor + 3.5%, 1% floor</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2,500</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2,495</w:t>
            </w:r>
          </w:p>
        </w:tc>
        <w:tc>
          <w:tcPr>
            <w:tcW w:w="3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2,469</w:t>
            </w:r>
          </w:p>
        </w:tc>
        <w:tc>
          <w:tcPr>
            <w:tcW w:w="6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1380" w:type="dxa"/>
            <w:vAlign w:val="bottom"/>
            <w:gridSpan w:val="2"/>
          </w:tcPr>
          <w:p>
            <w:pPr>
              <w:spacing w:after="0" w:line="149" w:lineRule="exact"/>
              <w:rPr>
                <w:sz w:val="20"/>
                <w:szCs w:val="20"/>
                <w:color w:val="auto"/>
              </w:rPr>
            </w:pPr>
            <w:r>
              <w:rPr>
                <w:rFonts w:ascii="Arial" w:cs="Arial" w:eastAsia="Arial" w:hAnsi="Arial"/>
                <w:sz w:val="14"/>
                <w:szCs w:val="14"/>
                <w:color w:val="auto"/>
              </w:rPr>
              <w:t>Integra Telecom, Inc.</w:t>
            </w:r>
          </w:p>
        </w:tc>
        <w:tc>
          <w:tcPr>
            <w:tcW w:w="1660" w:type="dxa"/>
            <w:vAlign w:val="bottom"/>
            <w:gridSpan w:val="2"/>
          </w:tcPr>
          <w:p>
            <w:pPr>
              <w:spacing w:after="0" w:line="149" w:lineRule="exact"/>
              <w:rPr>
                <w:sz w:val="20"/>
                <w:szCs w:val="20"/>
                <w:color w:val="auto"/>
              </w:rPr>
            </w:pPr>
            <w:r>
              <w:rPr>
                <w:rFonts w:ascii="Arial" w:cs="Arial" w:eastAsia="Arial" w:hAnsi="Arial"/>
                <w:sz w:val="14"/>
                <w:szCs w:val="14"/>
                <w:color w:val="auto"/>
              </w:rPr>
              <w:t>Telecommunications</w:t>
            </w:r>
          </w:p>
        </w:tc>
        <w:tc>
          <w:tcPr>
            <w:tcW w:w="1000" w:type="dxa"/>
            <w:vAlign w:val="bottom"/>
            <w:gridSpan w:val="2"/>
          </w:tcPr>
          <w:p>
            <w:pPr>
              <w:spacing w:after="0" w:line="149" w:lineRule="exact"/>
              <w:rPr>
                <w:sz w:val="20"/>
                <w:szCs w:val="20"/>
                <w:color w:val="auto"/>
              </w:rPr>
            </w:pPr>
            <w:r>
              <w:rPr>
                <w:rFonts w:ascii="Arial" w:cs="Arial" w:eastAsia="Arial" w:hAnsi="Arial"/>
                <w:sz w:val="14"/>
                <w:szCs w:val="14"/>
                <w:color w:val="auto"/>
              </w:rPr>
              <w:t>Senior Loan</w:t>
            </w:r>
          </w:p>
        </w:tc>
        <w:tc>
          <w:tcPr>
            <w:tcW w:w="1060" w:type="dxa"/>
            <w:vAlign w:val="bottom"/>
          </w:tcPr>
          <w:p>
            <w:pPr>
              <w:spacing w:after="0" w:line="149" w:lineRule="exact"/>
              <w:rPr>
                <w:sz w:val="20"/>
                <w:szCs w:val="20"/>
                <w:color w:val="auto"/>
              </w:rPr>
            </w:pPr>
            <w:r>
              <w:rPr>
                <w:rFonts w:ascii="Arial" w:cs="Arial" w:eastAsia="Arial" w:hAnsi="Arial"/>
                <w:sz w:val="14"/>
                <w:szCs w:val="14"/>
                <w:color w:val="auto"/>
              </w:rPr>
              <w:t>February, 2020</w:t>
            </w:r>
          </w:p>
        </w:tc>
        <w:tc>
          <w:tcPr>
            <w:tcW w:w="172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Libor + 4.25%, 1% floor</w:t>
            </w:r>
          </w:p>
        </w:tc>
        <w:tc>
          <w:tcPr>
            <w:tcW w:w="12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2,985</w:t>
            </w:r>
          </w:p>
        </w:tc>
        <w:tc>
          <w:tcPr>
            <w:tcW w:w="20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2,970</w:t>
            </w:r>
          </w:p>
        </w:tc>
        <w:tc>
          <w:tcPr>
            <w:tcW w:w="30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2,963</w:t>
            </w:r>
          </w:p>
        </w:tc>
        <w:tc>
          <w:tcPr>
            <w:tcW w:w="64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1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JILL Holdings, LLC</w:t>
            </w:r>
          </w:p>
        </w:tc>
        <w:tc>
          <w:tcPr>
            <w:tcW w:w="1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Retail Stores</w:t>
            </w:r>
          </w:p>
        </w:tc>
        <w:tc>
          <w:tcPr>
            <w:tcW w:w="1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Senior Loan</w:t>
            </w:r>
          </w:p>
        </w:tc>
        <w:tc>
          <w:tcPr>
            <w:tcW w:w="1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May, 2020</w:t>
            </w:r>
          </w:p>
        </w:tc>
        <w:tc>
          <w:tcPr>
            <w:tcW w:w="172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Libor + 5.0%, 1% floor</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2,000</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1,990</w:t>
            </w:r>
          </w:p>
        </w:tc>
        <w:tc>
          <w:tcPr>
            <w:tcW w:w="3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1,950</w:t>
            </w:r>
          </w:p>
        </w:tc>
        <w:tc>
          <w:tcPr>
            <w:tcW w:w="6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9"/>
        </w:trPr>
        <w:tc>
          <w:tcPr>
            <w:tcW w:w="1380" w:type="dxa"/>
            <w:vAlign w:val="bottom"/>
            <w:gridSpan w:val="2"/>
          </w:tcPr>
          <w:p>
            <w:pPr>
              <w:spacing w:after="0" w:line="149" w:lineRule="exact"/>
              <w:rPr>
                <w:sz w:val="20"/>
                <w:szCs w:val="20"/>
                <w:color w:val="auto"/>
              </w:rPr>
            </w:pPr>
            <w:r>
              <w:rPr>
                <w:rFonts w:ascii="Arial" w:cs="Arial" w:eastAsia="Arial" w:hAnsi="Arial"/>
                <w:sz w:val="14"/>
                <w:szCs w:val="14"/>
                <w:color w:val="auto"/>
              </w:rPr>
              <w:t>LS Deco, LLC</w:t>
            </w:r>
          </w:p>
        </w:tc>
        <w:tc>
          <w:tcPr>
            <w:tcW w:w="1660" w:type="dxa"/>
            <w:vAlign w:val="bottom"/>
            <w:gridSpan w:val="2"/>
          </w:tcPr>
          <w:p>
            <w:pPr>
              <w:spacing w:after="0" w:line="149" w:lineRule="exact"/>
              <w:rPr>
                <w:sz w:val="20"/>
                <w:szCs w:val="20"/>
                <w:color w:val="auto"/>
              </w:rPr>
            </w:pPr>
            <w:r>
              <w:rPr>
                <w:rFonts w:ascii="Arial" w:cs="Arial" w:eastAsia="Arial" w:hAnsi="Arial"/>
                <w:sz w:val="14"/>
                <w:szCs w:val="14"/>
                <w:color w:val="auto"/>
              </w:rPr>
              <w:t>Buildings and Real Estate</w:t>
            </w:r>
          </w:p>
        </w:tc>
        <w:tc>
          <w:tcPr>
            <w:tcW w:w="1000" w:type="dxa"/>
            <w:vAlign w:val="bottom"/>
            <w:gridSpan w:val="2"/>
          </w:tcPr>
          <w:p>
            <w:pPr>
              <w:spacing w:after="0" w:line="149" w:lineRule="exact"/>
              <w:rPr>
                <w:sz w:val="20"/>
                <w:szCs w:val="20"/>
                <w:color w:val="auto"/>
              </w:rPr>
            </w:pPr>
            <w:r>
              <w:rPr>
                <w:rFonts w:ascii="Arial" w:cs="Arial" w:eastAsia="Arial" w:hAnsi="Arial"/>
                <w:sz w:val="14"/>
                <w:szCs w:val="14"/>
                <w:color w:val="auto"/>
              </w:rPr>
              <w:t>Senior Loan</w:t>
            </w:r>
          </w:p>
        </w:tc>
        <w:tc>
          <w:tcPr>
            <w:tcW w:w="1060" w:type="dxa"/>
            <w:vAlign w:val="bottom"/>
          </w:tcPr>
          <w:p>
            <w:pPr>
              <w:spacing w:after="0" w:line="149" w:lineRule="exact"/>
              <w:rPr>
                <w:sz w:val="20"/>
                <w:szCs w:val="20"/>
                <w:color w:val="auto"/>
              </w:rPr>
            </w:pPr>
            <w:r>
              <w:rPr>
                <w:rFonts w:ascii="Arial" w:cs="Arial" w:eastAsia="Arial" w:hAnsi="Arial"/>
                <w:sz w:val="14"/>
                <w:szCs w:val="14"/>
                <w:color w:val="auto"/>
              </w:rPr>
              <w:t>May, 2022</w:t>
            </w:r>
          </w:p>
        </w:tc>
        <w:tc>
          <w:tcPr>
            <w:tcW w:w="172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Libor + 4.5%, 1% floor</w:t>
            </w:r>
          </w:p>
        </w:tc>
        <w:tc>
          <w:tcPr>
            <w:tcW w:w="12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1,750</w:t>
            </w:r>
          </w:p>
        </w:tc>
        <w:tc>
          <w:tcPr>
            <w:tcW w:w="20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1,732</w:t>
            </w:r>
          </w:p>
        </w:tc>
        <w:tc>
          <w:tcPr>
            <w:tcW w:w="30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1,719</w:t>
            </w:r>
          </w:p>
        </w:tc>
        <w:tc>
          <w:tcPr>
            <w:tcW w:w="64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30"/>
        </w:trPr>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Leisure, Amusement,</w:t>
            </w: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LTF Merger Sub, Inc.</w:t>
            </w:r>
          </w:p>
        </w:tc>
        <w:tc>
          <w:tcPr>
            <w:tcW w:w="1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Entertainment</w:t>
            </w:r>
          </w:p>
        </w:tc>
        <w:tc>
          <w:tcPr>
            <w:tcW w:w="1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Senior Loan</w:t>
            </w:r>
          </w:p>
        </w:tc>
        <w:tc>
          <w:tcPr>
            <w:tcW w:w="1060" w:type="dxa"/>
            <w:vAlign w:val="bottom"/>
            <w:shd w:val="clear" w:color="auto" w:fill="CCEEFF"/>
          </w:tcPr>
          <w:p>
            <w:pPr>
              <w:spacing w:after="0"/>
              <w:rPr>
                <w:sz w:val="20"/>
                <w:szCs w:val="20"/>
                <w:color w:val="auto"/>
              </w:rPr>
            </w:pPr>
            <w:r>
              <w:rPr>
                <w:rFonts w:ascii="Arial" w:cs="Arial" w:eastAsia="Arial" w:hAnsi="Arial"/>
                <w:sz w:val="14"/>
                <w:szCs w:val="14"/>
                <w:color w:val="auto"/>
              </w:rPr>
              <w:t>June, 2022</w:t>
            </w:r>
          </w:p>
        </w:tc>
        <w:tc>
          <w:tcPr>
            <w:tcW w:w="17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Libor + 3.25%, 1% floor</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1,497</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1,492</w:t>
            </w:r>
          </w:p>
        </w:tc>
        <w:tc>
          <w:tcPr>
            <w:tcW w:w="3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1,488</w:t>
            </w:r>
          </w:p>
        </w:tc>
        <w:tc>
          <w:tcPr>
            <w:tcW w:w="6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30"/>
        </w:trPr>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gridSpan w:val="2"/>
          </w:tcPr>
          <w:p>
            <w:pPr>
              <w:spacing w:after="0" w:line="130" w:lineRule="exact"/>
              <w:rPr>
                <w:sz w:val="20"/>
                <w:szCs w:val="20"/>
                <w:color w:val="auto"/>
              </w:rPr>
            </w:pPr>
            <w:r>
              <w:rPr>
                <w:rFonts w:ascii="Arial" w:cs="Arial" w:eastAsia="Arial" w:hAnsi="Arial"/>
                <w:sz w:val="14"/>
                <w:szCs w:val="14"/>
                <w:color w:val="auto"/>
              </w:rPr>
              <w:t>Diversified Natural</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80" w:type="dxa"/>
            <w:vAlign w:val="bottom"/>
            <w:gridSpan w:val="2"/>
          </w:tcPr>
          <w:p>
            <w:pPr>
              <w:spacing w:after="0" w:line="149" w:lineRule="exact"/>
              <w:rPr>
                <w:sz w:val="20"/>
                <w:szCs w:val="20"/>
                <w:color w:val="auto"/>
              </w:rPr>
            </w:pPr>
            <w:r>
              <w:rPr>
                <w:rFonts w:ascii="Arial" w:cs="Arial" w:eastAsia="Arial" w:hAnsi="Arial"/>
                <w:sz w:val="14"/>
                <w:szCs w:val="14"/>
                <w:color w:val="auto"/>
              </w:rPr>
              <w:t>Minerals</w:t>
            </w:r>
          </w:p>
        </w:tc>
        <w:tc>
          <w:tcPr>
            <w:tcW w:w="1660" w:type="dxa"/>
            <w:vAlign w:val="bottom"/>
            <w:gridSpan w:val="2"/>
          </w:tcPr>
          <w:p>
            <w:pPr>
              <w:spacing w:after="0" w:line="149" w:lineRule="exact"/>
              <w:rPr>
                <w:sz w:val="20"/>
                <w:szCs w:val="20"/>
                <w:color w:val="auto"/>
              </w:rPr>
            </w:pPr>
            <w:r>
              <w:rPr>
                <w:rFonts w:ascii="Arial" w:cs="Arial" w:eastAsia="Arial" w:hAnsi="Arial"/>
                <w:sz w:val="14"/>
                <w:szCs w:val="14"/>
                <w:color w:val="auto"/>
              </w:rPr>
              <w:t>Resources, Precious</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80" w:type="dxa"/>
            <w:vAlign w:val="bottom"/>
            <w:gridSpan w:val="2"/>
          </w:tcPr>
          <w:p>
            <w:pPr>
              <w:spacing w:after="0"/>
              <w:rPr>
                <w:sz w:val="20"/>
                <w:szCs w:val="20"/>
                <w:color w:val="auto"/>
              </w:rPr>
            </w:pPr>
            <w:r>
              <w:rPr>
                <w:rFonts w:ascii="Arial" w:cs="Arial" w:eastAsia="Arial" w:hAnsi="Arial"/>
                <w:sz w:val="14"/>
                <w:szCs w:val="14"/>
                <w:color w:val="auto"/>
              </w:rPr>
              <w:t>Technologies, Inc.</w:t>
            </w:r>
          </w:p>
        </w:tc>
        <w:tc>
          <w:tcPr>
            <w:tcW w:w="1660" w:type="dxa"/>
            <w:vAlign w:val="bottom"/>
            <w:gridSpan w:val="2"/>
          </w:tcPr>
          <w:p>
            <w:pPr>
              <w:spacing w:after="0"/>
              <w:rPr>
                <w:sz w:val="20"/>
                <w:szCs w:val="20"/>
                <w:color w:val="auto"/>
              </w:rPr>
            </w:pPr>
            <w:r>
              <w:rPr>
                <w:rFonts w:ascii="Arial" w:cs="Arial" w:eastAsia="Arial" w:hAnsi="Arial"/>
                <w:sz w:val="14"/>
                <w:szCs w:val="14"/>
                <w:color w:val="auto"/>
              </w:rPr>
              <w:t>Metals and Minerals</w:t>
            </w:r>
          </w:p>
        </w:tc>
        <w:tc>
          <w:tcPr>
            <w:tcW w:w="1000" w:type="dxa"/>
            <w:vAlign w:val="bottom"/>
            <w:gridSpan w:val="2"/>
          </w:tcPr>
          <w:p>
            <w:pPr>
              <w:spacing w:after="0"/>
              <w:rPr>
                <w:sz w:val="20"/>
                <w:szCs w:val="20"/>
                <w:color w:val="auto"/>
              </w:rPr>
            </w:pPr>
            <w:r>
              <w:rPr>
                <w:rFonts w:ascii="Arial" w:cs="Arial" w:eastAsia="Arial" w:hAnsi="Arial"/>
                <w:sz w:val="14"/>
                <w:szCs w:val="14"/>
                <w:color w:val="auto"/>
              </w:rPr>
              <w:t>Senior Loan</w:t>
            </w:r>
          </w:p>
        </w:tc>
        <w:tc>
          <w:tcPr>
            <w:tcW w:w="1060" w:type="dxa"/>
            <w:vAlign w:val="bottom"/>
          </w:tcPr>
          <w:p>
            <w:pPr>
              <w:spacing w:after="0"/>
              <w:rPr>
                <w:sz w:val="20"/>
                <w:szCs w:val="20"/>
                <w:color w:val="auto"/>
              </w:rPr>
            </w:pPr>
            <w:r>
              <w:rPr>
                <w:rFonts w:ascii="Arial" w:cs="Arial" w:eastAsia="Arial" w:hAnsi="Arial"/>
                <w:sz w:val="14"/>
                <w:szCs w:val="14"/>
                <w:color w:val="auto"/>
              </w:rPr>
              <w:t>May, 2021</w:t>
            </w:r>
          </w:p>
        </w:tc>
        <w:tc>
          <w:tcPr>
            <w:tcW w:w="1720" w:type="dxa"/>
            <w:vAlign w:val="bottom"/>
            <w:gridSpan w:val="3"/>
          </w:tcPr>
          <w:p>
            <w:pPr>
              <w:ind w:left="100"/>
              <w:spacing w:after="0"/>
              <w:rPr>
                <w:sz w:val="20"/>
                <w:szCs w:val="20"/>
                <w:color w:val="auto"/>
              </w:rPr>
            </w:pPr>
            <w:r>
              <w:rPr>
                <w:rFonts w:ascii="Arial" w:cs="Arial" w:eastAsia="Arial" w:hAnsi="Arial"/>
                <w:sz w:val="14"/>
                <w:szCs w:val="14"/>
                <w:color w:val="auto"/>
              </w:rPr>
              <w:t>Libor + 3.0%, .75% floor</w:t>
            </w: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1,430</w:t>
            </w:r>
          </w:p>
        </w:tc>
        <w:tc>
          <w:tcPr>
            <w:tcW w:w="20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1,430</w:t>
            </w:r>
          </w:p>
        </w:tc>
        <w:tc>
          <w:tcPr>
            <w:tcW w:w="30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1,419</w:t>
            </w:r>
          </w:p>
        </w:tc>
        <w:tc>
          <w:tcPr>
            <w:tcW w:w="64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1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Mitel Networks Corp</w:t>
            </w:r>
          </w:p>
        </w:tc>
        <w:tc>
          <w:tcPr>
            <w:tcW w:w="1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Telecommunications</w:t>
            </w:r>
          </w:p>
        </w:tc>
        <w:tc>
          <w:tcPr>
            <w:tcW w:w="1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Senior Loan</w:t>
            </w:r>
          </w:p>
        </w:tc>
        <w:tc>
          <w:tcPr>
            <w:tcW w:w="1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April, 2022</w:t>
            </w:r>
          </w:p>
        </w:tc>
        <w:tc>
          <w:tcPr>
            <w:tcW w:w="172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Libor + 4.0%, 1% floor</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2,992</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2,963</w:t>
            </w:r>
          </w:p>
        </w:tc>
        <w:tc>
          <w:tcPr>
            <w:tcW w:w="3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2,963</w:t>
            </w:r>
          </w:p>
        </w:tc>
        <w:tc>
          <w:tcPr>
            <w:tcW w:w="6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gridSpan w:val="2"/>
          </w:tcPr>
          <w:p>
            <w:pPr>
              <w:spacing w:after="0" w:line="130" w:lineRule="exact"/>
              <w:rPr>
                <w:sz w:val="20"/>
                <w:szCs w:val="20"/>
                <w:color w:val="auto"/>
              </w:rPr>
            </w:pPr>
            <w:r>
              <w:rPr>
                <w:rFonts w:ascii="Arial" w:cs="Arial" w:eastAsia="Arial" w:hAnsi="Arial"/>
                <w:sz w:val="14"/>
                <w:szCs w:val="14"/>
                <w:color w:val="auto"/>
                <w:w w:val="99"/>
              </w:rPr>
              <w:t>Healthcare, Education and</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380" w:type="dxa"/>
            <w:vAlign w:val="bottom"/>
            <w:gridSpan w:val="2"/>
          </w:tcPr>
          <w:p>
            <w:pPr>
              <w:spacing w:after="0"/>
              <w:rPr>
                <w:sz w:val="20"/>
                <w:szCs w:val="20"/>
                <w:color w:val="auto"/>
              </w:rPr>
            </w:pPr>
            <w:r>
              <w:rPr>
                <w:rFonts w:ascii="Arial" w:cs="Arial" w:eastAsia="Arial" w:hAnsi="Arial"/>
                <w:sz w:val="14"/>
                <w:szCs w:val="14"/>
                <w:color w:val="auto"/>
              </w:rPr>
              <w:t>MJ Acquisition Corp</w:t>
            </w:r>
          </w:p>
        </w:tc>
        <w:tc>
          <w:tcPr>
            <w:tcW w:w="1660" w:type="dxa"/>
            <w:vAlign w:val="bottom"/>
            <w:gridSpan w:val="2"/>
          </w:tcPr>
          <w:p>
            <w:pPr>
              <w:spacing w:after="0"/>
              <w:rPr>
                <w:sz w:val="20"/>
                <w:szCs w:val="20"/>
                <w:color w:val="auto"/>
              </w:rPr>
            </w:pPr>
            <w:r>
              <w:rPr>
                <w:rFonts w:ascii="Arial" w:cs="Arial" w:eastAsia="Arial" w:hAnsi="Arial"/>
                <w:sz w:val="14"/>
                <w:szCs w:val="14"/>
                <w:color w:val="auto"/>
              </w:rPr>
              <w:t>Childcare</w:t>
            </w:r>
          </w:p>
        </w:tc>
        <w:tc>
          <w:tcPr>
            <w:tcW w:w="1000" w:type="dxa"/>
            <w:vAlign w:val="bottom"/>
            <w:gridSpan w:val="2"/>
          </w:tcPr>
          <w:p>
            <w:pPr>
              <w:spacing w:after="0"/>
              <w:rPr>
                <w:sz w:val="20"/>
                <w:szCs w:val="20"/>
                <w:color w:val="auto"/>
              </w:rPr>
            </w:pPr>
            <w:r>
              <w:rPr>
                <w:rFonts w:ascii="Arial" w:cs="Arial" w:eastAsia="Arial" w:hAnsi="Arial"/>
                <w:sz w:val="14"/>
                <w:szCs w:val="14"/>
                <w:color w:val="auto"/>
              </w:rPr>
              <w:t>Senior Loan</w:t>
            </w:r>
          </w:p>
        </w:tc>
        <w:tc>
          <w:tcPr>
            <w:tcW w:w="1060" w:type="dxa"/>
            <w:vAlign w:val="bottom"/>
          </w:tcPr>
          <w:p>
            <w:pPr>
              <w:spacing w:after="0"/>
              <w:rPr>
                <w:sz w:val="20"/>
                <w:szCs w:val="20"/>
                <w:color w:val="auto"/>
              </w:rPr>
            </w:pPr>
            <w:r>
              <w:rPr>
                <w:rFonts w:ascii="Arial" w:cs="Arial" w:eastAsia="Arial" w:hAnsi="Arial"/>
                <w:sz w:val="14"/>
                <w:szCs w:val="14"/>
                <w:color w:val="auto"/>
              </w:rPr>
              <w:t>April, 2022</w:t>
            </w:r>
          </w:p>
        </w:tc>
        <w:tc>
          <w:tcPr>
            <w:tcW w:w="1720" w:type="dxa"/>
            <w:vAlign w:val="bottom"/>
            <w:gridSpan w:val="3"/>
          </w:tcPr>
          <w:p>
            <w:pPr>
              <w:ind w:left="100"/>
              <w:spacing w:after="0"/>
              <w:rPr>
                <w:sz w:val="20"/>
                <w:szCs w:val="20"/>
                <w:color w:val="auto"/>
              </w:rPr>
            </w:pPr>
            <w:r>
              <w:rPr>
                <w:rFonts w:ascii="Arial" w:cs="Arial" w:eastAsia="Arial" w:hAnsi="Arial"/>
                <w:sz w:val="14"/>
                <w:szCs w:val="14"/>
                <w:color w:val="auto"/>
              </w:rPr>
              <w:t>Libor + 3.0%, 1% floor</w:t>
            </w: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997</w:t>
            </w:r>
          </w:p>
        </w:tc>
        <w:tc>
          <w:tcPr>
            <w:tcW w:w="20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995</w:t>
            </w:r>
          </w:p>
        </w:tc>
        <w:tc>
          <w:tcPr>
            <w:tcW w:w="30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995</w:t>
            </w:r>
          </w:p>
        </w:tc>
        <w:tc>
          <w:tcPr>
            <w:tcW w:w="6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Mohegan Tribal</w:t>
            </w:r>
          </w:p>
        </w:tc>
        <w:tc>
          <w:tcPr>
            <w:tcW w:w="16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Leisure, Amusement,</w:t>
            </w: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Gaming Authority</w:t>
            </w:r>
          </w:p>
        </w:tc>
        <w:tc>
          <w:tcPr>
            <w:tcW w:w="1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Entertainment</w:t>
            </w:r>
          </w:p>
        </w:tc>
        <w:tc>
          <w:tcPr>
            <w:tcW w:w="1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Senior Loan</w:t>
            </w:r>
          </w:p>
        </w:tc>
        <w:tc>
          <w:tcPr>
            <w:tcW w:w="1060" w:type="dxa"/>
            <w:vAlign w:val="bottom"/>
            <w:shd w:val="clear" w:color="auto" w:fill="CCEEFF"/>
          </w:tcPr>
          <w:p>
            <w:pPr>
              <w:spacing w:after="0"/>
              <w:rPr>
                <w:sz w:val="20"/>
                <w:szCs w:val="20"/>
                <w:color w:val="auto"/>
              </w:rPr>
            </w:pPr>
            <w:r>
              <w:rPr>
                <w:rFonts w:ascii="Arial" w:cs="Arial" w:eastAsia="Arial" w:hAnsi="Arial"/>
                <w:sz w:val="14"/>
                <w:szCs w:val="14"/>
                <w:color w:val="auto"/>
              </w:rPr>
              <w:t>November, 2019</w:t>
            </w:r>
          </w:p>
        </w:tc>
        <w:tc>
          <w:tcPr>
            <w:tcW w:w="17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Libor + 4.5%, 1% floor</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1,990</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1,987</w:t>
            </w:r>
          </w:p>
        </w:tc>
        <w:tc>
          <w:tcPr>
            <w:tcW w:w="3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1,978</w:t>
            </w:r>
          </w:p>
        </w:tc>
        <w:tc>
          <w:tcPr>
            <w:tcW w:w="6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30"/>
        </w:trPr>
        <w:tc>
          <w:tcPr>
            <w:tcW w:w="1380" w:type="dxa"/>
            <w:vAlign w:val="bottom"/>
            <w:gridSpan w:val="2"/>
          </w:tcPr>
          <w:p>
            <w:pPr>
              <w:spacing w:after="0" w:line="130" w:lineRule="exact"/>
              <w:rPr>
                <w:sz w:val="20"/>
                <w:szCs w:val="20"/>
                <w:color w:val="auto"/>
              </w:rPr>
            </w:pPr>
            <w:r>
              <w:rPr>
                <w:rFonts w:ascii="Arial" w:cs="Arial" w:eastAsia="Arial" w:hAnsi="Arial"/>
                <w:sz w:val="14"/>
                <w:szCs w:val="14"/>
                <w:color w:val="auto"/>
              </w:rPr>
              <w:t>Navios Maritime</w:t>
            </w: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80" w:type="dxa"/>
            <w:vAlign w:val="bottom"/>
            <w:gridSpan w:val="2"/>
          </w:tcPr>
          <w:p>
            <w:pPr>
              <w:spacing w:after="0" w:line="149" w:lineRule="exact"/>
              <w:rPr>
                <w:sz w:val="20"/>
                <w:szCs w:val="20"/>
                <w:color w:val="auto"/>
              </w:rPr>
            </w:pPr>
            <w:r>
              <w:rPr>
                <w:rFonts w:ascii="Arial" w:cs="Arial" w:eastAsia="Arial" w:hAnsi="Arial"/>
                <w:sz w:val="14"/>
                <w:szCs w:val="14"/>
                <w:color w:val="auto"/>
              </w:rPr>
              <w:t>Midstream Partners,</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80" w:type="dxa"/>
            <w:vAlign w:val="bottom"/>
            <w:gridSpan w:val="2"/>
          </w:tcPr>
          <w:p>
            <w:pPr>
              <w:spacing w:after="0"/>
              <w:rPr>
                <w:sz w:val="20"/>
                <w:szCs w:val="20"/>
                <w:color w:val="auto"/>
              </w:rPr>
            </w:pPr>
            <w:r>
              <w:rPr>
                <w:rFonts w:ascii="Arial" w:cs="Arial" w:eastAsia="Arial" w:hAnsi="Arial"/>
                <w:sz w:val="14"/>
                <w:szCs w:val="14"/>
                <w:color w:val="auto"/>
              </w:rPr>
              <w:t>LP</w:t>
            </w:r>
          </w:p>
        </w:tc>
        <w:tc>
          <w:tcPr>
            <w:tcW w:w="1660" w:type="dxa"/>
            <w:vAlign w:val="bottom"/>
            <w:gridSpan w:val="2"/>
          </w:tcPr>
          <w:p>
            <w:pPr>
              <w:spacing w:after="0"/>
              <w:rPr>
                <w:sz w:val="20"/>
                <w:szCs w:val="20"/>
                <w:color w:val="auto"/>
              </w:rPr>
            </w:pPr>
            <w:r>
              <w:rPr>
                <w:rFonts w:ascii="Arial" w:cs="Arial" w:eastAsia="Arial" w:hAnsi="Arial"/>
                <w:sz w:val="14"/>
                <w:szCs w:val="14"/>
                <w:color w:val="auto"/>
              </w:rPr>
              <w:t>Cargo Transport</w:t>
            </w:r>
          </w:p>
        </w:tc>
        <w:tc>
          <w:tcPr>
            <w:tcW w:w="1000" w:type="dxa"/>
            <w:vAlign w:val="bottom"/>
            <w:gridSpan w:val="2"/>
          </w:tcPr>
          <w:p>
            <w:pPr>
              <w:spacing w:after="0"/>
              <w:rPr>
                <w:sz w:val="20"/>
                <w:szCs w:val="20"/>
                <w:color w:val="auto"/>
              </w:rPr>
            </w:pPr>
            <w:r>
              <w:rPr>
                <w:rFonts w:ascii="Arial" w:cs="Arial" w:eastAsia="Arial" w:hAnsi="Arial"/>
                <w:sz w:val="14"/>
                <w:szCs w:val="14"/>
                <w:color w:val="auto"/>
              </w:rPr>
              <w:t>Senior Loan</w:t>
            </w:r>
          </w:p>
        </w:tc>
        <w:tc>
          <w:tcPr>
            <w:tcW w:w="1060" w:type="dxa"/>
            <w:vAlign w:val="bottom"/>
          </w:tcPr>
          <w:p>
            <w:pPr>
              <w:spacing w:after="0"/>
              <w:rPr>
                <w:sz w:val="20"/>
                <w:szCs w:val="20"/>
                <w:color w:val="auto"/>
              </w:rPr>
            </w:pPr>
            <w:r>
              <w:rPr>
                <w:rFonts w:ascii="Arial" w:cs="Arial" w:eastAsia="Arial" w:hAnsi="Arial"/>
                <w:sz w:val="14"/>
                <w:szCs w:val="14"/>
                <w:color w:val="auto"/>
              </w:rPr>
              <w:t>June, 2020</w:t>
            </w:r>
          </w:p>
        </w:tc>
        <w:tc>
          <w:tcPr>
            <w:tcW w:w="1720" w:type="dxa"/>
            <w:vAlign w:val="bottom"/>
            <w:gridSpan w:val="3"/>
          </w:tcPr>
          <w:p>
            <w:pPr>
              <w:ind w:left="100"/>
              <w:spacing w:after="0"/>
              <w:rPr>
                <w:sz w:val="20"/>
                <w:szCs w:val="20"/>
                <w:color w:val="auto"/>
              </w:rPr>
            </w:pPr>
            <w:r>
              <w:rPr>
                <w:rFonts w:ascii="Arial" w:cs="Arial" w:eastAsia="Arial" w:hAnsi="Arial"/>
                <w:sz w:val="14"/>
                <w:szCs w:val="14"/>
                <w:color w:val="auto"/>
              </w:rPr>
              <w:t>Libor + 4.5%, 1% floor</w:t>
            </w: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2,000</w:t>
            </w:r>
          </w:p>
        </w:tc>
        <w:tc>
          <w:tcPr>
            <w:tcW w:w="20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1,980</w:t>
            </w:r>
          </w:p>
        </w:tc>
        <w:tc>
          <w:tcPr>
            <w:tcW w:w="30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1,985</w:t>
            </w:r>
          </w:p>
        </w:tc>
        <w:tc>
          <w:tcPr>
            <w:tcW w:w="6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Mining, Steel, Iron and</w:t>
            </w: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72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Libor + 3.25%, .75%</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Novelis, Inc.</w:t>
            </w:r>
          </w:p>
        </w:tc>
        <w:tc>
          <w:tcPr>
            <w:tcW w:w="1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Non Precious Metals</w:t>
            </w:r>
          </w:p>
        </w:tc>
        <w:tc>
          <w:tcPr>
            <w:tcW w:w="1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Senior Loan</w:t>
            </w:r>
          </w:p>
        </w:tc>
        <w:tc>
          <w:tcPr>
            <w:tcW w:w="1060" w:type="dxa"/>
            <w:vAlign w:val="bottom"/>
            <w:shd w:val="clear" w:color="auto" w:fill="CCEEFF"/>
          </w:tcPr>
          <w:p>
            <w:pPr>
              <w:spacing w:after="0"/>
              <w:rPr>
                <w:sz w:val="20"/>
                <w:szCs w:val="20"/>
                <w:color w:val="auto"/>
              </w:rPr>
            </w:pPr>
            <w:r>
              <w:rPr>
                <w:rFonts w:ascii="Arial" w:cs="Arial" w:eastAsia="Arial" w:hAnsi="Arial"/>
                <w:sz w:val="14"/>
                <w:szCs w:val="14"/>
                <w:color w:val="auto"/>
              </w:rPr>
              <w:t>June, 2022</w:t>
            </w:r>
          </w:p>
        </w:tc>
        <w:tc>
          <w:tcPr>
            <w:tcW w:w="17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floor</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2,494</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2,481</w:t>
            </w:r>
          </w:p>
        </w:tc>
        <w:tc>
          <w:tcPr>
            <w:tcW w:w="3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2,453</w:t>
            </w:r>
          </w:p>
        </w:tc>
        <w:tc>
          <w:tcPr>
            <w:tcW w:w="6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30"/>
        </w:trPr>
        <w:tc>
          <w:tcPr>
            <w:tcW w:w="1380" w:type="dxa"/>
            <w:vAlign w:val="bottom"/>
            <w:gridSpan w:val="2"/>
          </w:tcPr>
          <w:p>
            <w:pPr>
              <w:spacing w:after="0" w:line="130" w:lineRule="exact"/>
              <w:rPr>
                <w:sz w:val="20"/>
                <w:szCs w:val="20"/>
                <w:color w:val="auto"/>
              </w:rPr>
            </w:pPr>
            <w:r>
              <w:rPr>
                <w:rFonts w:ascii="Arial" w:cs="Arial" w:eastAsia="Arial" w:hAnsi="Arial"/>
                <w:sz w:val="14"/>
                <w:szCs w:val="14"/>
                <w:color w:val="auto"/>
              </w:rPr>
              <w:t>Penn Products</w:t>
            </w: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380" w:type="dxa"/>
            <w:vAlign w:val="bottom"/>
            <w:gridSpan w:val="2"/>
          </w:tcPr>
          <w:p>
            <w:pPr>
              <w:spacing w:after="0"/>
              <w:rPr>
                <w:sz w:val="20"/>
                <w:szCs w:val="20"/>
                <w:color w:val="auto"/>
              </w:rPr>
            </w:pPr>
            <w:r>
              <w:rPr>
                <w:rFonts w:ascii="Arial" w:cs="Arial" w:eastAsia="Arial" w:hAnsi="Arial"/>
                <w:sz w:val="14"/>
                <w:szCs w:val="14"/>
                <w:color w:val="auto"/>
              </w:rPr>
              <w:t>Terminals, LLC</w:t>
            </w:r>
          </w:p>
        </w:tc>
        <w:tc>
          <w:tcPr>
            <w:tcW w:w="1660" w:type="dxa"/>
            <w:vAlign w:val="bottom"/>
            <w:gridSpan w:val="2"/>
          </w:tcPr>
          <w:p>
            <w:pPr>
              <w:spacing w:after="0"/>
              <w:rPr>
                <w:sz w:val="20"/>
                <w:szCs w:val="20"/>
                <w:color w:val="auto"/>
              </w:rPr>
            </w:pPr>
            <w:r>
              <w:rPr>
                <w:rFonts w:ascii="Arial" w:cs="Arial" w:eastAsia="Arial" w:hAnsi="Arial"/>
                <w:sz w:val="14"/>
                <w:szCs w:val="14"/>
                <w:color w:val="auto"/>
              </w:rPr>
              <w:t>Cargo Transport</w:t>
            </w:r>
          </w:p>
        </w:tc>
        <w:tc>
          <w:tcPr>
            <w:tcW w:w="1000" w:type="dxa"/>
            <w:vAlign w:val="bottom"/>
            <w:gridSpan w:val="2"/>
          </w:tcPr>
          <w:p>
            <w:pPr>
              <w:spacing w:after="0"/>
              <w:rPr>
                <w:sz w:val="20"/>
                <w:szCs w:val="20"/>
                <w:color w:val="auto"/>
              </w:rPr>
            </w:pPr>
            <w:r>
              <w:rPr>
                <w:rFonts w:ascii="Arial" w:cs="Arial" w:eastAsia="Arial" w:hAnsi="Arial"/>
                <w:sz w:val="14"/>
                <w:szCs w:val="14"/>
                <w:color w:val="auto"/>
              </w:rPr>
              <w:t>Senior Loan</w:t>
            </w:r>
          </w:p>
        </w:tc>
        <w:tc>
          <w:tcPr>
            <w:tcW w:w="1060" w:type="dxa"/>
            <w:vAlign w:val="bottom"/>
          </w:tcPr>
          <w:p>
            <w:pPr>
              <w:spacing w:after="0"/>
              <w:rPr>
                <w:sz w:val="20"/>
                <w:szCs w:val="20"/>
                <w:color w:val="auto"/>
              </w:rPr>
            </w:pPr>
            <w:r>
              <w:rPr>
                <w:rFonts w:ascii="Arial" w:cs="Arial" w:eastAsia="Arial" w:hAnsi="Arial"/>
                <w:sz w:val="14"/>
                <w:szCs w:val="14"/>
                <w:color w:val="auto"/>
              </w:rPr>
              <w:t>April, 2022</w:t>
            </w:r>
          </w:p>
        </w:tc>
        <w:tc>
          <w:tcPr>
            <w:tcW w:w="1720" w:type="dxa"/>
            <w:vAlign w:val="bottom"/>
            <w:gridSpan w:val="3"/>
          </w:tcPr>
          <w:p>
            <w:pPr>
              <w:ind w:left="100"/>
              <w:spacing w:after="0"/>
              <w:rPr>
                <w:sz w:val="20"/>
                <w:szCs w:val="20"/>
                <w:color w:val="auto"/>
              </w:rPr>
            </w:pPr>
            <w:r>
              <w:rPr>
                <w:rFonts w:ascii="Arial" w:cs="Arial" w:eastAsia="Arial" w:hAnsi="Arial"/>
                <w:sz w:val="14"/>
                <w:szCs w:val="14"/>
                <w:color w:val="auto"/>
              </w:rPr>
              <w:t>Libor + 3.75%, 1% floor</w:t>
            </w: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746</w:t>
            </w:r>
          </w:p>
        </w:tc>
        <w:tc>
          <w:tcPr>
            <w:tcW w:w="20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743</w:t>
            </w:r>
          </w:p>
        </w:tc>
        <w:tc>
          <w:tcPr>
            <w:tcW w:w="30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733</w:t>
            </w:r>
          </w:p>
        </w:tc>
        <w:tc>
          <w:tcPr>
            <w:tcW w:w="64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30"/>
        </w:trPr>
        <w:tc>
          <w:tcPr>
            <w:tcW w:w="13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Pharmaceutical</w:t>
            </w:r>
          </w:p>
        </w:tc>
        <w:tc>
          <w:tcPr>
            <w:tcW w:w="1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Product Development</w:t>
            </w:r>
          </w:p>
        </w:tc>
        <w:tc>
          <w:tcPr>
            <w:tcW w:w="1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9"/>
              </w:rPr>
              <w:t>Healthcare, Education and</w:t>
            </w: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w:t>
            </w:r>
          </w:p>
        </w:tc>
        <w:tc>
          <w:tcPr>
            <w:tcW w:w="1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Childcare</w:t>
            </w:r>
          </w:p>
        </w:tc>
        <w:tc>
          <w:tcPr>
            <w:tcW w:w="1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Senior Loan</w:t>
            </w:r>
          </w:p>
        </w:tc>
        <w:tc>
          <w:tcPr>
            <w:tcW w:w="1060" w:type="dxa"/>
            <w:vAlign w:val="bottom"/>
            <w:shd w:val="clear" w:color="auto" w:fill="CCEEFF"/>
          </w:tcPr>
          <w:p>
            <w:pPr>
              <w:spacing w:after="0"/>
              <w:rPr>
                <w:sz w:val="20"/>
                <w:szCs w:val="20"/>
                <w:color w:val="auto"/>
              </w:rPr>
            </w:pPr>
            <w:r>
              <w:rPr>
                <w:rFonts w:ascii="Arial" w:cs="Arial" w:eastAsia="Arial" w:hAnsi="Arial"/>
                <w:sz w:val="14"/>
                <w:szCs w:val="14"/>
                <w:color w:val="auto"/>
              </w:rPr>
              <w:t>August, 2022</w:t>
            </w:r>
          </w:p>
        </w:tc>
        <w:tc>
          <w:tcPr>
            <w:tcW w:w="17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Libor + 3.25%, 1% floor</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1,995</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1,985</w:t>
            </w:r>
          </w:p>
        </w:tc>
        <w:tc>
          <w:tcPr>
            <w:tcW w:w="3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1,970</w:t>
            </w:r>
          </w:p>
        </w:tc>
        <w:tc>
          <w:tcPr>
            <w:tcW w:w="6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30"/>
        </w:trPr>
        <w:tc>
          <w:tcPr>
            <w:tcW w:w="1380" w:type="dxa"/>
            <w:vAlign w:val="bottom"/>
            <w:gridSpan w:val="2"/>
          </w:tcPr>
          <w:p>
            <w:pPr>
              <w:spacing w:after="0" w:line="130" w:lineRule="exact"/>
              <w:rPr>
                <w:sz w:val="20"/>
                <w:szCs w:val="20"/>
                <w:color w:val="auto"/>
              </w:rPr>
            </w:pPr>
            <w:r>
              <w:rPr>
                <w:rFonts w:ascii="Arial" w:cs="Arial" w:eastAsia="Arial" w:hAnsi="Arial"/>
                <w:sz w:val="14"/>
                <w:szCs w:val="14"/>
                <w:color w:val="auto"/>
              </w:rPr>
              <w:t>Securus</w:t>
            </w: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380" w:type="dxa"/>
            <w:vAlign w:val="bottom"/>
            <w:gridSpan w:val="2"/>
          </w:tcPr>
          <w:p>
            <w:pPr>
              <w:spacing w:after="0"/>
              <w:rPr>
                <w:sz w:val="20"/>
                <w:szCs w:val="20"/>
                <w:color w:val="auto"/>
              </w:rPr>
            </w:pPr>
            <w:r>
              <w:rPr>
                <w:rFonts w:ascii="Arial" w:cs="Arial" w:eastAsia="Arial" w:hAnsi="Arial"/>
                <w:sz w:val="14"/>
                <w:szCs w:val="14"/>
                <w:color w:val="auto"/>
              </w:rPr>
              <w:t>Technologies, Inc.</w:t>
            </w:r>
          </w:p>
        </w:tc>
        <w:tc>
          <w:tcPr>
            <w:tcW w:w="1660" w:type="dxa"/>
            <w:vAlign w:val="bottom"/>
            <w:gridSpan w:val="2"/>
          </w:tcPr>
          <w:p>
            <w:pPr>
              <w:spacing w:after="0"/>
              <w:rPr>
                <w:sz w:val="20"/>
                <w:szCs w:val="20"/>
                <w:color w:val="auto"/>
              </w:rPr>
            </w:pPr>
            <w:r>
              <w:rPr>
                <w:rFonts w:ascii="Arial" w:cs="Arial" w:eastAsia="Arial" w:hAnsi="Arial"/>
                <w:sz w:val="14"/>
                <w:szCs w:val="14"/>
                <w:color w:val="auto"/>
              </w:rPr>
              <w:t>Telecommunications</w:t>
            </w:r>
          </w:p>
        </w:tc>
        <w:tc>
          <w:tcPr>
            <w:tcW w:w="1000" w:type="dxa"/>
            <w:vAlign w:val="bottom"/>
            <w:gridSpan w:val="2"/>
          </w:tcPr>
          <w:p>
            <w:pPr>
              <w:spacing w:after="0"/>
              <w:rPr>
                <w:sz w:val="20"/>
                <w:szCs w:val="20"/>
                <w:color w:val="auto"/>
              </w:rPr>
            </w:pPr>
            <w:r>
              <w:rPr>
                <w:rFonts w:ascii="Arial" w:cs="Arial" w:eastAsia="Arial" w:hAnsi="Arial"/>
                <w:sz w:val="14"/>
                <w:szCs w:val="14"/>
                <w:color w:val="auto"/>
              </w:rPr>
              <w:t>Senior Loan</w:t>
            </w:r>
          </w:p>
        </w:tc>
        <w:tc>
          <w:tcPr>
            <w:tcW w:w="1060" w:type="dxa"/>
            <w:vAlign w:val="bottom"/>
          </w:tcPr>
          <w:p>
            <w:pPr>
              <w:spacing w:after="0"/>
              <w:rPr>
                <w:sz w:val="20"/>
                <w:szCs w:val="20"/>
                <w:color w:val="auto"/>
              </w:rPr>
            </w:pPr>
            <w:r>
              <w:rPr>
                <w:rFonts w:ascii="Arial" w:cs="Arial" w:eastAsia="Arial" w:hAnsi="Arial"/>
                <w:sz w:val="14"/>
                <w:szCs w:val="14"/>
                <w:color w:val="auto"/>
              </w:rPr>
              <w:t>April, 2020</w:t>
            </w:r>
          </w:p>
        </w:tc>
        <w:tc>
          <w:tcPr>
            <w:tcW w:w="1720" w:type="dxa"/>
            <w:vAlign w:val="bottom"/>
            <w:gridSpan w:val="3"/>
          </w:tcPr>
          <w:p>
            <w:pPr>
              <w:ind w:left="100"/>
              <w:spacing w:after="0"/>
              <w:rPr>
                <w:sz w:val="20"/>
                <w:szCs w:val="20"/>
                <w:color w:val="auto"/>
              </w:rPr>
            </w:pPr>
            <w:r>
              <w:rPr>
                <w:rFonts w:ascii="Arial" w:cs="Arial" w:eastAsia="Arial" w:hAnsi="Arial"/>
                <w:sz w:val="14"/>
                <w:szCs w:val="14"/>
                <w:color w:val="auto"/>
              </w:rPr>
              <w:t>Libor + 4.25%, 1% floor</w:t>
            </w: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2,000</w:t>
            </w:r>
          </w:p>
        </w:tc>
        <w:tc>
          <w:tcPr>
            <w:tcW w:w="20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1,980</w:t>
            </w:r>
          </w:p>
        </w:tc>
        <w:tc>
          <w:tcPr>
            <w:tcW w:w="30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1,947</w:t>
            </w:r>
          </w:p>
        </w:tc>
        <w:tc>
          <w:tcPr>
            <w:tcW w:w="64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1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Skillsoft Corporation</w:t>
            </w:r>
          </w:p>
        </w:tc>
        <w:tc>
          <w:tcPr>
            <w:tcW w:w="1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Electronics</w:t>
            </w:r>
          </w:p>
        </w:tc>
        <w:tc>
          <w:tcPr>
            <w:tcW w:w="1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Senior Loan</w:t>
            </w:r>
          </w:p>
        </w:tc>
        <w:tc>
          <w:tcPr>
            <w:tcW w:w="1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April, 2021</w:t>
            </w:r>
          </w:p>
        </w:tc>
        <w:tc>
          <w:tcPr>
            <w:tcW w:w="172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Libor + 4.75%, 1% floor</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1,995</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1,975</w:t>
            </w:r>
          </w:p>
        </w:tc>
        <w:tc>
          <w:tcPr>
            <w:tcW w:w="3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1,789</w:t>
            </w:r>
          </w:p>
        </w:tc>
        <w:tc>
          <w:tcPr>
            <w:tcW w:w="6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130"/>
        </w:trPr>
        <w:tc>
          <w:tcPr>
            <w:tcW w:w="1380" w:type="dxa"/>
            <w:vAlign w:val="bottom"/>
            <w:gridSpan w:val="2"/>
          </w:tcPr>
          <w:p>
            <w:pPr>
              <w:spacing w:after="0" w:line="130" w:lineRule="exact"/>
              <w:rPr>
                <w:sz w:val="20"/>
                <w:szCs w:val="20"/>
                <w:color w:val="auto"/>
              </w:rPr>
            </w:pPr>
            <w:r>
              <w:rPr>
                <w:rFonts w:ascii="Arial" w:cs="Arial" w:eastAsia="Arial" w:hAnsi="Arial"/>
                <w:sz w:val="14"/>
                <w:szCs w:val="14"/>
                <w:color w:val="auto"/>
              </w:rPr>
              <w:t>Sterigenics-Nordion</w:t>
            </w:r>
          </w:p>
        </w:tc>
        <w:tc>
          <w:tcPr>
            <w:tcW w:w="1660" w:type="dxa"/>
            <w:vAlign w:val="bottom"/>
            <w:gridSpan w:val="2"/>
          </w:tcPr>
          <w:p>
            <w:pPr>
              <w:spacing w:after="0" w:line="130" w:lineRule="exact"/>
              <w:rPr>
                <w:sz w:val="20"/>
                <w:szCs w:val="20"/>
                <w:color w:val="auto"/>
              </w:rPr>
            </w:pPr>
            <w:r>
              <w:rPr>
                <w:rFonts w:ascii="Arial" w:cs="Arial" w:eastAsia="Arial" w:hAnsi="Arial"/>
                <w:sz w:val="14"/>
                <w:szCs w:val="14"/>
                <w:color w:val="auto"/>
                <w:w w:val="99"/>
              </w:rPr>
              <w:t>Healthcare, Education and</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380" w:type="dxa"/>
            <w:vAlign w:val="bottom"/>
            <w:gridSpan w:val="2"/>
          </w:tcPr>
          <w:p>
            <w:pPr>
              <w:spacing w:after="0"/>
              <w:rPr>
                <w:sz w:val="20"/>
                <w:szCs w:val="20"/>
                <w:color w:val="auto"/>
              </w:rPr>
            </w:pPr>
            <w:r>
              <w:rPr>
                <w:rFonts w:ascii="Arial" w:cs="Arial" w:eastAsia="Arial" w:hAnsi="Arial"/>
                <w:sz w:val="14"/>
                <w:szCs w:val="14"/>
                <w:color w:val="auto"/>
              </w:rPr>
              <w:t>Holdings, LLC</w:t>
            </w:r>
          </w:p>
        </w:tc>
        <w:tc>
          <w:tcPr>
            <w:tcW w:w="1660" w:type="dxa"/>
            <w:vAlign w:val="bottom"/>
            <w:gridSpan w:val="2"/>
          </w:tcPr>
          <w:p>
            <w:pPr>
              <w:spacing w:after="0"/>
              <w:rPr>
                <w:sz w:val="20"/>
                <w:szCs w:val="20"/>
                <w:color w:val="auto"/>
              </w:rPr>
            </w:pPr>
            <w:r>
              <w:rPr>
                <w:rFonts w:ascii="Arial" w:cs="Arial" w:eastAsia="Arial" w:hAnsi="Arial"/>
                <w:sz w:val="14"/>
                <w:szCs w:val="14"/>
                <w:color w:val="auto"/>
              </w:rPr>
              <w:t>Childcare</w:t>
            </w:r>
          </w:p>
        </w:tc>
        <w:tc>
          <w:tcPr>
            <w:tcW w:w="1000" w:type="dxa"/>
            <w:vAlign w:val="bottom"/>
            <w:gridSpan w:val="2"/>
          </w:tcPr>
          <w:p>
            <w:pPr>
              <w:spacing w:after="0"/>
              <w:rPr>
                <w:sz w:val="20"/>
                <w:szCs w:val="20"/>
                <w:color w:val="auto"/>
              </w:rPr>
            </w:pPr>
            <w:r>
              <w:rPr>
                <w:rFonts w:ascii="Arial" w:cs="Arial" w:eastAsia="Arial" w:hAnsi="Arial"/>
                <w:sz w:val="14"/>
                <w:szCs w:val="14"/>
                <w:color w:val="auto"/>
              </w:rPr>
              <w:t>Senior Loan</w:t>
            </w:r>
          </w:p>
        </w:tc>
        <w:tc>
          <w:tcPr>
            <w:tcW w:w="1060" w:type="dxa"/>
            <w:vAlign w:val="bottom"/>
          </w:tcPr>
          <w:p>
            <w:pPr>
              <w:spacing w:after="0"/>
              <w:rPr>
                <w:sz w:val="20"/>
                <w:szCs w:val="20"/>
                <w:color w:val="auto"/>
              </w:rPr>
            </w:pPr>
            <w:r>
              <w:rPr>
                <w:rFonts w:ascii="Arial" w:cs="Arial" w:eastAsia="Arial" w:hAnsi="Arial"/>
                <w:sz w:val="14"/>
                <w:szCs w:val="14"/>
                <w:color w:val="auto"/>
              </w:rPr>
              <w:t>May, 2022</w:t>
            </w:r>
          </w:p>
        </w:tc>
        <w:tc>
          <w:tcPr>
            <w:tcW w:w="1720" w:type="dxa"/>
            <w:vAlign w:val="bottom"/>
            <w:gridSpan w:val="3"/>
          </w:tcPr>
          <w:p>
            <w:pPr>
              <w:ind w:left="100"/>
              <w:spacing w:after="0"/>
              <w:rPr>
                <w:sz w:val="20"/>
                <w:szCs w:val="20"/>
                <w:color w:val="auto"/>
              </w:rPr>
            </w:pPr>
            <w:r>
              <w:rPr>
                <w:rFonts w:ascii="Arial" w:cs="Arial" w:eastAsia="Arial" w:hAnsi="Arial"/>
                <w:sz w:val="14"/>
                <w:szCs w:val="14"/>
                <w:color w:val="auto"/>
              </w:rPr>
              <w:t>Libor + 4.5%, 1% floor</w:t>
            </w: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2,000</w:t>
            </w:r>
          </w:p>
        </w:tc>
        <w:tc>
          <w:tcPr>
            <w:tcW w:w="20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1,995</w:t>
            </w:r>
          </w:p>
        </w:tc>
        <w:tc>
          <w:tcPr>
            <w:tcW w:w="30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1,985</w:t>
            </w:r>
          </w:p>
        </w:tc>
        <w:tc>
          <w:tcPr>
            <w:tcW w:w="64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30"/>
        </w:trPr>
        <w:tc>
          <w:tcPr>
            <w:tcW w:w="13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STG-Fairway</w:t>
            </w:r>
          </w:p>
        </w:tc>
        <w:tc>
          <w:tcPr>
            <w:tcW w:w="16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Diversified/Conglomerate</w:t>
            </w: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Acquisitions, Inc</w:t>
            </w:r>
          </w:p>
        </w:tc>
        <w:tc>
          <w:tcPr>
            <w:tcW w:w="1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Service</w:t>
            </w:r>
          </w:p>
        </w:tc>
        <w:tc>
          <w:tcPr>
            <w:tcW w:w="1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Senior Loan</w:t>
            </w:r>
          </w:p>
        </w:tc>
        <w:tc>
          <w:tcPr>
            <w:tcW w:w="1060" w:type="dxa"/>
            <w:vAlign w:val="bottom"/>
            <w:shd w:val="clear" w:color="auto" w:fill="CCEEFF"/>
          </w:tcPr>
          <w:p>
            <w:pPr>
              <w:spacing w:after="0"/>
              <w:rPr>
                <w:sz w:val="20"/>
                <w:szCs w:val="20"/>
                <w:color w:val="auto"/>
              </w:rPr>
            </w:pPr>
            <w:r>
              <w:rPr>
                <w:rFonts w:ascii="Arial" w:cs="Arial" w:eastAsia="Arial" w:hAnsi="Arial"/>
                <w:sz w:val="14"/>
                <w:szCs w:val="14"/>
                <w:color w:val="auto"/>
              </w:rPr>
              <w:t>June, 2022</w:t>
            </w:r>
          </w:p>
        </w:tc>
        <w:tc>
          <w:tcPr>
            <w:tcW w:w="17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Libor + 5.25%, 1% floor</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2,486</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2,449</w:t>
            </w:r>
          </w:p>
        </w:tc>
        <w:tc>
          <w:tcPr>
            <w:tcW w:w="3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2,480</w:t>
            </w:r>
          </w:p>
        </w:tc>
        <w:tc>
          <w:tcPr>
            <w:tcW w:w="6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80" w:type="dxa"/>
            <w:vAlign w:val="bottom"/>
            <w:gridSpan w:val="2"/>
          </w:tcPr>
          <w:p>
            <w:pPr>
              <w:spacing w:after="0" w:line="130" w:lineRule="exact"/>
              <w:rPr>
                <w:sz w:val="20"/>
                <w:szCs w:val="20"/>
                <w:color w:val="auto"/>
              </w:rPr>
            </w:pPr>
            <w:r>
              <w:rPr>
                <w:rFonts w:ascii="Arial" w:cs="Arial" w:eastAsia="Arial" w:hAnsi="Arial"/>
                <w:sz w:val="14"/>
                <w:szCs w:val="14"/>
                <w:color w:val="auto"/>
              </w:rPr>
              <w:t>Tekni-Plex</w:t>
            </w:r>
          </w:p>
        </w:tc>
        <w:tc>
          <w:tcPr>
            <w:tcW w:w="1660" w:type="dxa"/>
            <w:vAlign w:val="bottom"/>
            <w:gridSpan w:val="2"/>
          </w:tcPr>
          <w:p>
            <w:pPr>
              <w:spacing w:after="0" w:line="130" w:lineRule="exact"/>
              <w:rPr>
                <w:sz w:val="20"/>
                <w:szCs w:val="20"/>
                <w:color w:val="auto"/>
              </w:rPr>
            </w:pPr>
            <w:r>
              <w:rPr>
                <w:rFonts w:ascii="Arial" w:cs="Arial" w:eastAsia="Arial" w:hAnsi="Arial"/>
                <w:sz w:val="14"/>
                <w:szCs w:val="14"/>
                <w:color w:val="auto"/>
                <w:w w:val="97"/>
              </w:rPr>
              <w:t>Containers, Packaging and</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380" w:type="dxa"/>
            <w:vAlign w:val="bottom"/>
            <w:gridSpan w:val="2"/>
          </w:tcPr>
          <w:p>
            <w:pPr>
              <w:spacing w:after="0"/>
              <w:rPr>
                <w:sz w:val="20"/>
                <w:szCs w:val="20"/>
                <w:color w:val="auto"/>
              </w:rPr>
            </w:pPr>
            <w:r>
              <w:rPr>
                <w:rFonts w:ascii="Arial" w:cs="Arial" w:eastAsia="Arial" w:hAnsi="Arial"/>
                <w:sz w:val="14"/>
                <w:szCs w:val="14"/>
                <w:color w:val="auto"/>
              </w:rPr>
              <w:t>Incorporated</w:t>
            </w:r>
          </w:p>
        </w:tc>
        <w:tc>
          <w:tcPr>
            <w:tcW w:w="1660" w:type="dxa"/>
            <w:vAlign w:val="bottom"/>
            <w:gridSpan w:val="2"/>
          </w:tcPr>
          <w:p>
            <w:pPr>
              <w:spacing w:after="0"/>
              <w:rPr>
                <w:sz w:val="20"/>
                <w:szCs w:val="20"/>
                <w:color w:val="auto"/>
              </w:rPr>
            </w:pPr>
            <w:r>
              <w:rPr>
                <w:rFonts w:ascii="Arial" w:cs="Arial" w:eastAsia="Arial" w:hAnsi="Arial"/>
                <w:sz w:val="14"/>
                <w:szCs w:val="14"/>
                <w:color w:val="auto"/>
              </w:rPr>
              <w:t>Glass</w:t>
            </w:r>
          </w:p>
        </w:tc>
        <w:tc>
          <w:tcPr>
            <w:tcW w:w="1000" w:type="dxa"/>
            <w:vAlign w:val="bottom"/>
            <w:gridSpan w:val="2"/>
          </w:tcPr>
          <w:p>
            <w:pPr>
              <w:spacing w:after="0"/>
              <w:rPr>
                <w:sz w:val="20"/>
                <w:szCs w:val="20"/>
                <w:color w:val="auto"/>
              </w:rPr>
            </w:pPr>
            <w:r>
              <w:rPr>
                <w:rFonts w:ascii="Arial" w:cs="Arial" w:eastAsia="Arial" w:hAnsi="Arial"/>
                <w:sz w:val="14"/>
                <w:szCs w:val="14"/>
                <w:color w:val="auto"/>
              </w:rPr>
              <w:t>Senior Loan</w:t>
            </w:r>
          </w:p>
        </w:tc>
        <w:tc>
          <w:tcPr>
            <w:tcW w:w="1060" w:type="dxa"/>
            <w:vAlign w:val="bottom"/>
          </w:tcPr>
          <w:p>
            <w:pPr>
              <w:spacing w:after="0"/>
              <w:rPr>
                <w:sz w:val="20"/>
                <w:szCs w:val="20"/>
                <w:color w:val="auto"/>
              </w:rPr>
            </w:pPr>
            <w:r>
              <w:rPr>
                <w:rFonts w:ascii="Arial" w:cs="Arial" w:eastAsia="Arial" w:hAnsi="Arial"/>
                <w:sz w:val="14"/>
                <w:szCs w:val="14"/>
                <w:color w:val="auto"/>
              </w:rPr>
              <w:t>April, 2022</w:t>
            </w:r>
          </w:p>
        </w:tc>
        <w:tc>
          <w:tcPr>
            <w:tcW w:w="1720" w:type="dxa"/>
            <w:vAlign w:val="bottom"/>
            <w:gridSpan w:val="3"/>
          </w:tcPr>
          <w:p>
            <w:pPr>
              <w:ind w:left="100"/>
              <w:spacing w:after="0"/>
              <w:rPr>
                <w:sz w:val="20"/>
                <w:szCs w:val="20"/>
                <w:color w:val="auto"/>
              </w:rPr>
            </w:pPr>
            <w:r>
              <w:rPr>
                <w:rFonts w:ascii="Arial" w:cs="Arial" w:eastAsia="Arial" w:hAnsi="Arial"/>
                <w:sz w:val="14"/>
                <w:szCs w:val="14"/>
                <w:color w:val="auto"/>
              </w:rPr>
              <w:t>Libor + 3.5%, 1% floor</w:t>
            </w: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2,494</w:t>
            </w:r>
          </w:p>
        </w:tc>
        <w:tc>
          <w:tcPr>
            <w:tcW w:w="20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2,481</w:t>
            </w:r>
          </w:p>
        </w:tc>
        <w:tc>
          <w:tcPr>
            <w:tcW w:w="30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2,481</w:t>
            </w:r>
          </w:p>
        </w:tc>
        <w:tc>
          <w:tcPr>
            <w:tcW w:w="6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Touchtunes Music</w:t>
            </w:r>
          </w:p>
        </w:tc>
        <w:tc>
          <w:tcPr>
            <w:tcW w:w="1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Corp</w:t>
            </w:r>
          </w:p>
        </w:tc>
        <w:tc>
          <w:tcPr>
            <w:tcW w:w="1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Electronics</w:t>
            </w:r>
          </w:p>
        </w:tc>
        <w:tc>
          <w:tcPr>
            <w:tcW w:w="1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Senior Loan</w:t>
            </w:r>
          </w:p>
        </w:tc>
        <w:tc>
          <w:tcPr>
            <w:tcW w:w="1060" w:type="dxa"/>
            <w:vAlign w:val="bottom"/>
            <w:shd w:val="clear" w:color="auto" w:fill="CCEEFF"/>
          </w:tcPr>
          <w:p>
            <w:pPr>
              <w:spacing w:after="0"/>
              <w:rPr>
                <w:sz w:val="20"/>
                <w:szCs w:val="20"/>
                <w:color w:val="auto"/>
              </w:rPr>
            </w:pPr>
            <w:r>
              <w:rPr>
                <w:rFonts w:ascii="Arial" w:cs="Arial" w:eastAsia="Arial" w:hAnsi="Arial"/>
                <w:sz w:val="14"/>
                <w:szCs w:val="14"/>
                <w:color w:val="auto"/>
              </w:rPr>
              <w:t>May, 2022</w:t>
            </w:r>
          </w:p>
        </w:tc>
        <w:tc>
          <w:tcPr>
            <w:tcW w:w="17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Libor + 4.75%, 1% floor</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1,496</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1,489</w:t>
            </w:r>
          </w:p>
        </w:tc>
        <w:tc>
          <w:tcPr>
            <w:tcW w:w="3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1,496</w:t>
            </w:r>
          </w:p>
        </w:tc>
        <w:tc>
          <w:tcPr>
            <w:tcW w:w="6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gridSpan w:val="2"/>
          </w:tcPr>
          <w:p>
            <w:pPr>
              <w:spacing w:after="0" w:line="130" w:lineRule="exact"/>
              <w:rPr>
                <w:sz w:val="20"/>
                <w:szCs w:val="20"/>
                <w:color w:val="auto"/>
              </w:rPr>
            </w:pPr>
            <w:r>
              <w:rPr>
                <w:rFonts w:ascii="Arial" w:cs="Arial" w:eastAsia="Arial" w:hAnsi="Arial"/>
                <w:sz w:val="14"/>
                <w:szCs w:val="14"/>
                <w:color w:val="auto"/>
              </w:rPr>
              <w:t>Broadcasting &amp;</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380" w:type="dxa"/>
            <w:vAlign w:val="bottom"/>
            <w:gridSpan w:val="2"/>
          </w:tcPr>
          <w:p>
            <w:pPr>
              <w:spacing w:after="0"/>
              <w:rPr>
                <w:sz w:val="20"/>
                <w:szCs w:val="20"/>
                <w:color w:val="auto"/>
              </w:rPr>
            </w:pPr>
            <w:r>
              <w:rPr>
                <w:rFonts w:ascii="Arial" w:cs="Arial" w:eastAsia="Arial" w:hAnsi="Arial"/>
                <w:sz w:val="14"/>
                <w:szCs w:val="14"/>
                <w:color w:val="auto"/>
              </w:rPr>
              <w:t>TWCC Holding Corp</w:t>
            </w:r>
          </w:p>
        </w:tc>
        <w:tc>
          <w:tcPr>
            <w:tcW w:w="1660" w:type="dxa"/>
            <w:vAlign w:val="bottom"/>
            <w:gridSpan w:val="2"/>
          </w:tcPr>
          <w:p>
            <w:pPr>
              <w:spacing w:after="0"/>
              <w:rPr>
                <w:sz w:val="20"/>
                <w:szCs w:val="20"/>
                <w:color w:val="auto"/>
              </w:rPr>
            </w:pPr>
            <w:r>
              <w:rPr>
                <w:rFonts w:ascii="Arial" w:cs="Arial" w:eastAsia="Arial" w:hAnsi="Arial"/>
                <w:sz w:val="14"/>
                <w:szCs w:val="14"/>
                <w:color w:val="auto"/>
              </w:rPr>
              <w:t>Entertainment</w:t>
            </w:r>
          </w:p>
        </w:tc>
        <w:tc>
          <w:tcPr>
            <w:tcW w:w="1000" w:type="dxa"/>
            <w:vAlign w:val="bottom"/>
            <w:gridSpan w:val="2"/>
          </w:tcPr>
          <w:p>
            <w:pPr>
              <w:spacing w:after="0"/>
              <w:rPr>
                <w:sz w:val="20"/>
                <w:szCs w:val="20"/>
                <w:color w:val="auto"/>
              </w:rPr>
            </w:pPr>
            <w:r>
              <w:rPr>
                <w:rFonts w:ascii="Arial" w:cs="Arial" w:eastAsia="Arial" w:hAnsi="Arial"/>
                <w:sz w:val="14"/>
                <w:szCs w:val="14"/>
                <w:color w:val="auto"/>
              </w:rPr>
              <w:t>Senior Loan</w:t>
            </w:r>
          </w:p>
        </w:tc>
        <w:tc>
          <w:tcPr>
            <w:tcW w:w="1060" w:type="dxa"/>
            <w:vAlign w:val="bottom"/>
          </w:tcPr>
          <w:p>
            <w:pPr>
              <w:spacing w:after="0"/>
              <w:rPr>
                <w:sz w:val="20"/>
                <w:szCs w:val="20"/>
                <w:color w:val="auto"/>
              </w:rPr>
            </w:pPr>
            <w:r>
              <w:rPr>
                <w:rFonts w:ascii="Arial" w:cs="Arial" w:eastAsia="Arial" w:hAnsi="Arial"/>
                <w:sz w:val="14"/>
                <w:szCs w:val="14"/>
                <w:color w:val="auto"/>
              </w:rPr>
              <w:t>February, 2020</w:t>
            </w:r>
          </w:p>
        </w:tc>
        <w:tc>
          <w:tcPr>
            <w:tcW w:w="1720" w:type="dxa"/>
            <w:vAlign w:val="bottom"/>
            <w:gridSpan w:val="3"/>
          </w:tcPr>
          <w:p>
            <w:pPr>
              <w:ind w:left="100"/>
              <w:spacing w:after="0"/>
              <w:rPr>
                <w:sz w:val="20"/>
                <w:szCs w:val="20"/>
                <w:color w:val="auto"/>
              </w:rPr>
            </w:pPr>
            <w:r>
              <w:rPr>
                <w:rFonts w:ascii="Arial" w:cs="Arial" w:eastAsia="Arial" w:hAnsi="Arial"/>
                <w:sz w:val="14"/>
                <w:szCs w:val="14"/>
                <w:color w:val="auto"/>
              </w:rPr>
              <w:t>Libor + 5.0%, .75% floor</w:t>
            </w: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1,990</w:t>
            </w:r>
          </w:p>
        </w:tc>
        <w:tc>
          <w:tcPr>
            <w:tcW w:w="20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1,970</w:t>
            </w:r>
          </w:p>
        </w:tc>
        <w:tc>
          <w:tcPr>
            <w:tcW w:w="30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1,975</w:t>
            </w:r>
          </w:p>
        </w:tc>
        <w:tc>
          <w:tcPr>
            <w:tcW w:w="6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USAGM Holdco</w:t>
            </w:r>
          </w:p>
        </w:tc>
        <w:tc>
          <w:tcPr>
            <w:tcW w:w="1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Diversified/Conglomerate</w:t>
            </w: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38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 xml:space="preserve">LLC </w:t>
            </w:r>
            <w:r>
              <w:rPr>
                <w:rFonts w:ascii="Arial" w:cs="Arial" w:eastAsia="Arial" w:hAnsi="Arial"/>
                <w:sz w:val="20"/>
                <w:szCs w:val="20"/>
                <w:color w:val="auto"/>
                <w:vertAlign w:val="superscript"/>
              </w:rPr>
              <w:t>(3)</w:t>
            </w:r>
          </w:p>
        </w:tc>
        <w:tc>
          <w:tcPr>
            <w:tcW w:w="1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Service</w:t>
            </w:r>
          </w:p>
        </w:tc>
        <w:tc>
          <w:tcPr>
            <w:tcW w:w="1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Senior Loan</w:t>
            </w:r>
          </w:p>
        </w:tc>
        <w:tc>
          <w:tcPr>
            <w:tcW w:w="1060" w:type="dxa"/>
            <w:vAlign w:val="bottom"/>
            <w:shd w:val="clear" w:color="auto" w:fill="CCEEFF"/>
          </w:tcPr>
          <w:p>
            <w:pPr>
              <w:spacing w:after="0"/>
              <w:rPr>
                <w:sz w:val="20"/>
                <w:szCs w:val="20"/>
                <w:color w:val="auto"/>
              </w:rPr>
            </w:pPr>
            <w:r>
              <w:rPr>
                <w:rFonts w:ascii="Arial" w:cs="Arial" w:eastAsia="Arial" w:hAnsi="Arial"/>
                <w:sz w:val="14"/>
                <w:szCs w:val="14"/>
                <w:color w:val="auto"/>
              </w:rPr>
              <w:t>July, 2022</w:t>
            </w:r>
          </w:p>
        </w:tc>
        <w:tc>
          <w:tcPr>
            <w:tcW w:w="17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Libor + 3.75%, 1% floor</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1,883</w:t>
            </w:r>
          </w:p>
        </w:tc>
        <w:tc>
          <w:tcPr>
            <w:tcW w:w="2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1,864</w:t>
            </w:r>
          </w:p>
        </w:tc>
        <w:tc>
          <w:tcPr>
            <w:tcW w:w="3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1,858</w:t>
            </w:r>
          </w:p>
        </w:tc>
        <w:tc>
          <w:tcPr>
            <w:tcW w:w="6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30"/>
        </w:trPr>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gridSpan w:val="2"/>
          </w:tcPr>
          <w:p>
            <w:pPr>
              <w:spacing w:after="0" w:line="130" w:lineRule="exact"/>
              <w:rPr>
                <w:sz w:val="20"/>
                <w:szCs w:val="20"/>
                <w:color w:val="auto"/>
              </w:rPr>
            </w:pPr>
            <w:r>
              <w:rPr>
                <w:rFonts w:ascii="Arial" w:cs="Arial" w:eastAsia="Arial" w:hAnsi="Arial"/>
                <w:sz w:val="14"/>
                <w:szCs w:val="14"/>
                <w:color w:val="auto"/>
                <w:w w:val="99"/>
              </w:rPr>
              <w:t>Personal and Non Durable</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380" w:type="dxa"/>
            <w:vAlign w:val="bottom"/>
            <w:gridSpan w:val="2"/>
          </w:tcPr>
          <w:p>
            <w:pPr>
              <w:spacing w:after="0"/>
              <w:rPr>
                <w:sz w:val="20"/>
                <w:szCs w:val="20"/>
                <w:color w:val="auto"/>
              </w:rPr>
            </w:pPr>
            <w:r>
              <w:rPr>
                <w:rFonts w:ascii="Arial" w:cs="Arial" w:eastAsia="Arial" w:hAnsi="Arial"/>
                <w:sz w:val="14"/>
                <w:szCs w:val="14"/>
                <w:color w:val="auto"/>
              </w:rPr>
              <w:t>Zep, Inc.</w:t>
            </w:r>
          </w:p>
        </w:tc>
        <w:tc>
          <w:tcPr>
            <w:tcW w:w="1660" w:type="dxa"/>
            <w:vAlign w:val="bottom"/>
            <w:gridSpan w:val="2"/>
          </w:tcPr>
          <w:p>
            <w:pPr>
              <w:spacing w:after="0"/>
              <w:rPr>
                <w:sz w:val="20"/>
                <w:szCs w:val="20"/>
                <w:color w:val="auto"/>
              </w:rPr>
            </w:pPr>
            <w:r>
              <w:rPr>
                <w:rFonts w:ascii="Arial" w:cs="Arial" w:eastAsia="Arial" w:hAnsi="Arial"/>
                <w:sz w:val="14"/>
                <w:szCs w:val="14"/>
                <w:color w:val="auto"/>
              </w:rPr>
              <w:t>Consumer Products</w:t>
            </w:r>
          </w:p>
        </w:tc>
        <w:tc>
          <w:tcPr>
            <w:tcW w:w="1000" w:type="dxa"/>
            <w:vAlign w:val="bottom"/>
            <w:gridSpan w:val="2"/>
          </w:tcPr>
          <w:p>
            <w:pPr>
              <w:spacing w:after="0"/>
              <w:rPr>
                <w:sz w:val="20"/>
                <w:szCs w:val="20"/>
                <w:color w:val="auto"/>
              </w:rPr>
            </w:pPr>
            <w:r>
              <w:rPr>
                <w:rFonts w:ascii="Arial" w:cs="Arial" w:eastAsia="Arial" w:hAnsi="Arial"/>
                <w:sz w:val="14"/>
                <w:szCs w:val="14"/>
                <w:color w:val="auto"/>
              </w:rPr>
              <w:t>Senior Loan</w:t>
            </w:r>
          </w:p>
        </w:tc>
        <w:tc>
          <w:tcPr>
            <w:tcW w:w="1060" w:type="dxa"/>
            <w:vAlign w:val="bottom"/>
          </w:tcPr>
          <w:p>
            <w:pPr>
              <w:spacing w:after="0"/>
              <w:rPr>
                <w:sz w:val="20"/>
                <w:szCs w:val="20"/>
                <w:color w:val="auto"/>
              </w:rPr>
            </w:pPr>
            <w:r>
              <w:rPr>
                <w:rFonts w:ascii="Arial" w:cs="Arial" w:eastAsia="Arial" w:hAnsi="Arial"/>
                <w:sz w:val="14"/>
                <w:szCs w:val="14"/>
                <w:color w:val="auto"/>
              </w:rPr>
              <w:t>June, 2022</w:t>
            </w:r>
          </w:p>
        </w:tc>
        <w:tc>
          <w:tcPr>
            <w:tcW w:w="1720" w:type="dxa"/>
            <w:vAlign w:val="bottom"/>
            <w:gridSpan w:val="3"/>
          </w:tcPr>
          <w:p>
            <w:pPr>
              <w:ind w:left="100"/>
              <w:spacing w:after="0"/>
              <w:rPr>
                <w:sz w:val="20"/>
                <w:szCs w:val="20"/>
                <w:color w:val="auto"/>
              </w:rPr>
            </w:pPr>
            <w:r>
              <w:rPr>
                <w:rFonts w:ascii="Arial" w:cs="Arial" w:eastAsia="Arial" w:hAnsi="Arial"/>
                <w:sz w:val="14"/>
                <w:szCs w:val="14"/>
                <w:color w:val="auto"/>
              </w:rPr>
              <w:t>Libor + 4.75%, 1% floor</w:t>
            </w:r>
          </w:p>
        </w:tc>
        <w:tc>
          <w:tcPr>
            <w:tcW w:w="12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997</w:t>
            </w:r>
          </w:p>
        </w:tc>
        <w:tc>
          <w:tcPr>
            <w:tcW w:w="20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993</w:t>
            </w:r>
          </w:p>
        </w:tc>
        <w:tc>
          <w:tcPr>
            <w:tcW w:w="30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995</w:t>
            </w:r>
          </w:p>
        </w:tc>
        <w:tc>
          <w:tcPr>
            <w:tcW w:w="6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3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5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9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5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79,360</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78,721</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jc w:val="right"/>
              <w:ind w:right="110"/>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77,986</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ind w:right="448"/>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(735</w:t>
            </w:r>
          </w:p>
        </w:tc>
        <w:tc>
          <w:tcPr>
            <w:tcW w:w="100" w:type="dxa"/>
            <w:vAlign w:val="bottom"/>
            <w:tcBorders>
              <w:top w:val="single" w:sz="8" w:color="CCEEFF"/>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20"/>
        </w:trPr>
        <w:tc>
          <w:tcPr>
            <w:tcW w:w="1380" w:type="dxa"/>
            <w:vAlign w:val="bottom"/>
            <w:gridSpan w:val="2"/>
            <w:vMerge w:val="restart"/>
          </w:tcPr>
          <w:p>
            <w:pPr>
              <w:spacing w:after="0" w:line="123" w:lineRule="exact"/>
              <w:rPr>
                <w:sz w:val="20"/>
                <w:szCs w:val="20"/>
                <w:color w:val="auto"/>
              </w:rPr>
            </w:pPr>
            <w:r>
              <w:rPr>
                <w:rFonts w:ascii="Arial" w:cs="Arial" w:eastAsia="Arial" w:hAnsi="Arial"/>
                <w:sz w:val="14"/>
                <w:szCs w:val="14"/>
                <w:color w:val="auto"/>
              </w:rPr>
              <w:t>Total Accrued</w:t>
            </w: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1380" w:type="dxa"/>
            <w:vAlign w:val="bottom"/>
            <w:gridSpan w:val="2"/>
            <w:vMerge w:val="continue"/>
          </w:tcPr>
          <w:p>
            <w:pPr>
              <w:spacing w:after="0"/>
              <w:rPr>
                <w:sz w:val="7"/>
                <w:szCs w:val="7"/>
                <w:color w:val="auto"/>
              </w:rPr>
            </w:pPr>
          </w:p>
        </w:tc>
        <w:tc>
          <w:tcPr>
            <w:tcW w:w="158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380" w:type="dxa"/>
            <w:vAlign w:val="bottom"/>
            <w:gridSpan w:val="2"/>
          </w:tcPr>
          <w:p>
            <w:pPr>
              <w:spacing w:after="0" w:line="149" w:lineRule="exact"/>
              <w:rPr>
                <w:sz w:val="20"/>
                <w:szCs w:val="20"/>
                <w:color w:val="auto"/>
              </w:rPr>
            </w:pPr>
            <w:r>
              <w:rPr>
                <w:rFonts w:ascii="Arial" w:cs="Arial" w:eastAsia="Arial" w:hAnsi="Arial"/>
                <w:sz w:val="14"/>
                <w:szCs w:val="14"/>
                <w:color w:val="auto"/>
              </w:rPr>
              <w:t>Interest, net of</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80" w:type="dxa"/>
            <w:vAlign w:val="bottom"/>
            <w:gridSpan w:val="2"/>
          </w:tcPr>
          <w:p>
            <w:pPr>
              <w:spacing w:after="0"/>
              <w:rPr>
                <w:sz w:val="20"/>
                <w:szCs w:val="20"/>
                <w:color w:val="auto"/>
              </w:rPr>
            </w:pPr>
            <w:r>
              <w:rPr>
                <w:rFonts w:ascii="Arial" w:cs="Arial" w:eastAsia="Arial" w:hAnsi="Arial"/>
                <w:sz w:val="14"/>
                <w:szCs w:val="14"/>
                <w:color w:val="auto"/>
              </w:rPr>
              <w:t>expenses</w:t>
            </w: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Total Unrealized loss</w:t>
            </w:r>
          </w:p>
        </w:tc>
        <w:tc>
          <w:tcPr>
            <w:tcW w:w="1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on TRS</w:t>
            </w:r>
          </w:p>
        </w:tc>
        <w:tc>
          <w:tcPr>
            <w:tcW w:w="1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(631)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line="258"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the fair value determined in accordance with ASC Topic 820. The determination of fair value is outside the scope of the Board's valuation process described herein</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interest is payable in cash</w:t>
      </w:r>
    </w:p>
    <w:p>
      <w:pPr>
        <w:sectPr>
          <w:pgSz w:w="11900" w:h="16838" w:orient="portrait"/>
          <w:cols w:equalWidth="0" w:num="1">
            <w:col w:w="11420"/>
          </w:cols>
          <w:pgMar w:left="240" w:top="908" w:right="239" w:bottom="0" w:gutter="0" w:footer="0" w:header="0"/>
        </w:sectPr>
      </w:pPr>
    </w:p>
    <w:bookmarkStart w:id="28" w:name="page29"/>
    <w:bookmarkEnd w:id="28"/>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referenced asset has a $0.1 million of unfunded commitment</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referenced asset is unsettled as of September 30, 2015</w:t>
      </w:r>
    </w:p>
    <w:p>
      <w:pPr>
        <w:spacing w:after="0" w:line="200" w:lineRule="exact"/>
        <w:rPr>
          <w:sz w:val="20"/>
          <w:szCs w:val="20"/>
          <w:color w:val="auto"/>
        </w:rPr>
      </w:pPr>
    </w:p>
    <w:p>
      <w:pPr>
        <w:spacing w:after="0" w:line="220" w:lineRule="exact"/>
        <w:rPr>
          <w:sz w:val="20"/>
          <w:szCs w:val="20"/>
          <w:color w:val="auto"/>
        </w:rPr>
      </w:pPr>
    </w:p>
    <w:p>
      <w:pPr>
        <w:jc w:val="right"/>
        <w:ind w:right="439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29" w:name="page30"/>
    <w:bookmarkEnd w:id="29"/>
    <w:p>
      <w:pPr>
        <w:ind w:right="500" w:firstLine="881"/>
        <w:spacing w:after="0" w:line="277" w:lineRule="auto"/>
        <w:rPr>
          <w:sz w:val="20"/>
          <w:szCs w:val="20"/>
          <w:color w:val="auto"/>
        </w:rPr>
      </w:pPr>
      <w:r>
        <w:rPr>
          <w:rFonts w:ascii="Arial" w:cs="Arial" w:eastAsia="Arial" w:hAnsi="Arial"/>
          <w:sz w:val="18"/>
          <w:szCs w:val="18"/>
          <w:color w:val="auto"/>
        </w:rPr>
        <w:t>Below is certain summarized financial information for CSLLF as of September 30, 2015 and December 31, 2014 and for the three and nine months ended September 30, 2015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Selected Statements of Assets and Liabilities Information (unaudited):</w:t>
            </w: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15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September 30, 2015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Unrealized depreciation on Total Return Swap</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Cash held as collateral on Total Return Swap</w:t>
            </w: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16,684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Non-collateral cash and cash equivalents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Receivable due on Total Return Swap</w:t>
            </w:r>
          </w:p>
        </w:tc>
        <w:tc>
          <w:tcPr>
            <w:tcW w:w="32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24,582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Distribution Payable</w:t>
            </w:r>
          </w:p>
        </w:tc>
        <w:tc>
          <w:tcPr>
            <w:tcW w:w="32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Net Assets</w:t>
            </w: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24,481</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Net Assets</w:t>
            </w: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24,582</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Selected Statement of Operations Information (unaudited):</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3"/>
          </w:tcPr>
          <w:p>
            <w:pPr>
              <w:jc w:val="center"/>
              <w:ind w:right="345"/>
              <w:spacing w:after="0"/>
              <w:rPr>
                <w:sz w:val="20"/>
                <w:szCs w:val="20"/>
                <w:color w:val="auto"/>
              </w:rPr>
            </w:pPr>
            <w:r>
              <w:rPr>
                <w:rFonts w:ascii="Arial" w:cs="Arial" w:eastAsia="Arial" w:hAnsi="Arial"/>
                <w:sz w:val="18"/>
                <w:szCs w:val="18"/>
                <w:b w:val="1"/>
                <w:bCs w:val="1"/>
                <w:color w:val="auto"/>
                <w:w w:val="92"/>
              </w:rPr>
              <w:t>For the Three</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For the Nine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3"/>
          </w:tcPr>
          <w:p>
            <w:pPr>
              <w:jc w:val="center"/>
              <w:ind w:right="345"/>
              <w:spacing w:after="0"/>
              <w:rPr>
                <w:sz w:val="20"/>
                <w:szCs w:val="20"/>
                <w:color w:val="auto"/>
              </w:rPr>
            </w:pPr>
            <w:r>
              <w:rPr>
                <w:rFonts w:ascii="Arial" w:cs="Arial" w:eastAsia="Arial" w:hAnsi="Arial"/>
                <w:sz w:val="18"/>
                <w:szCs w:val="18"/>
                <w:b w:val="1"/>
                <w:bCs w:val="1"/>
                <w:color w:val="auto"/>
                <w:w w:val="91"/>
              </w:rPr>
              <w:t>Months Ended</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gridSpan w:val="3"/>
          </w:tcPr>
          <w:p>
            <w:pPr>
              <w:jc w:val="center"/>
              <w:ind w:right="345"/>
              <w:spacing w:after="0"/>
              <w:rPr>
                <w:sz w:val="20"/>
                <w:szCs w:val="20"/>
                <w:color w:val="auto"/>
              </w:rPr>
            </w:pPr>
            <w:r>
              <w:rPr>
                <w:rFonts w:ascii="Arial" w:cs="Arial" w:eastAsia="Arial" w:hAnsi="Arial"/>
                <w:sz w:val="18"/>
                <w:szCs w:val="18"/>
                <w:b w:val="1"/>
                <w:bCs w:val="1"/>
                <w:color w:val="auto"/>
                <w:w w:val="89"/>
              </w:rPr>
              <w:t>September 30,</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2015</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Administrative and Legal Expenses</w:t>
            </w: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Operating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on Total Return Swap</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Net unrealized depreciation on Total Return Swap</w:t>
            </w:r>
          </w:p>
        </w:tc>
        <w:tc>
          <w:tcPr>
            <w:tcW w:w="120" w:type="dxa"/>
            <w:vAlign w:val="bottom"/>
          </w:tcPr>
          <w:p>
            <w:pPr>
              <w:spacing w:after="0"/>
              <w:rPr>
                <w:sz w:val="19"/>
                <w:szCs w:val="19"/>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(724)</w:t>
            </w:r>
          </w:p>
        </w:tc>
        <w:tc>
          <w:tcPr>
            <w:tcW w:w="12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DECREASE IN NET ASSETS RESULTING FROM OPERATIONS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CION/Capitala Senior Liquid Loan Fund I, LLC</w:t>
      </w:r>
    </w:p>
    <w:p>
      <w:pPr>
        <w:spacing w:after="0" w:line="225" w:lineRule="exact"/>
        <w:rPr>
          <w:sz w:val="20"/>
          <w:szCs w:val="20"/>
          <w:color w:val="auto"/>
        </w:rPr>
      </w:pPr>
    </w:p>
    <w:p>
      <w:pPr>
        <w:ind w:right="300" w:firstLine="881"/>
        <w:spacing w:after="0" w:line="264" w:lineRule="auto"/>
        <w:rPr>
          <w:sz w:val="20"/>
          <w:szCs w:val="20"/>
          <w:color w:val="auto"/>
        </w:rPr>
      </w:pPr>
      <w:r>
        <w:rPr>
          <w:rFonts w:ascii="Arial" w:cs="Arial" w:eastAsia="Arial" w:hAnsi="Arial"/>
          <w:sz w:val="18"/>
          <w:szCs w:val="18"/>
          <w:color w:val="auto"/>
        </w:rPr>
        <w:t>On June 24, 2015, the Company formed a joint venture with CION Investment Corporation (“CION”), to create CION/Capitala Senior Liquid Loan Fund I, LLC (“CCSLLF”). The joint venture is expected to invest primarily in senior secured loans to broadly syndicated and larger middle-market companies.</w:t>
      </w:r>
    </w:p>
    <w:p>
      <w:pPr>
        <w:spacing w:after="0" w:line="181" w:lineRule="exact"/>
        <w:rPr>
          <w:sz w:val="20"/>
          <w:szCs w:val="20"/>
          <w:color w:val="auto"/>
        </w:rPr>
      </w:pPr>
    </w:p>
    <w:p>
      <w:pPr>
        <w:ind w:firstLine="881"/>
        <w:spacing w:after="0" w:line="259" w:lineRule="auto"/>
        <w:rPr>
          <w:sz w:val="20"/>
          <w:szCs w:val="20"/>
          <w:color w:val="auto"/>
        </w:rPr>
      </w:pPr>
      <w:r>
        <w:rPr>
          <w:rFonts w:ascii="Arial" w:cs="Arial" w:eastAsia="Arial" w:hAnsi="Arial"/>
          <w:sz w:val="18"/>
          <w:szCs w:val="18"/>
          <w:color w:val="auto"/>
        </w:rPr>
        <w:t>The Company and CION have committed to provide an aggregate of $50 million of equity to the joint venture, with the Company providing $10 million and CION providing $40 million. In addition, CCSLLF is in negotiations to obtain third party asset-level financing. As of September 30, 2015, neither the Company nor CION have made an initial capital call to CCSLLF. As such, CCSLLF generated no net income for the three and nine months ended September 30, 2015 and holds no assets as of September 30, 2015.</w:t>
      </w:r>
    </w:p>
    <w:p>
      <w:pPr>
        <w:spacing w:after="0" w:line="187" w:lineRule="exact"/>
        <w:rPr>
          <w:sz w:val="20"/>
          <w:szCs w:val="20"/>
          <w:color w:val="auto"/>
        </w:rPr>
      </w:pPr>
    </w:p>
    <w:p>
      <w:pPr>
        <w:ind w:right="160" w:firstLine="881"/>
        <w:spacing w:after="0" w:line="277" w:lineRule="auto"/>
        <w:rPr>
          <w:sz w:val="20"/>
          <w:szCs w:val="20"/>
          <w:color w:val="auto"/>
        </w:rPr>
      </w:pPr>
      <w:r>
        <w:rPr>
          <w:rFonts w:ascii="Arial" w:cs="Arial" w:eastAsia="Arial" w:hAnsi="Arial"/>
          <w:sz w:val="18"/>
          <w:szCs w:val="18"/>
          <w:color w:val="auto"/>
        </w:rPr>
        <w:t>As a practical expedient, the Company will use NAV to value its investment in CCSLLF. Because our investment in CCSLLF is not redeemable without restriction, the fair value of CCSLLF will be classified as a Level 3 measurement.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Disclosed, But Not Carried, At Fair Value</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table presents the carrying value and fair value of the Company’s financial liabilities disclosed, but not carried, at fair value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2015, and the level of each financial liability within the fair value hierarchy (dollars in thousands):</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Carrying</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Value</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b w:val="1"/>
                <w:bCs w:val="1"/>
                <w:color w:val="auto"/>
                <w:w w:val="97"/>
              </w:rPr>
              <w:t>Fair Value</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3</w:t>
            </w:r>
          </w:p>
        </w:tc>
      </w:tr>
      <w:tr>
        <w:trPr>
          <w:trHeight w:val="210"/>
        </w:trPr>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SBA debentures</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184,200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186,268</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186,268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Notes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113,438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114,572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114,572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51,000</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50,809</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50,809</w:t>
            </w:r>
          </w:p>
        </w:tc>
        <w:tc>
          <w:tcPr>
            <w:tcW w:w="100" w:type="dxa"/>
            <w:vAlign w:val="bottom"/>
            <w:shd w:val="clear" w:color="auto" w:fill="CCEEFF"/>
          </w:tcPr>
          <w:p>
            <w:pPr>
              <w:spacing w:after="0"/>
              <w:rPr>
                <w:sz w:val="19"/>
                <w:szCs w:val="19"/>
                <w:color w:val="auto"/>
              </w:rPr>
            </w:pPr>
          </w:p>
        </w:tc>
      </w:tr>
      <w:tr>
        <w:trPr>
          <w:trHeight w:val="223"/>
        </w:trPr>
        <w:tc>
          <w:tcPr>
            <w:tcW w:w="372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348,638</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351,649</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114,572</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237,077</w:t>
            </w:r>
          </w:p>
        </w:tc>
        <w:tc>
          <w:tcPr>
            <w:tcW w:w="100" w:type="dxa"/>
            <w:vAlign w:val="bottom"/>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ind w:left="880"/>
        <w:spacing w:after="0"/>
        <w:rPr>
          <w:sz w:val="20"/>
          <w:szCs w:val="20"/>
          <w:color w:val="auto"/>
        </w:rPr>
      </w:pPr>
      <w:r>
        <w:rPr>
          <w:rFonts w:ascii="Arial" w:cs="Arial" w:eastAsia="Arial" w:hAnsi="Arial"/>
          <w:sz w:val="16"/>
          <w:szCs w:val="16"/>
          <w:color w:val="auto"/>
        </w:rPr>
        <w:t>The following table presents the carrying value and fair value of the Company’s financial liabilities disclosed, but not carried, at fair value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 and the level of each financial liability within the fair value hierarchy (dollars in thousands):</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Carrying</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Value</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b w:val="1"/>
                <w:bCs w:val="1"/>
                <w:color w:val="auto"/>
                <w:w w:val="97"/>
              </w:rPr>
              <w:t>Fair Value</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ind w:left="10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3</w:t>
            </w:r>
          </w:p>
        </w:tc>
      </w:tr>
      <w:tr>
        <w:trPr>
          <w:trHeight w:val="210"/>
        </w:trPr>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SBA debentures</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192,200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191,947</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191,947</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Notes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113,438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115,479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115,479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ind w:left="76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305,638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307,426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115,479</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191,947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881"/>
        <w:spacing w:after="0" w:line="277" w:lineRule="auto"/>
        <w:rPr>
          <w:sz w:val="20"/>
          <w:szCs w:val="20"/>
          <w:color w:val="auto"/>
        </w:rPr>
      </w:pPr>
      <w:r>
        <w:rPr>
          <w:rFonts w:ascii="Arial" w:cs="Arial" w:eastAsia="Arial" w:hAnsi="Arial"/>
          <w:sz w:val="18"/>
          <w:szCs w:val="18"/>
          <w:color w:val="auto"/>
        </w:rPr>
        <w:t>The estimated fair value of the Company’s SBA debentures was based on future contractual cash payments discounted at market interest rates to borrow from the SBA as of the measurement date.</w:t>
      </w:r>
    </w:p>
    <w:p>
      <w:pPr>
        <w:spacing w:after="0" w:line="170" w:lineRule="exact"/>
        <w:rPr>
          <w:sz w:val="20"/>
          <w:szCs w:val="20"/>
          <w:color w:val="auto"/>
        </w:rPr>
      </w:pPr>
    </w:p>
    <w:p>
      <w:pPr>
        <w:ind w:right="160" w:firstLine="881"/>
        <w:spacing w:after="0" w:line="277" w:lineRule="auto"/>
        <w:rPr>
          <w:sz w:val="20"/>
          <w:szCs w:val="20"/>
          <w:color w:val="auto"/>
        </w:rPr>
      </w:pPr>
      <w:r>
        <w:rPr>
          <w:rFonts w:ascii="Arial" w:cs="Arial" w:eastAsia="Arial" w:hAnsi="Arial"/>
          <w:sz w:val="18"/>
          <w:szCs w:val="18"/>
          <w:color w:val="auto"/>
        </w:rPr>
        <w:t>The estimated fair value of the Notes was based on the closing price as of the measurement date as the Notes are traded on the New York Stock Exchange under the ticker “CLA.”</w:t>
      </w:r>
    </w:p>
    <w:p>
      <w:pPr>
        <w:spacing w:after="0" w:line="170" w:lineRule="exact"/>
        <w:rPr>
          <w:sz w:val="20"/>
          <w:szCs w:val="20"/>
          <w:color w:val="auto"/>
        </w:rPr>
      </w:pPr>
    </w:p>
    <w:p>
      <w:pPr>
        <w:ind w:right="60" w:firstLine="881"/>
        <w:spacing w:after="0" w:line="277" w:lineRule="auto"/>
        <w:rPr>
          <w:sz w:val="20"/>
          <w:szCs w:val="20"/>
          <w:color w:val="auto"/>
        </w:rPr>
      </w:pPr>
      <w:r>
        <w:rPr>
          <w:rFonts w:ascii="Arial" w:cs="Arial" w:eastAsia="Arial" w:hAnsi="Arial"/>
          <w:sz w:val="18"/>
          <w:szCs w:val="18"/>
          <w:color w:val="auto"/>
        </w:rPr>
        <w:t>The estimated fair value of the Company’s Credit Facility was based on future contractual cash payments discounted at estimated market interest rates for similar debt.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Agreements</w:t>
      </w:r>
    </w:p>
    <w:p>
      <w:pPr>
        <w:spacing w:after="0" w:line="229" w:lineRule="exact"/>
        <w:rPr>
          <w:sz w:val="20"/>
          <w:szCs w:val="20"/>
          <w:color w:val="auto"/>
        </w:rPr>
      </w:pPr>
    </w:p>
    <w:p>
      <w:pPr>
        <w:ind w:firstLine="881"/>
        <w:spacing w:after="0" w:line="255" w:lineRule="auto"/>
        <w:rPr>
          <w:sz w:val="20"/>
          <w:szCs w:val="20"/>
          <w:color w:val="auto"/>
        </w:rPr>
      </w:pPr>
      <w:r>
        <w:rPr>
          <w:rFonts w:ascii="Arial" w:cs="Arial" w:eastAsia="Arial" w:hAnsi="Arial"/>
          <w:sz w:val="18"/>
          <w:szCs w:val="18"/>
          <w:color w:val="auto"/>
        </w:rPr>
        <w:t>On September 24, 2013, the Company entered into an investment advisory agreement (the “Investment Advisory Agreement”) with our Investment Advisor, which was initially approved by the Board of Directors of the Company on June 10, 2013. Unless earlier terminated in accordance with its terms, the Investment Advisory Agreement will remain in effect if approved annually by our Board by a majority of our outstanding voting securities, including, in either case, by a majority of our non-interested directors. The Investment Advisory Agreement was re-approved by the Board of Directors of the Company, including by a majority of our non-interested directors, on August 6, 2015. Subject to the overall supervision of our Board, our Investment Advisor manages our day-to-day operations, and provides investment advisory and management services to us. Under the terms of our Investment Advisory Agreement, the Investment Advisor:</w:t>
      </w:r>
    </w:p>
    <w:p>
      <w:pPr>
        <w:spacing w:after="0" w:line="189" w:lineRule="exact"/>
        <w:rPr>
          <w:sz w:val="20"/>
          <w:szCs w:val="20"/>
          <w:color w:val="auto"/>
        </w:rPr>
      </w:pPr>
    </w:p>
    <w:p>
      <w:pPr>
        <w:ind w:left="1720" w:right="260" w:hanging="564"/>
        <w:spacing w:after="0" w:line="277" w:lineRule="auto"/>
        <w:tabs>
          <w:tab w:leader="none" w:pos="1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determines the composition of our portfolio, the nature and timing of the changes to our portfolio and the manner of implementing such changes;</w:t>
      </w:r>
    </w:p>
    <w:p>
      <w:pPr>
        <w:spacing w:after="0" w:line="170" w:lineRule="exact"/>
        <w:rPr>
          <w:rFonts w:ascii="Arial" w:cs="Arial" w:eastAsia="Arial" w:hAnsi="Arial"/>
          <w:sz w:val="18"/>
          <w:szCs w:val="18"/>
          <w:color w:val="auto"/>
        </w:rPr>
      </w:pPr>
    </w:p>
    <w:p>
      <w:pPr>
        <w:ind w:left="1720" w:right="120" w:hanging="564"/>
        <w:spacing w:after="0" w:line="277" w:lineRule="auto"/>
        <w:tabs>
          <w:tab w:leader="none" w:pos="1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170" w:lineRule="exact"/>
        <w:rPr>
          <w:rFonts w:ascii="Arial" w:cs="Arial" w:eastAsia="Arial" w:hAnsi="Arial"/>
          <w:sz w:val="18"/>
          <w:szCs w:val="18"/>
          <w:color w:val="auto"/>
        </w:rPr>
      </w:pPr>
    </w:p>
    <w:p>
      <w:pPr>
        <w:ind w:left="1720" w:hanging="564"/>
        <w:spacing w:after="0"/>
        <w:tabs>
          <w:tab w:leader="none" w:pos="1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closes and monitors the investments we make; and</w:t>
      </w:r>
    </w:p>
    <w:p>
      <w:pPr>
        <w:spacing w:after="0" w:line="225" w:lineRule="exact"/>
        <w:rPr>
          <w:rFonts w:ascii="Arial" w:cs="Arial" w:eastAsia="Arial" w:hAnsi="Arial"/>
          <w:sz w:val="18"/>
          <w:szCs w:val="18"/>
          <w:color w:val="auto"/>
        </w:rPr>
      </w:pPr>
    </w:p>
    <w:p>
      <w:pPr>
        <w:ind w:left="1720" w:hanging="564"/>
        <w:spacing w:after="0"/>
        <w:tabs>
          <w:tab w:leader="none" w:pos="1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provides us with other investment advisory, research and related services as we may from time to time require.</w:t>
      </w:r>
    </w:p>
    <w:p>
      <w:pPr>
        <w:spacing w:after="0" w:line="225" w:lineRule="exact"/>
        <w:rPr>
          <w:sz w:val="20"/>
          <w:szCs w:val="20"/>
          <w:color w:val="auto"/>
        </w:rPr>
      </w:pPr>
    </w:p>
    <w:p>
      <w:pPr>
        <w:ind w:right="120" w:firstLine="881"/>
        <w:spacing w:after="0" w:line="277" w:lineRule="auto"/>
        <w:rPr>
          <w:sz w:val="20"/>
          <w:szCs w:val="20"/>
          <w:color w:val="auto"/>
        </w:rPr>
      </w:pPr>
      <w:r>
        <w:rPr>
          <w:rFonts w:ascii="Arial" w:cs="Arial" w:eastAsia="Arial" w:hAnsi="Arial"/>
          <w:sz w:val="18"/>
          <w:szCs w:val="18"/>
          <w:color w:val="auto"/>
        </w:rPr>
        <w:t>The Investment Advisor’s services under the Investment Advisory Agreement are not exclusive, and it is free to furnish similar services to other entities so long as its services to us are not impaired.</w:t>
      </w:r>
    </w:p>
    <w:p>
      <w:pPr>
        <w:spacing w:after="0" w:line="170" w:lineRule="exact"/>
        <w:rPr>
          <w:sz w:val="20"/>
          <w:szCs w:val="20"/>
          <w:color w:val="auto"/>
        </w:rPr>
      </w:pPr>
    </w:p>
    <w:p>
      <w:pPr>
        <w:ind w:right="180" w:firstLine="881"/>
        <w:spacing w:after="0" w:line="276" w:lineRule="auto"/>
        <w:rPr>
          <w:sz w:val="20"/>
          <w:szCs w:val="20"/>
          <w:color w:val="auto"/>
        </w:rPr>
      </w:pPr>
      <w:r>
        <w:rPr>
          <w:rFonts w:ascii="Arial" w:cs="Arial" w:eastAsia="Arial" w:hAnsi="Arial"/>
          <w:sz w:val="17"/>
          <w:szCs w:val="17"/>
          <w:color w:val="auto"/>
        </w:rPr>
        <w:t>The Investment Advisory Agreement provides that, absent willful misfeasance, bad faith or gross negligence in the performance of its duties or by reason of the reckless disregard of its duties and obligations, our Investment Advisor and its officers, managers, partners,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our Investment Advisor’s services under the Investment Advisory Agreement or otherwise as Investment Advisor for the Company.</w:t>
      </w:r>
    </w:p>
    <w:p>
      <w:pPr>
        <w:spacing w:after="0" w:line="173" w:lineRule="exact"/>
        <w:rPr>
          <w:sz w:val="20"/>
          <w:szCs w:val="20"/>
          <w:color w:val="auto"/>
        </w:rPr>
      </w:pPr>
    </w:p>
    <w:p>
      <w:pPr>
        <w:ind w:right="160" w:firstLine="881"/>
        <w:spacing w:after="0" w:line="277" w:lineRule="auto"/>
        <w:rPr>
          <w:sz w:val="20"/>
          <w:szCs w:val="20"/>
          <w:color w:val="auto"/>
        </w:rPr>
      </w:pPr>
      <w:r>
        <w:rPr>
          <w:rFonts w:ascii="Arial" w:cs="Arial" w:eastAsia="Arial" w:hAnsi="Arial"/>
          <w:sz w:val="18"/>
          <w:szCs w:val="18"/>
          <w:color w:val="auto"/>
        </w:rPr>
        <w:t>Pursuant to the Investment Advisory Agreement, we have agreed to pay the Investment Advisor a fee for investment advisory and management services consisting of two components — a base management fee and an incentive fee.</w:t>
      </w:r>
    </w:p>
    <w:p>
      <w:pPr>
        <w:spacing w:after="0" w:line="170" w:lineRule="exact"/>
        <w:rPr>
          <w:sz w:val="20"/>
          <w:szCs w:val="20"/>
          <w:color w:val="auto"/>
        </w:rPr>
      </w:pPr>
    </w:p>
    <w:p>
      <w:pPr>
        <w:ind w:right="60" w:firstLine="881"/>
        <w:spacing w:after="0" w:line="270" w:lineRule="auto"/>
        <w:rPr>
          <w:sz w:val="20"/>
          <w:szCs w:val="20"/>
          <w:color w:val="auto"/>
        </w:rPr>
      </w:pPr>
      <w:r>
        <w:rPr>
          <w:rFonts w:ascii="Arial" w:cs="Arial" w:eastAsia="Arial" w:hAnsi="Arial"/>
          <w:sz w:val="17"/>
          <w:szCs w:val="17"/>
          <w:color w:val="auto"/>
        </w:rPr>
        <w:t>The base management fee is calculated at an annual rate of 1.75% of our gross assets, which is our total assets as reflected on our Consolidated Statements of Assets and Liabilities and includes any borrowings for investment purposes. Although we do not anticipate making significant investments in derivative financial instruments, the fair value of any such investments, which will not necessarily equal their notional value, will be included in our calculation of gross assets. For services rendered under the Investment Advisory Agreement, the base management fee is payable quarterly in arrears. The base management fee was initially calculated based on the value of our gross assets at the end of the first calendar quarter subsequent to our IPO, and thereafter based on the average value of our gross assets at the end of the two most recently completed calendar quarters, and appropriately adjusted for any share issuances or repurchases during the current calendar quarter. For the first twelve months following our IPO, the Investment Advisor waived the portion of the base management fee payable on cash and cash equivalents held at the Company level, excluding cash and cash equivalents held by the Legacy Funds that were acquired by the Company in connection with the Formation Transactions.</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31" w:name="page32"/>
    <w:bookmarkEnd w:id="31"/>
    <w:p>
      <w:pPr>
        <w:ind w:left="880"/>
        <w:spacing w:after="0"/>
        <w:rPr>
          <w:sz w:val="20"/>
          <w:szCs w:val="20"/>
          <w:color w:val="auto"/>
        </w:rPr>
      </w:pPr>
      <w:r>
        <w:rPr>
          <w:rFonts w:ascii="Arial" w:cs="Arial" w:eastAsia="Arial" w:hAnsi="Arial"/>
          <w:sz w:val="18"/>
          <w:szCs w:val="18"/>
          <w:color w:val="auto"/>
        </w:rPr>
        <w:t>The incentive fee consists of the following two parts:</w:t>
      </w:r>
    </w:p>
    <w:p>
      <w:pPr>
        <w:spacing w:after="0" w:line="225" w:lineRule="exact"/>
        <w:rPr>
          <w:sz w:val="20"/>
          <w:szCs w:val="20"/>
          <w:color w:val="auto"/>
        </w:rPr>
      </w:pPr>
    </w:p>
    <w:p>
      <w:pPr>
        <w:ind w:right="20" w:firstLine="881"/>
        <w:spacing w:after="0" w:line="287" w:lineRule="auto"/>
        <w:rPr>
          <w:sz w:val="20"/>
          <w:szCs w:val="20"/>
          <w:color w:val="auto"/>
        </w:rPr>
      </w:pPr>
      <w:r>
        <w:rPr>
          <w:rFonts w:ascii="Arial" w:cs="Arial" w:eastAsia="Arial" w:hAnsi="Arial"/>
          <w:sz w:val="16"/>
          <w:szCs w:val="16"/>
          <w:color w:val="auto"/>
        </w:rPr>
        <w:t>The first part of the incentive fee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structuring, diligence and consulting fees or other fees that we receive from portfolio companies) accrued during the calendar quarter, minus our operating expenses for the quarter (including the base management fee, expenses payable under the Administration Agreement to our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that we have not yet received in cash. Pre-incentive fee net investment income does not include any realized capital gains, computed net of all realized capital losses or unrealized capital appreciation or depreciation. Pre-incentive fee net investment income, expressed as a rate of return on the value of our net assets at the end of the immediately preceding calendar quarter, is compared to a hurdle of 2.0% per quarter (8.0% annualized). Our net investment income used to calculate this part of the incentive fee is also included in the amount of our gross assets used to calculate the 1.75% base management fee. We pay the Investment Advisor an incentive fee with respect to our pre-incentive fee net investment income in each calendar quarter as follows:</w:t>
      </w:r>
    </w:p>
    <w:p>
      <w:pPr>
        <w:spacing w:after="0" w:line="169" w:lineRule="exact"/>
        <w:rPr>
          <w:sz w:val="20"/>
          <w:szCs w:val="20"/>
          <w:color w:val="auto"/>
        </w:rPr>
      </w:pPr>
    </w:p>
    <w:p>
      <w:pPr>
        <w:ind w:left="1720" w:right="380" w:hanging="564"/>
        <w:spacing w:after="0" w:line="277" w:lineRule="auto"/>
        <w:tabs>
          <w:tab w:leader="none" w:pos="1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incentive fee in any calendar quarter in which our pre-incentive fee net investment income does not exceed the hurdle of 2.0% (8.0% annualized);</w:t>
      </w:r>
    </w:p>
    <w:p>
      <w:pPr>
        <w:spacing w:after="0" w:line="170" w:lineRule="exact"/>
        <w:rPr>
          <w:rFonts w:ascii="Arial" w:cs="Arial" w:eastAsia="Arial" w:hAnsi="Arial"/>
          <w:sz w:val="18"/>
          <w:szCs w:val="18"/>
          <w:color w:val="auto"/>
        </w:rPr>
      </w:pPr>
    </w:p>
    <w:p>
      <w:pPr>
        <w:ind w:left="1720" w:right="180" w:hanging="564"/>
        <w:spacing w:after="0" w:line="257" w:lineRule="auto"/>
        <w:tabs>
          <w:tab w:leader="none" w:pos="1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100% of our pre-incentive fee net investment income with respect to that portion of such pre-incentive fee net investment income, if any, that exceeds the hurdle but is less than 2.5% in any calendar quarter (10.0% annualized). We refer to this portion of our pre-incentive fee net investment income (which exceeds the hurdle but is less than 2.5%) as the “catch-up.” The “catch-up” is meant to provide our Investment Advisor with 20% of our pre-incentive fee net investment income as if a hurdle did not apply if this net investment income exceeds 2.5% in any calendar quarter; and</w:t>
      </w:r>
    </w:p>
    <w:p>
      <w:pPr>
        <w:spacing w:after="0" w:line="188" w:lineRule="exact"/>
        <w:rPr>
          <w:rFonts w:ascii="Arial" w:cs="Arial" w:eastAsia="Arial" w:hAnsi="Arial"/>
          <w:sz w:val="18"/>
          <w:szCs w:val="18"/>
          <w:color w:val="auto"/>
        </w:rPr>
      </w:pPr>
    </w:p>
    <w:p>
      <w:pPr>
        <w:ind w:left="1720" w:right="260" w:hanging="564"/>
        <w:spacing w:after="0" w:line="264" w:lineRule="auto"/>
        <w:tabs>
          <w:tab w:leader="none" w:pos="1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20% of the amount of our pre-incentive fee net investment income, if any, that exceeds 2.5% in any calendar quarter (10.0% annualized) is payable to the Investment Advisor (once the hurdle is reached and the catch-up is achieved, 20% of all pre-incentive fee investment income thereafter is allocated to the Investment Advisor).</w:t>
      </w:r>
    </w:p>
    <w:p>
      <w:pPr>
        <w:spacing w:after="0" w:line="181" w:lineRule="exact"/>
        <w:rPr>
          <w:sz w:val="20"/>
          <w:szCs w:val="20"/>
          <w:color w:val="auto"/>
        </w:rPr>
      </w:pPr>
    </w:p>
    <w:p>
      <w:pPr>
        <w:ind w:firstLine="881"/>
        <w:spacing w:after="0" w:line="302"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Advisory Agreement, as of the termination date), commencing with the 2013 calendar year and will equal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with respect to each of the investments in our portfolio.</w:t>
      </w:r>
    </w:p>
    <w:p>
      <w:pPr>
        <w:spacing w:after="0" w:line="154" w:lineRule="exact"/>
        <w:rPr>
          <w:sz w:val="20"/>
          <w:szCs w:val="20"/>
          <w:color w:val="auto"/>
        </w:rPr>
      </w:pPr>
    </w:p>
    <w:p>
      <w:pPr>
        <w:ind w:right="60" w:firstLine="881"/>
        <w:spacing w:after="0" w:line="293" w:lineRule="auto"/>
        <w:rPr>
          <w:sz w:val="20"/>
          <w:szCs w:val="20"/>
          <w:color w:val="auto"/>
        </w:rPr>
      </w:pPr>
      <w:r>
        <w:rPr>
          <w:rFonts w:ascii="Arial" w:cs="Arial" w:eastAsia="Arial" w:hAnsi="Arial"/>
          <w:sz w:val="16"/>
          <w:szCs w:val="16"/>
          <w:color w:val="auto"/>
        </w:rPr>
        <w:t>We will defer cash payment of the portion of any incentive fee otherwise earned by our Investment Advisor that would, when taken together with all other incentive fees paid to our Investment Advisor during the most recent 12 full calendar month period ending on or prior to the date such payment is to be made, exceed 20% of the sum of (a) our pre-incentive fee net investment income during such period, (b) our net unrealized appreciation or depreciation during such period and (c) our net realized capital gains or losses during such period. Any deferred incentive fees will be carried over for payment in subsequent calculation periods to the extent such payment is payable under the Investment Advisory Agreement. Such deferred amounts will be calculated using a period of shorter than 12 full calendar months until 12 full calendar months have passed since completion of our IPO.</w:t>
      </w:r>
    </w:p>
    <w:p>
      <w:pPr>
        <w:spacing w:after="0" w:line="165" w:lineRule="exact"/>
        <w:rPr>
          <w:sz w:val="20"/>
          <w:szCs w:val="20"/>
          <w:color w:val="auto"/>
        </w:rPr>
      </w:pPr>
    </w:p>
    <w:p>
      <w:pPr>
        <w:ind w:right="120" w:firstLine="881"/>
        <w:spacing w:after="0" w:line="259" w:lineRule="auto"/>
        <w:rPr>
          <w:sz w:val="20"/>
          <w:szCs w:val="20"/>
          <w:color w:val="auto"/>
        </w:rPr>
      </w:pPr>
      <w:r>
        <w:rPr>
          <w:rFonts w:ascii="Arial" w:cs="Arial" w:eastAsia="Arial" w:hAnsi="Arial"/>
          <w:sz w:val="18"/>
          <w:szCs w:val="18"/>
          <w:color w:val="auto"/>
        </w:rPr>
        <w:t>For the three months ended September 30, 2015 and 2014, we incurred $2.8 million and $2.5 million in base management fees, respectively. For the three months ended September 30, 2015 and 2014, our Investment Advisor waived fees of $0.0 thousand and $38 thousand, respectively. For the three months ended September 30, 2015 and 2014, we incurred $1.9 million and $0.0 million, respectively, in incentive fees related to pre-incentive fee net investment income.</w:t>
      </w:r>
    </w:p>
    <w:p>
      <w:pPr>
        <w:spacing w:after="0" w:line="187" w:lineRule="exact"/>
        <w:rPr>
          <w:sz w:val="20"/>
          <w:szCs w:val="20"/>
          <w:color w:val="auto"/>
        </w:rPr>
      </w:pPr>
    </w:p>
    <w:p>
      <w:pPr>
        <w:ind w:right="60" w:firstLine="881"/>
        <w:spacing w:after="0" w:line="259" w:lineRule="auto"/>
        <w:rPr>
          <w:sz w:val="20"/>
          <w:szCs w:val="20"/>
          <w:color w:val="auto"/>
        </w:rPr>
      </w:pPr>
      <w:r>
        <w:rPr>
          <w:rFonts w:ascii="Arial" w:cs="Arial" w:eastAsia="Arial" w:hAnsi="Arial"/>
          <w:sz w:val="18"/>
          <w:szCs w:val="18"/>
          <w:color w:val="auto"/>
        </w:rPr>
        <w:t>For the nine months ended September 30, 2015 and 2014, we incurred $7.8 million and $6.8 million in base management fees, respectively. For the nine months ended September 30, 2015 and 2014, our Investment Advisor waived fees of $0.0 million and $0.2 million, respectively. For the nine months ended September 30, 2015 and 2014, we incurred $4.5 million and $2.8 million, respectively, in incentive fees related to pre-incentive fee net investment income.</w:t>
      </w:r>
    </w:p>
    <w:p>
      <w:pPr>
        <w:spacing w:after="0" w:line="187" w:lineRule="exact"/>
        <w:rPr>
          <w:sz w:val="20"/>
          <w:szCs w:val="20"/>
          <w:color w:val="auto"/>
        </w:rPr>
      </w:pPr>
    </w:p>
    <w:p>
      <w:pPr>
        <w:ind w:right="40" w:firstLine="881"/>
        <w:spacing w:after="0" w:line="255" w:lineRule="auto"/>
        <w:rPr>
          <w:sz w:val="20"/>
          <w:szCs w:val="20"/>
          <w:color w:val="auto"/>
        </w:rPr>
      </w:pPr>
      <w:r>
        <w:rPr>
          <w:rFonts w:ascii="Arial" w:cs="Arial" w:eastAsia="Arial" w:hAnsi="Arial"/>
          <w:sz w:val="18"/>
          <w:szCs w:val="18"/>
          <w:color w:val="auto"/>
        </w:rPr>
        <w:t>On September 24, 2013, the Company entered into an administration agreement (the “Administration Agreement”) with Capitala Advisors Corp., our Administrator, pursuant to which our Administrator has agreed to furnish us with office facilities, equipment and clerical, bookkeeping and record keeping services at such facilities. Our Administrator also performs, or oversees the performance of, our required administrative services, which include, among other things, being responsible for the financial records that we are required to maintain and preparing reports to our stockholders. In addition, our Administrator assists us in determining and publishing our net asset value, oversees the preparation and filing of our tax returns and the printing and dissemination of reports to our stockholders, and generally oversees the payment of our expenses and the performance of administrative and professional services rendered to us by others.</w:t>
      </w:r>
    </w:p>
    <w:p>
      <w:pPr>
        <w:spacing w:after="0" w:line="189" w:lineRule="exact"/>
        <w:rPr>
          <w:sz w:val="20"/>
          <w:szCs w:val="20"/>
          <w:color w:val="auto"/>
        </w:rPr>
      </w:pPr>
    </w:p>
    <w:p>
      <w:pPr>
        <w:ind w:right="60" w:firstLine="881"/>
        <w:spacing w:after="0" w:line="253" w:lineRule="auto"/>
        <w:rPr>
          <w:sz w:val="20"/>
          <w:szCs w:val="20"/>
          <w:color w:val="auto"/>
        </w:rPr>
      </w:pPr>
      <w:r>
        <w:rPr>
          <w:rFonts w:ascii="Arial" w:cs="Arial" w:eastAsia="Arial" w:hAnsi="Arial"/>
          <w:sz w:val="18"/>
          <w:szCs w:val="18"/>
          <w:color w:val="auto"/>
        </w:rPr>
        <w:t>Payments under the Administration Agreement are equal to an amount based upon our allocable portion of our Administrator’s overhead in performing its obligations under the Administration Agreement, including rent, the fees and expenses associated with performing compliance functions and our allocable portion of the compensation of our chief financial officer, our chief compliance officer, our controller, and any administrative support staff. Under the Administration Agreement, our Administrator will also provide on our behalf managerial assistance to those portfolio companies that request such assistance. Unless terminated earlier in accordance with its terms, the Administration Agreement will remain in effect if approved annually by our Board. On August 6, 2015, the Board approved the renewal of the Administration Agreement. The Administration Agreement may be terminated by either party without penalty upon 60 days’ written notice to the other party. To the extent that our Administrator outsources any of its functions, we will pay the fees associated with such functions on a direct basis without any incremental profit to our Administrator. Stockholder approval is not required to amend the Administration Agreement.</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209" w:gutter="0" w:footer="0" w:header="0"/>
        </w:sectPr>
      </w:pPr>
    </w:p>
    <w:bookmarkStart w:id="32" w:name="page33"/>
    <w:bookmarkEnd w:id="32"/>
    <w:p>
      <w:pPr>
        <w:ind w:firstLine="881"/>
        <w:spacing w:after="0" w:line="312" w:lineRule="auto"/>
        <w:rPr>
          <w:sz w:val="20"/>
          <w:szCs w:val="20"/>
          <w:color w:val="auto"/>
        </w:rPr>
      </w:pPr>
      <w:r>
        <w:rPr>
          <w:rFonts w:ascii="Arial" w:cs="Arial" w:eastAsia="Arial" w:hAnsi="Arial"/>
          <w:sz w:val="16"/>
          <w:szCs w:val="16"/>
          <w:color w:val="auto"/>
        </w:rPr>
        <w:t>For the three and nine months ended September 30, 2015, we paid our Administrator $0.3 million and $0.8 million for our allocable portion of the Administrator’s overhead paid directly by and reimbursable to the Administrator. For the three and nine months ended September 30, 2014, we paid our Administrator $0.2 million and $0.7 million for our allocable portion of the Administrator’s overhead paid directly by and reimbursable to the Administrator.</w:t>
      </w:r>
    </w:p>
    <w:p>
      <w:pPr>
        <w:spacing w:after="0" w:line="147" w:lineRule="exact"/>
        <w:rPr>
          <w:sz w:val="20"/>
          <w:szCs w:val="20"/>
          <w:color w:val="auto"/>
        </w:rPr>
      </w:pPr>
    </w:p>
    <w:p>
      <w:pPr>
        <w:ind w:right="240" w:firstLine="881"/>
        <w:spacing w:after="0" w:line="257" w:lineRule="auto"/>
        <w:rPr>
          <w:sz w:val="20"/>
          <w:szCs w:val="20"/>
          <w:color w:val="auto"/>
        </w:rPr>
      </w:pPr>
      <w:r>
        <w:rPr>
          <w:rFonts w:ascii="Arial" w:cs="Arial" w:eastAsia="Arial" w:hAnsi="Arial"/>
          <w:sz w:val="18"/>
          <w:szCs w:val="18"/>
          <w:color w:val="auto"/>
        </w:rPr>
        <w:t>The Administration Agreement provides that, absent willful misfeasance, bad faith or gross negligence in the performance of its duties or by reason of the reckless disregard of its duties and obligations, our Administrator and its officers, managers, partners,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our Administrator’s services under the Administration Agreement or otherwise as Administrator for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Related Party Transactions</w:t>
      </w:r>
    </w:p>
    <w:p>
      <w:pPr>
        <w:spacing w:after="0" w:line="229" w:lineRule="exact"/>
        <w:rPr>
          <w:sz w:val="20"/>
          <w:szCs w:val="20"/>
          <w:color w:val="auto"/>
        </w:rPr>
      </w:pPr>
    </w:p>
    <w:p>
      <w:pPr>
        <w:ind w:right="660" w:firstLine="881"/>
        <w:spacing w:after="0" w:line="277" w:lineRule="auto"/>
        <w:rPr>
          <w:sz w:val="20"/>
          <w:szCs w:val="20"/>
          <w:color w:val="auto"/>
        </w:rPr>
      </w:pPr>
      <w:r>
        <w:rPr>
          <w:rFonts w:ascii="Arial" w:cs="Arial" w:eastAsia="Arial" w:hAnsi="Arial"/>
          <w:sz w:val="18"/>
          <w:szCs w:val="18"/>
          <w:color w:val="auto"/>
        </w:rPr>
        <w:t>At September 30, 2015 and December 31, 2014, the Company had the following receivables from (payables to) related parties relating to management fees, incentive fees, and reimbursable expenses (dollars in thousands):</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18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1"/>
              </w:rPr>
              <w:t>September 30, 2015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8"/>
              </w:rPr>
              <w:t>December 31, 2014</w:t>
            </w:r>
          </w:p>
        </w:tc>
      </w:tr>
      <w:tr>
        <w:trPr>
          <w:trHeight w:val="210"/>
        </w:trPr>
        <w:tc>
          <w:tcPr>
            <w:tcW w:w="6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 South Corporation</w:t>
            </w:r>
          </w:p>
        </w:tc>
        <w:tc>
          <w:tcPr>
            <w:tcW w:w="640" w:type="dxa"/>
            <w:vAlign w:val="bottom"/>
            <w:tcBorders>
              <w:top w:val="single" w:sz="8" w:color="auto"/>
            </w:tcBorders>
            <w:shd w:val="clear" w:color="auto" w:fill="CCEEFF"/>
          </w:tcPr>
          <w:p>
            <w:pPr>
              <w:jc w:val="right"/>
              <w:ind w:right="480"/>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Shareholders/Limited Partners</w:t>
            </w:r>
          </w:p>
        </w:tc>
        <w:tc>
          <w:tcPr>
            <w:tcW w:w="6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8"/>
                <w:szCs w:val="18"/>
                <w:color w:val="auto"/>
              </w:rPr>
            </w:pPr>
          </w:p>
        </w:tc>
      </w:tr>
      <w:tr>
        <w:trPr>
          <w:trHeight w:val="23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Capitala Investment Advisors, LLC</w:t>
            </w:r>
          </w:p>
        </w:tc>
        <w:tc>
          <w:tcPr>
            <w:tcW w:w="6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w:t>
            </w:r>
          </w:p>
        </w:tc>
      </w:tr>
      <w:tr>
        <w:trPr>
          <w:trHeight w:val="223"/>
        </w:trPr>
        <w:tc>
          <w:tcPr>
            <w:tcW w:w="6700" w:type="dxa"/>
            <w:vAlign w:val="bottom"/>
          </w:tcPr>
          <w:p>
            <w:pPr>
              <w:spacing w:after="0"/>
              <w:rPr>
                <w:sz w:val="20"/>
                <w:szCs w:val="20"/>
                <w:color w:val="auto"/>
              </w:rPr>
            </w:pPr>
            <w:r>
              <w:rPr>
                <w:rFonts w:ascii="Arial" w:cs="Arial" w:eastAsia="Arial" w:hAnsi="Arial"/>
                <w:sz w:val="18"/>
                <w:szCs w:val="18"/>
                <w:color w:val="auto"/>
              </w:rPr>
              <w:t>Total</w:t>
            </w:r>
          </w:p>
        </w:tc>
        <w:tc>
          <w:tcPr>
            <w:tcW w:w="64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(2,994</w:t>
            </w:r>
          </w:p>
        </w:tc>
        <w:tc>
          <w:tcPr>
            <w:tcW w:w="180" w:type="dxa"/>
            <w:vAlign w:val="bottom"/>
          </w:tcPr>
          <w:p>
            <w:pPr>
              <w:jc w:val="right"/>
              <w:ind w:right="100"/>
              <w:spacing w:after="0"/>
              <w:rPr>
                <w:sz w:val="20"/>
                <w:szCs w:val="20"/>
                <w:color w:val="auto"/>
              </w:rPr>
            </w:pPr>
            <w:r>
              <w:rPr>
                <w:rFonts w:ascii="Arial" w:cs="Arial" w:eastAsia="Arial" w:hAnsi="Arial"/>
                <w:sz w:val="8"/>
                <w:szCs w:val="8"/>
                <w:color w:val="auto"/>
                <w:w w:val="73"/>
              </w:rPr>
              <w:t>)</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881"/>
        <w:spacing w:after="0" w:line="277" w:lineRule="auto"/>
        <w:rPr>
          <w:sz w:val="20"/>
          <w:szCs w:val="20"/>
          <w:color w:val="auto"/>
        </w:rPr>
      </w:pPr>
      <w:r>
        <w:rPr>
          <w:rFonts w:ascii="Arial" w:cs="Arial" w:eastAsia="Arial" w:hAnsi="Arial"/>
          <w:sz w:val="18"/>
          <w:szCs w:val="18"/>
          <w:color w:val="auto"/>
        </w:rPr>
        <w:t>These amounts are reflected in the accompanying statements of financial position under the captions, “Due from related parties,” “Management and incentive fee payable” and “Due to related parties.”</w:t>
      </w:r>
    </w:p>
    <w:p>
      <w:pPr>
        <w:spacing w:after="0" w:line="170" w:lineRule="exact"/>
        <w:rPr>
          <w:sz w:val="20"/>
          <w:szCs w:val="20"/>
          <w:color w:val="auto"/>
        </w:rPr>
      </w:pPr>
    </w:p>
    <w:p>
      <w:pPr>
        <w:ind w:right="220" w:firstLine="881"/>
        <w:spacing w:after="0" w:line="264" w:lineRule="auto"/>
        <w:rPr>
          <w:sz w:val="20"/>
          <w:szCs w:val="20"/>
          <w:color w:val="auto"/>
        </w:rPr>
      </w:pPr>
      <w:r>
        <w:rPr>
          <w:rFonts w:ascii="Arial" w:cs="Arial" w:eastAsia="Arial" w:hAnsi="Arial"/>
          <w:sz w:val="18"/>
          <w:szCs w:val="18"/>
          <w:color w:val="auto"/>
        </w:rPr>
        <w:t>At times, the Company maintains deposit accounts and certificates of deposit with financial institutions that are shareholders of the Company. Total deposits with these financial institutions were approximately $31 thousand at December 31, 2014. There were no related party deposits outstanding at September 30, 2015.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Borrowings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SBA Debentures</w:t>
      </w:r>
    </w:p>
    <w:p>
      <w:pPr>
        <w:spacing w:after="0" w:line="225" w:lineRule="exact"/>
        <w:rPr>
          <w:sz w:val="20"/>
          <w:szCs w:val="20"/>
          <w:color w:val="auto"/>
        </w:rPr>
      </w:pPr>
    </w:p>
    <w:p>
      <w:pPr>
        <w:ind w:right="60" w:firstLine="881"/>
        <w:spacing w:after="0" w:line="286" w:lineRule="auto"/>
        <w:rPr>
          <w:sz w:val="20"/>
          <w:szCs w:val="20"/>
          <w:color w:val="auto"/>
        </w:rPr>
      </w:pPr>
      <w:r>
        <w:rPr>
          <w:rFonts w:ascii="Arial" w:cs="Arial" w:eastAsia="Arial" w:hAnsi="Arial"/>
          <w:sz w:val="16"/>
          <w:szCs w:val="16"/>
          <w:color w:val="auto"/>
        </w:rPr>
        <w:t>The Company, through its two wholly-owned subsidiaries, uses debenture leverage provided through the SBA to fund a portion of its investment portfolio. As of September 30, 2015, the Company has issued $184.2 million of SBA-guaranteed debentures. The Company has issued all SBA-guaranteed debentures that were permitted under each of the Legacy Funds’ respective SBIC licenses (as applicable), and there are no unused SBA debenture commitments remaining. SBA-guaranteed debentures are secured by a lien on all assets of Fund II and Fund III. As of September 30, 2015, Fund II and Fund</w:t>
      </w:r>
    </w:p>
    <w:p>
      <w:pPr>
        <w:spacing w:after="0" w:line="2" w:lineRule="exact"/>
        <w:rPr>
          <w:sz w:val="20"/>
          <w:szCs w:val="20"/>
          <w:color w:val="auto"/>
        </w:rPr>
      </w:pPr>
    </w:p>
    <w:p>
      <w:pPr>
        <w:ind w:right="220" w:firstLine="8"/>
        <w:spacing w:after="0" w:line="273" w:lineRule="auto"/>
        <w:tabs>
          <w:tab w:leader="none" w:pos="225" w:val="left"/>
        </w:tabs>
        <w:numPr>
          <w:ilvl w:val="0"/>
          <w:numId w:val="14"/>
        </w:numPr>
        <w:rPr>
          <w:rFonts w:ascii="Arial" w:cs="Arial" w:eastAsia="Arial" w:hAnsi="Arial"/>
          <w:sz w:val="17"/>
          <w:szCs w:val="17"/>
          <w:color w:val="auto"/>
        </w:rPr>
      </w:pPr>
      <w:r>
        <w:rPr>
          <w:rFonts w:ascii="Arial" w:cs="Arial" w:eastAsia="Arial" w:hAnsi="Arial"/>
          <w:sz w:val="17"/>
          <w:szCs w:val="17"/>
          <w:color w:val="auto"/>
        </w:rPr>
        <w:t>had total assets of approximately $373.4 million. On June 10, 2014, the Company received an exemptive order from the SEC exempting the Company, Fund II and Fund III from certain provisions of the 1940 Act (including an exemptive order granting relief from the asset coverage requirements for certain indebtedness issued by Fund II and Fund III as SBICs) and from certain reporting requirements mandated by the Securities Exchange Act of 1934, as amended, with respect to Fund II and Fund III. The Company intends to comply with the conditions of the order.</w:t>
      </w:r>
    </w:p>
    <w:p>
      <w:pPr>
        <w:spacing w:after="0" w:line="177" w:lineRule="exact"/>
        <w:rPr>
          <w:sz w:val="20"/>
          <w:szCs w:val="20"/>
          <w:color w:val="auto"/>
        </w:rPr>
      </w:pPr>
    </w:p>
    <w:p>
      <w:pPr>
        <w:ind w:right="100" w:firstLine="881"/>
        <w:spacing w:after="0" w:line="270" w:lineRule="auto"/>
        <w:rPr>
          <w:sz w:val="20"/>
          <w:szCs w:val="20"/>
          <w:color w:val="auto"/>
        </w:rPr>
      </w:pPr>
      <w:r>
        <w:rPr>
          <w:rFonts w:ascii="Arial" w:cs="Arial" w:eastAsia="Arial" w:hAnsi="Arial"/>
          <w:sz w:val="17"/>
          <w:szCs w:val="17"/>
          <w:color w:val="auto"/>
        </w:rPr>
        <w:t>For the three months ended September 30, 2015 and September 30, 2014, the Company recorded $2.1 million and $2.1 million, respectively, of interest, annual charges, and financing expenses related to the SBA guaranteed debentures, of which $1.9 million and $1.9 million, respectively, was attributable to interest expense and annual charges, and $0.2 million and $0.2 million, respectively, was attributable to amortization of commitment and upfront fees. For the nine months ended September 30, 2015 and September 30, 2014, the Company recorded $6.2 million and $6.4 million, respectively, of interest, annual charges, and financing expenses related to the SBA guaranteed debentures, of which $5.7 million and $5.9 million, respectively, was attributable to interest expense and annual charges, and $0.5 million and $0.5 million, respectively, was attributable to amortization of commitment and upfront fees. The weighted average interest rate for all SBA-guaranteed debentures as of September 30, 2015 and December 31, 2014 was 3.45% and 3.51%, respectively. In addition to the stated interest rate, the SBA also charges an annual fee on all SBA-guaranteed debentures issued, which is included in the Company’s interest expense. The weighted average annual fee for all SBA-guaranteed debentures as of September 30, 2015 and December 31, 2014 was 0.46% and 0.48%, respectively.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ind w:right="20" w:firstLine="881"/>
        <w:spacing w:after="0" w:line="277" w:lineRule="auto"/>
        <w:rPr>
          <w:sz w:val="20"/>
          <w:szCs w:val="20"/>
          <w:color w:val="auto"/>
        </w:rPr>
      </w:pPr>
      <w:r>
        <w:rPr>
          <w:rFonts w:ascii="Arial" w:cs="Arial" w:eastAsia="Arial" w:hAnsi="Arial"/>
          <w:sz w:val="18"/>
          <w:szCs w:val="18"/>
          <w:color w:val="auto"/>
        </w:rPr>
        <w:t>As of September 30, 2015 and December 31, 2014, the Company’s issued and outstanding SBA-guaranteed debentures mature as follows (dollars in thousands):</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r>
              <w:rPr>
                <w:rFonts w:ascii="Arial" w:cs="Arial" w:eastAsia="Arial" w:hAnsi="Arial"/>
                <w:sz w:val="18"/>
                <w:szCs w:val="18"/>
                <w:b w:val="1"/>
                <w:bCs w:val="1"/>
                <w:color w:val="auto"/>
              </w:rPr>
              <w:t>Fixed Maturity Date</w:t>
            </w:r>
          </w:p>
        </w:tc>
        <w:tc>
          <w:tcPr>
            <w:tcW w:w="80" w:type="dxa"/>
            <w:vAlign w:val="bottom"/>
          </w:tcPr>
          <w:p>
            <w:pPr>
              <w:spacing w:after="0"/>
              <w:rPr>
                <w:sz w:val="20"/>
                <w:szCs w:val="20"/>
                <w:color w:val="auto"/>
              </w:rPr>
            </w:pPr>
          </w:p>
        </w:tc>
        <w:tc>
          <w:tcPr>
            <w:tcW w:w="1280" w:type="dxa"/>
            <w:vAlign w:val="bottom"/>
          </w:tcPr>
          <w:p>
            <w:pPr>
              <w:ind w:left="140"/>
              <w:spacing w:after="0"/>
              <w:rPr>
                <w:sz w:val="20"/>
                <w:szCs w:val="20"/>
                <w:color w:val="auto"/>
              </w:rPr>
            </w:pPr>
            <w:r>
              <w:rPr>
                <w:rFonts w:ascii="Arial" w:cs="Arial" w:eastAsia="Arial" w:hAnsi="Arial"/>
                <w:sz w:val="18"/>
                <w:szCs w:val="18"/>
                <w:b w:val="1"/>
                <w:bCs w:val="1"/>
                <w:color w:val="auto"/>
              </w:rPr>
              <w:t>Interest Rate</w:t>
            </w:r>
          </w:p>
        </w:tc>
        <w:tc>
          <w:tcPr>
            <w:tcW w:w="260" w:type="dxa"/>
            <w:vAlign w:val="bottom"/>
          </w:tcPr>
          <w:p>
            <w:pPr>
              <w:spacing w:after="0"/>
              <w:rPr>
                <w:sz w:val="20"/>
                <w:szCs w:val="20"/>
                <w:color w:val="auto"/>
              </w:rPr>
            </w:pPr>
          </w:p>
        </w:tc>
        <w:tc>
          <w:tcPr>
            <w:tcW w:w="18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1"/>
              </w:rPr>
              <w:t>SBA Annual Charge</w:t>
            </w:r>
          </w:p>
        </w:tc>
        <w:tc>
          <w:tcPr>
            <w:tcW w:w="1700" w:type="dxa"/>
            <w:vAlign w:val="bottom"/>
            <w:gridSpan w:val="3"/>
          </w:tcPr>
          <w:p>
            <w:pPr>
              <w:spacing w:after="0"/>
              <w:rPr>
                <w:sz w:val="20"/>
                <w:szCs w:val="20"/>
                <w:color w:val="auto"/>
              </w:rPr>
            </w:pPr>
            <w:r>
              <w:rPr>
                <w:rFonts w:ascii="Arial" w:cs="Arial" w:eastAsia="Arial" w:hAnsi="Arial"/>
                <w:sz w:val="18"/>
                <w:szCs w:val="18"/>
                <w:b w:val="1"/>
                <w:bCs w:val="1"/>
                <w:color w:val="auto"/>
                <w:w w:val="99"/>
              </w:rPr>
              <w:t>September 30, 2015</w:t>
            </w:r>
          </w:p>
        </w:tc>
        <w:tc>
          <w:tcPr>
            <w:tcW w:w="1540" w:type="dxa"/>
            <w:vAlign w:val="bottom"/>
            <w:gridSpan w:val="3"/>
          </w:tcPr>
          <w:p>
            <w:pPr>
              <w:spacing w:after="0"/>
              <w:rPr>
                <w:sz w:val="20"/>
                <w:szCs w:val="20"/>
                <w:color w:val="auto"/>
              </w:rPr>
            </w:pPr>
            <w:r>
              <w:rPr>
                <w:rFonts w:ascii="Arial" w:cs="Arial" w:eastAsia="Arial" w:hAnsi="Arial"/>
                <w:sz w:val="18"/>
                <w:szCs w:val="18"/>
                <w:b w:val="1"/>
                <w:bCs w:val="1"/>
                <w:color w:val="auto"/>
                <w:w w:val="93"/>
              </w:rPr>
              <w:t>December 31, 2014</w:t>
            </w:r>
          </w:p>
        </w:tc>
        <w:tc>
          <w:tcPr>
            <w:tcW w:w="0" w:type="dxa"/>
            <w:vAlign w:val="bottom"/>
          </w:tcPr>
          <w:p>
            <w:pPr>
              <w:spacing w:after="0"/>
              <w:rPr>
                <w:sz w:val="1"/>
                <w:szCs w:val="1"/>
                <w:color w:val="auto"/>
              </w:rPr>
            </w:pPr>
          </w:p>
        </w:tc>
      </w:tr>
      <w:tr>
        <w:trPr>
          <w:trHeight w:val="20"/>
        </w:trPr>
        <w:tc>
          <w:tcPr>
            <w:tcW w:w="358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September 1, 2015</w:t>
            </w:r>
          </w:p>
        </w:tc>
        <w:tc>
          <w:tcPr>
            <w:tcW w:w="80" w:type="dxa"/>
            <w:vAlign w:val="bottom"/>
            <w:vMerge w:val="continue"/>
            <w:shd w:val="clear" w:color="auto" w:fill="CCEEFF"/>
          </w:tcPr>
          <w:p>
            <w:pPr>
              <w:spacing w:after="0"/>
              <w:rPr>
                <w:sz w:val="18"/>
                <w:szCs w:val="18"/>
                <w:color w:val="auto"/>
              </w:rPr>
            </w:pPr>
          </w:p>
        </w:tc>
        <w:tc>
          <w:tcPr>
            <w:tcW w:w="15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4.941%</w:t>
            </w: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0.871%</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vMerge w:val="continue"/>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March 1, 2016</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5.524%</w:t>
            </w: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0.871%</w:t>
            </w:r>
          </w:p>
        </w:tc>
        <w:tc>
          <w:tcPr>
            <w:tcW w:w="5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2,000</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 2016</w:t>
            </w:r>
          </w:p>
        </w:tc>
        <w:tc>
          <w:tcPr>
            <w:tcW w:w="15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5.535%</w:t>
            </w: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0.941%</w:t>
            </w:r>
          </w:p>
        </w:tc>
        <w:tc>
          <w:tcPr>
            <w:tcW w:w="5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11,500</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March 1, 2019</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4.620%</w:t>
            </w: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0.941%</w:t>
            </w:r>
          </w:p>
        </w:tc>
        <w:tc>
          <w:tcPr>
            <w:tcW w:w="5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5,000</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 2020</w:t>
            </w:r>
          </w:p>
        </w:tc>
        <w:tc>
          <w:tcPr>
            <w:tcW w:w="15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3.215%</w:t>
            </w: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0.285%</w:t>
            </w:r>
          </w:p>
        </w:tc>
        <w:tc>
          <w:tcPr>
            <w:tcW w:w="5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19,000</w:t>
            </w:r>
          </w:p>
        </w:tc>
        <w:tc>
          <w:tcPr>
            <w:tcW w:w="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19,000</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March 1, 2021</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4.084%</w:t>
            </w: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0.515%</w:t>
            </w:r>
          </w:p>
        </w:tc>
        <w:tc>
          <w:tcPr>
            <w:tcW w:w="5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15,700</w:t>
            </w:r>
          </w:p>
        </w:tc>
        <w:tc>
          <w:tcPr>
            <w:tcW w:w="4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15,700</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2021</w:t>
            </w:r>
          </w:p>
        </w:tc>
        <w:tc>
          <w:tcPr>
            <w:tcW w:w="15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4.084%</w:t>
            </w: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0.285%</w:t>
            </w:r>
          </w:p>
        </w:tc>
        <w:tc>
          <w:tcPr>
            <w:tcW w:w="5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46,000</w:t>
            </w:r>
          </w:p>
        </w:tc>
        <w:tc>
          <w:tcPr>
            <w:tcW w:w="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46,000</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March 1, 2022</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2.766%</w:t>
            </w: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0.285%</w:t>
            </w:r>
          </w:p>
        </w:tc>
        <w:tc>
          <w:tcPr>
            <w:tcW w:w="5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10,000</w:t>
            </w:r>
          </w:p>
        </w:tc>
        <w:tc>
          <w:tcPr>
            <w:tcW w:w="4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2022</w:t>
            </w:r>
          </w:p>
        </w:tc>
        <w:tc>
          <w:tcPr>
            <w:tcW w:w="15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2.766%</w:t>
            </w: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0.515%</w:t>
            </w:r>
          </w:p>
        </w:tc>
        <w:tc>
          <w:tcPr>
            <w:tcW w:w="5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50,000</w:t>
            </w:r>
          </w:p>
        </w:tc>
        <w:tc>
          <w:tcPr>
            <w:tcW w:w="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30"/>
        </w:trPr>
        <w:tc>
          <w:tcPr>
            <w:tcW w:w="3660" w:type="dxa"/>
            <w:vAlign w:val="bottom"/>
            <w:gridSpan w:val="2"/>
          </w:tcPr>
          <w:p>
            <w:pPr>
              <w:spacing w:after="0"/>
              <w:rPr>
                <w:sz w:val="20"/>
                <w:szCs w:val="20"/>
                <w:color w:val="auto"/>
              </w:rPr>
            </w:pPr>
            <w:r>
              <w:rPr>
                <w:rFonts w:ascii="Arial" w:cs="Arial" w:eastAsia="Arial" w:hAnsi="Arial"/>
                <w:sz w:val="18"/>
                <w:szCs w:val="18"/>
                <w:color w:val="auto"/>
              </w:rPr>
              <w:t>March 1, 2023</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2.351%</w:t>
            </w: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0.515%</w:t>
            </w:r>
          </w:p>
        </w:tc>
        <w:tc>
          <w:tcPr>
            <w:tcW w:w="52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25,000</w:t>
            </w:r>
          </w:p>
        </w:tc>
        <w:tc>
          <w:tcPr>
            <w:tcW w:w="4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23"/>
        </w:trPr>
        <w:tc>
          <w:tcPr>
            <w:tcW w:w="35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15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192,200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w:t>
      </w:r>
    </w:p>
    <w:p>
      <w:pPr>
        <w:spacing w:after="0" w:line="225" w:lineRule="exact"/>
        <w:rPr>
          <w:sz w:val="20"/>
          <w:szCs w:val="20"/>
          <w:color w:val="auto"/>
        </w:rPr>
      </w:pPr>
    </w:p>
    <w:p>
      <w:pPr>
        <w:ind w:right="80" w:firstLine="881"/>
        <w:spacing w:after="0" w:line="259" w:lineRule="auto"/>
        <w:rPr>
          <w:sz w:val="20"/>
          <w:szCs w:val="20"/>
          <w:color w:val="auto"/>
        </w:rPr>
      </w:pPr>
      <w:r>
        <w:rPr>
          <w:rFonts w:ascii="Arial" w:cs="Arial" w:eastAsia="Arial" w:hAnsi="Arial"/>
          <w:sz w:val="18"/>
          <w:szCs w:val="18"/>
          <w:color w:val="auto"/>
        </w:rPr>
        <w:t>In June 2014, the Company issued $113.4 million in aggregate principal amount of 7.125% fixed-rate notes due 2021 (the “Notes”). The Notes will mature on June 16, 2021, and may be redeemed in whole or in part at any time or from time to time at the Company’s option on or after June 16, 2017 at a redemption price equal to 100% of the outstanding principal, plus accrued and unpaid interest. Interest will be payable quarterly beginning September 16, 2014.</w:t>
      </w:r>
    </w:p>
    <w:p>
      <w:pPr>
        <w:spacing w:after="0" w:line="187" w:lineRule="exact"/>
        <w:rPr>
          <w:sz w:val="20"/>
          <w:szCs w:val="20"/>
          <w:color w:val="auto"/>
        </w:rPr>
      </w:pPr>
    </w:p>
    <w:p>
      <w:pPr>
        <w:ind w:right="160" w:firstLine="881"/>
        <w:spacing w:after="0" w:line="277" w:lineRule="auto"/>
        <w:rPr>
          <w:sz w:val="20"/>
          <w:szCs w:val="20"/>
          <w:color w:val="auto"/>
        </w:rPr>
      </w:pPr>
      <w:r>
        <w:rPr>
          <w:rFonts w:ascii="Arial" w:cs="Arial" w:eastAsia="Arial" w:hAnsi="Arial"/>
          <w:sz w:val="18"/>
          <w:szCs w:val="18"/>
          <w:color w:val="auto"/>
        </w:rPr>
        <w:t>For the three and nine months ended September 30, 2015, the Company has recorded $2.0 million and $6.1 million of interest expense and $0.1 million and $0.4 million of amortization of deferred financing costs related to the Notes, respectively.</w:t>
      </w:r>
    </w:p>
    <w:p>
      <w:pPr>
        <w:spacing w:after="0" w:line="170" w:lineRule="exact"/>
        <w:rPr>
          <w:sz w:val="20"/>
          <w:szCs w:val="20"/>
          <w:color w:val="auto"/>
        </w:rPr>
      </w:pPr>
    </w:p>
    <w:p>
      <w:pPr>
        <w:ind w:right="160" w:firstLine="881"/>
        <w:spacing w:after="0" w:line="277" w:lineRule="auto"/>
        <w:rPr>
          <w:sz w:val="20"/>
          <w:szCs w:val="20"/>
          <w:color w:val="auto"/>
        </w:rPr>
      </w:pPr>
      <w:r>
        <w:rPr>
          <w:rFonts w:ascii="Arial" w:cs="Arial" w:eastAsia="Arial" w:hAnsi="Arial"/>
          <w:sz w:val="18"/>
          <w:szCs w:val="18"/>
          <w:color w:val="auto"/>
        </w:rPr>
        <w:t>For the three and nine months ended September 30, 2014, the Company has recorded $2.0 million and $2.4 million of interest expense and $0.1 million and $0.1 million of amortization of deferred financing costs related to the Notes,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25" w:lineRule="exact"/>
        <w:rPr>
          <w:sz w:val="20"/>
          <w:szCs w:val="20"/>
          <w:color w:val="auto"/>
        </w:rPr>
      </w:pPr>
    </w:p>
    <w:p>
      <w:pPr>
        <w:ind w:firstLine="881"/>
        <w:spacing w:after="0" w:line="253" w:lineRule="auto"/>
        <w:rPr>
          <w:sz w:val="20"/>
          <w:szCs w:val="20"/>
          <w:color w:val="auto"/>
        </w:rPr>
      </w:pPr>
      <w:r>
        <w:rPr>
          <w:rFonts w:ascii="Arial" w:cs="Arial" w:eastAsia="Arial" w:hAnsi="Arial"/>
          <w:sz w:val="18"/>
          <w:szCs w:val="18"/>
          <w:color w:val="auto"/>
        </w:rPr>
        <w:t>On October 17, 2014, the Company entered into a senior secured revolving credit agreement (the “Credit Facility”) with ING Capital, LLC, as administrative agent, arranger, and bookrunner, and the lenders party thereto. The Credit Facility initially provided for borrowing up to $50,000,000 and may be increased up to $150,000,000 pursuant to its “accordion” feature. The Credit Facility matures on October 17, 2018. On January 6, 2015, the Company entered into an Incremental Assumption Agreement (the “First Incremental Assumption Agreement”) relating to the Credit Facility. The Incremental Assumption Agreement increased the amount of borrowings available under the Credit Facility from $50,000,000 to $80,000,000. The $30,000,000 increase in total commitments under the Credit Facility was executed under the “accordion” feature of the Credit Facility, which allows for an increase in total commitments under the Credit Facility up to $150,000,000. On August 19, 2015, the Company entered into a second Incremental Assumption Agreement (the “Second Incremental Assumption Agreement”) relating to the Credit Facility. The Second Incremental Assumption Agreement increased the amount of borrowings available under the Credit Facility from $80,000,000 to $120,000,000. The $40,000,000 increase in total commitments under the Credit Facility was executed under the “accordion” feature of the Credit Facility, which allows for an increase in total commitments under the Credit Facility up to $150,000,000.</w:t>
      </w:r>
    </w:p>
    <w:p>
      <w:pPr>
        <w:spacing w:after="0" w:line="193" w:lineRule="exact"/>
        <w:rPr>
          <w:sz w:val="20"/>
          <w:szCs w:val="20"/>
          <w:color w:val="auto"/>
        </w:rPr>
      </w:pPr>
    </w:p>
    <w:p>
      <w:pPr>
        <w:ind w:firstLine="881"/>
        <w:spacing w:after="0" w:line="269" w:lineRule="auto"/>
        <w:rPr>
          <w:sz w:val="20"/>
          <w:szCs w:val="20"/>
          <w:color w:val="auto"/>
        </w:rPr>
      </w:pPr>
      <w:r>
        <w:rPr>
          <w:rFonts w:ascii="Arial" w:cs="Arial" w:eastAsia="Arial" w:hAnsi="Arial"/>
          <w:sz w:val="17"/>
          <w:szCs w:val="17"/>
          <w:color w:val="auto"/>
        </w:rPr>
        <w:t>Borrowings under the Credit Facility bear interest, at the Company’s election, at a rate per annum equal to (i) the one, two, three or six month LIBOR as applicable, plus 3.00% or (ii) 2.00% plus the highest of (A) a prime rate, (B) the Federal Funds rate plus 0.5% and (C) three month LIBOR plus 1.0%. The Company’s ability to elect LIBOR indices with various tenors (e.g., one, two, three or six month LIBOR) on which the interest rates for borrowings under the Credit Facility are based provides the company with increased flexibility to manage interest rate risks as compared to a borrowing arrangement that does not provide for such optionality. Once a particular LIBOR rate has been selected, the interest rate on the applicable amount borrowed will reset after the applicable tenor period and be based on the then applicable selected LIBOR rate (e.g., borrowings for which the Company has elected the one month LIBOR rate will reset on the one month anniversary of the period based on the then selected LIBOR rate). For any given borrowing under the Credit Facility, the Company intends to elect what it believes to be an appropriate LIBOR rate taking into account the Company’s needs at the time as well as the Company’s view of future interest rate movements. The Company will also pay an unused commitment fee at a rate of 2.50% per annum on the amount (if positive) by which 40% of the aggregate commitments under the Credit Facility exceeds the outstanding amount of loans under the Credit Facility and 0.50% per annum on any remaining unused portion of the Credit Facility.</w:t>
      </w:r>
    </w:p>
    <w:p>
      <w:pPr>
        <w:spacing w:after="0" w:line="183" w:lineRule="exact"/>
        <w:rPr>
          <w:sz w:val="20"/>
          <w:szCs w:val="20"/>
          <w:color w:val="auto"/>
        </w:rPr>
      </w:pPr>
    </w:p>
    <w:p>
      <w:pPr>
        <w:ind w:right="140" w:firstLine="881"/>
        <w:spacing w:after="0" w:line="279" w:lineRule="auto"/>
        <w:rPr>
          <w:sz w:val="20"/>
          <w:szCs w:val="20"/>
          <w:color w:val="auto"/>
        </w:rPr>
      </w:pPr>
      <w:r>
        <w:rPr>
          <w:rFonts w:ascii="Arial" w:cs="Arial" w:eastAsia="Arial" w:hAnsi="Arial"/>
          <w:sz w:val="17"/>
          <w:szCs w:val="17"/>
          <w:color w:val="auto"/>
        </w:rPr>
        <w:t>As of September 30, 2015, the Company had $51.0 million outstanding under the Credit Facility. For the three months ended September 30, 2015, the Company recorded $0.3 million of interest expense, $0.2 million of amortization of deferred financing costs and $0.1 million of unused commitment fees related to the Credit Facility. For the nine months ended September 30, 2015, the Company recorded $0.3 million of interest expense, $0.6 million of amortization of deferred financing costs and $0.6 million of unused commitment fees related to the Credit Facility.</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4" w:name="page35"/>
    <w:bookmarkEnd w:id="34"/>
    <w:p>
      <w:pPr>
        <w:ind w:right="80" w:firstLine="881"/>
        <w:spacing w:after="0" w:line="257" w:lineRule="auto"/>
        <w:rPr>
          <w:sz w:val="20"/>
          <w:szCs w:val="20"/>
          <w:color w:val="auto"/>
        </w:rPr>
      </w:pPr>
      <w:r>
        <w:rPr>
          <w:rFonts w:ascii="Arial" w:cs="Arial" w:eastAsia="Arial" w:hAnsi="Arial"/>
          <w:sz w:val="18"/>
          <w:szCs w:val="18"/>
          <w:color w:val="auto"/>
        </w:rPr>
        <w:t>The Credit Facility is secured by investments and cash held by Capitala Finance Corp., exclusive of assets held at our two SBIC subsidiaries. Assets pledged to secure the Credit Facility were $260.5 million at September 30, 2015. As part of the terms of the Credit Facility, the Company may not make cash distributions with respect to any taxable year that exceed 110% (125% if the Company is not in default and its covered debt does not exceed 85% of the borrowing base) of the amounts required to be distributed to maintain eligibility as a RIC and to reduce the Company’s tax liability to zero for taxes imposed on its investment company taxable income and net capital gains.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Directors Fees</w:t>
      </w:r>
    </w:p>
    <w:p>
      <w:pPr>
        <w:spacing w:after="0" w:line="229" w:lineRule="exact"/>
        <w:rPr>
          <w:sz w:val="20"/>
          <w:szCs w:val="20"/>
          <w:color w:val="auto"/>
        </w:rPr>
      </w:pPr>
    </w:p>
    <w:p>
      <w:pPr>
        <w:ind w:right="60" w:firstLine="881"/>
        <w:spacing w:after="0" w:line="291" w:lineRule="auto"/>
        <w:rPr>
          <w:sz w:val="20"/>
          <w:szCs w:val="20"/>
          <w:color w:val="auto"/>
        </w:rPr>
      </w:pPr>
      <w:r>
        <w:rPr>
          <w:rFonts w:ascii="Arial" w:cs="Arial" w:eastAsia="Arial" w:hAnsi="Arial"/>
          <w:sz w:val="16"/>
          <w:szCs w:val="16"/>
          <w:color w:val="auto"/>
        </w:rPr>
        <w:t>Our independent directors receive an annual fee of $50,000. They also receive $5,000 plus reimbursement of reasonable out-of-pocket expenses incurred in connection with attending each board meeting, and also receive $5,000 plus reimbursement of reasonable out-of-pocket expenses incurred in connection with attending each committee meeting. In addition, the chairman of the audit committee receives an annual fee of $10,000 and each chairman of any other committee receives an annual fee of $5,000 for their additional services, if any, in these capacities. For the three and nine months ended September 30, 2015, the Company recognized director fee expense of $0.1 million and $0.3 million, respectively. For the three and nine months ended September 30, 2014, the Company recognized director fee expense of $0.1 million and $0.3 million, respectively. No compensation is expected to be paid to directors who are “interested persons” of the Company, as such term is defined in Section 2(a)(19) of the 1940 Act.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Summarized Financial Information of Our Unconsolidated Subsidiaries</w:t>
      </w:r>
    </w:p>
    <w:p>
      <w:pPr>
        <w:spacing w:after="0" w:line="229" w:lineRule="exact"/>
        <w:rPr>
          <w:sz w:val="20"/>
          <w:szCs w:val="20"/>
          <w:color w:val="auto"/>
        </w:rPr>
      </w:pPr>
    </w:p>
    <w:p>
      <w:pPr>
        <w:ind w:right="80" w:firstLine="881"/>
        <w:spacing w:after="0" w:line="259" w:lineRule="auto"/>
        <w:rPr>
          <w:sz w:val="20"/>
          <w:szCs w:val="20"/>
          <w:color w:val="auto"/>
        </w:rPr>
      </w:pPr>
      <w:r>
        <w:rPr>
          <w:rFonts w:ascii="Arial" w:cs="Arial" w:eastAsia="Arial" w:hAnsi="Arial"/>
          <w:sz w:val="18"/>
          <w:szCs w:val="18"/>
          <w:color w:val="auto"/>
        </w:rPr>
        <w:t>The Company holds a control interest, as defined by the 1940 Act, in four majority owned portfolio companies that are considered significant subsidiaries under the guidance in Regulation S-X, but are not consolidated in the Company’s consolidated financial statements. Below is a brief description of each portfolio company, along with summarized financial information as of September 30, 2015 and December 31, 2014, and for the nine month periods ended September 30, 2015 and September 30, 2014.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Print Direction, Inc.</w:t>
      </w:r>
    </w:p>
    <w:p>
      <w:pPr>
        <w:spacing w:after="0" w:line="225" w:lineRule="exact"/>
        <w:rPr>
          <w:sz w:val="20"/>
          <w:szCs w:val="20"/>
          <w:color w:val="auto"/>
        </w:rPr>
      </w:pPr>
    </w:p>
    <w:p>
      <w:pPr>
        <w:ind w:right="220" w:firstLine="881"/>
        <w:spacing w:after="0" w:line="279" w:lineRule="auto"/>
        <w:rPr>
          <w:sz w:val="20"/>
          <w:szCs w:val="20"/>
          <w:color w:val="auto"/>
        </w:rPr>
      </w:pPr>
      <w:r>
        <w:rPr>
          <w:rFonts w:ascii="Arial" w:cs="Arial" w:eastAsia="Arial" w:hAnsi="Arial"/>
          <w:sz w:val="17"/>
          <w:szCs w:val="17"/>
          <w:color w:val="auto"/>
        </w:rPr>
        <w:t>Print Direction, Inc., incorporated in Georgia on May 11, 2006, is a professional printing services firm serving customers, particular fast food, retail, and other similar chains, throughout the United States. Print Direction, Inc. also provides warehousing and distribution services for these customers. The loss the Company generated from Print Direction, Inc., which includes all interest, dividends, PIK interest and dividends, fees, and unrealized depreciation, was $(0.8) million and $(3.9) million for the nine months ended September 30, 2015 and September 30, 2014,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Navis Holdings, Inc.</w:t>
      </w:r>
    </w:p>
    <w:p>
      <w:pPr>
        <w:spacing w:after="0" w:line="225" w:lineRule="exact"/>
        <w:rPr>
          <w:sz w:val="20"/>
          <w:szCs w:val="20"/>
          <w:color w:val="auto"/>
        </w:rPr>
      </w:pPr>
    </w:p>
    <w:p>
      <w:pPr>
        <w:ind w:right="300" w:firstLine="881"/>
        <w:spacing w:after="0" w:line="259" w:lineRule="auto"/>
        <w:rPr>
          <w:sz w:val="20"/>
          <w:szCs w:val="20"/>
          <w:color w:val="auto"/>
        </w:rPr>
      </w:pPr>
      <w:r>
        <w:rPr>
          <w:rFonts w:ascii="Arial" w:cs="Arial" w:eastAsia="Arial" w:hAnsi="Arial"/>
          <w:sz w:val="18"/>
          <w:szCs w:val="18"/>
          <w:color w:val="auto"/>
        </w:rPr>
        <w:t>Navis Holdings, Inc., incorporated in Delaware on December 21, 2010, designs and manufactures leading machinery for the global knit and woven finishing textile industries. The income the Company generated from Navis Holdings, Inc., which includes all interest, dividends, PIK interest and dividends, fees, and unrealized appreciation, was $3.6 million and $3.3 million for the nine months ended September 30, 2015 and September 30, 2014,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On-Site Fuel Service, Inc.</w:t>
      </w:r>
    </w:p>
    <w:p>
      <w:pPr>
        <w:spacing w:after="0" w:line="225" w:lineRule="exact"/>
        <w:rPr>
          <w:sz w:val="20"/>
          <w:szCs w:val="20"/>
          <w:color w:val="auto"/>
        </w:rPr>
      </w:pPr>
    </w:p>
    <w:p>
      <w:pPr>
        <w:ind w:firstLine="881"/>
        <w:spacing w:after="0" w:line="279" w:lineRule="auto"/>
        <w:rPr>
          <w:sz w:val="20"/>
          <w:szCs w:val="20"/>
          <w:color w:val="auto"/>
        </w:rPr>
      </w:pPr>
      <w:r>
        <w:rPr>
          <w:rFonts w:ascii="Arial" w:cs="Arial" w:eastAsia="Arial" w:hAnsi="Arial"/>
          <w:sz w:val="17"/>
          <w:szCs w:val="17"/>
          <w:color w:val="auto"/>
        </w:rPr>
        <w:t>On-Site Fuel Service, Inc. is a 100% owned subsidiary of On-Site Fuel Holdings, Inc., which was incorporated in Delaware on December 19, 2011. On-Site Fuel Service, Inc. provides fueling services for commercial and government vehicle fleets throughout the southeast United States. The loss the Company generated from On-Site Fuel Service, Inc., which includes all interest, dividends, PIK interest and dividends, fees, and unrealized depreciation, was $(0.7) million and $(2.5) million for the nine months ended September 30, 2015 and September 30, 2014,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CableOrganizer Acquisition, LLC</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CableOrganizer Acquisition, LLC, a Delaware limited liability company that began operations on April 23, 2013, is a leading online provider of cable and wire management products. The income the Company generated from CableOrganizer Acquisition, LLC, which includes all interest, dividends, PIK interest and dividends, fees, and unrealized appreciation/(depreciation) was $0.1 million and $2.4 million for the nine months ended September 30, 2015 and September 30, 2014, respectively.</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35" w:name="page36"/>
    <w:bookmarkEnd w:id="35"/>
    <w:p>
      <w:pPr>
        <w:ind w:left="540"/>
        <w:spacing w:after="0"/>
        <w:rPr>
          <w:sz w:val="20"/>
          <w:szCs w:val="20"/>
          <w:color w:val="auto"/>
        </w:rPr>
      </w:pPr>
      <w:r>
        <w:rPr>
          <w:rFonts w:ascii="Arial" w:cs="Arial" w:eastAsia="Arial" w:hAnsi="Arial"/>
          <w:sz w:val="18"/>
          <w:szCs w:val="18"/>
          <w:color w:val="auto"/>
        </w:rPr>
        <w:t>The summarized financial information of our unconsolidated subsidiaries is as follows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8"/>
                <w:szCs w:val="18"/>
                <w:b w:val="1"/>
                <w:bCs w:val="1"/>
                <w:color w:val="auto"/>
              </w:rPr>
              <w:t>As of</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7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right"/>
              <w:ind w:right="400"/>
              <w:spacing w:after="0" w:line="191" w:lineRule="exact"/>
              <w:rPr>
                <w:sz w:val="20"/>
                <w:szCs w:val="20"/>
                <w:color w:val="auto"/>
              </w:rPr>
            </w:pPr>
            <w:r>
              <w:rPr>
                <w:rFonts w:ascii="Arial" w:cs="Arial" w:eastAsia="Arial" w:hAnsi="Arial"/>
                <w:sz w:val="18"/>
                <w:szCs w:val="18"/>
                <w:b w:val="1"/>
                <w:bCs w:val="1"/>
                <w:color w:val="auto"/>
                <w:w w:val="94"/>
              </w:rPr>
              <w:t>September</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190"/>
              <w:spacing w:after="0" w:line="191" w:lineRule="exact"/>
              <w:rPr>
                <w:sz w:val="20"/>
                <w:szCs w:val="20"/>
                <w:color w:val="auto"/>
              </w:rPr>
            </w:pPr>
            <w:r>
              <w:rPr>
                <w:rFonts w:ascii="Arial" w:cs="Arial" w:eastAsia="Arial" w:hAnsi="Arial"/>
                <w:sz w:val="18"/>
                <w:szCs w:val="18"/>
                <w:b w:val="1"/>
                <w:bCs w:val="1"/>
                <w:color w:val="auto"/>
                <w:w w:val="96"/>
              </w:rPr>
              <w:t>December</w:t>
            </w:r>
          </w:p>
        </w:tc>
        <w:tc>
          <w:tcPr>
            <w:tcW w:w="100" w:type="dxa"/>
            <w:vAlign w:val="bottom"/>
          </w:tcPr>
          <w:p>
            <w:pPr>
              <w:spacing w:after="0"/>
              <w:rPr>
                <w:sz w:val="16"/>
                <w:szCs w:val="16"/>
                <w:color w:val="auto"/>
              </w:rPr>
            </w:pPr>
          </w:p>
        </w:tc>
      </w:tr>
      <w:tr>
        <w:trPr>
          <w:trHeight w:val="234"/>
        </w:trPr>
        <w:tc>
          <w:tcPr>
            <w:tcW w:w="7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Sheet - Print Direction, Inc.</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30, 2015</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31, 2014</w:t>
            </w:r>
          </w:p>
        </w:tc>
        <w:tc>
          <w:tcPr>
            <w:tcW w:w="100" w:type="dxa"/>
            <w:vAlign w:val="bottom"/>
            <w:tcBorders>
              <w:bottom w:val="single" w:sz="8" w:color="CCEEFF"/>
            </w:tcBorders>
          </w:tcPr>
          <w:p>
            <w:pPr>
              <w:spacing w:after="0"/>
              <w:rPr>
                <w:sz w:val="20"/>
                <w:szCs w:val="20"/>
                <w:color w:val="auto"/>
              </w:rPr>
            </w:pP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5,055</w:t>
            </w:r>
          </w:p>
        </w:tc>
        <w:tc>
          <w:tcPr>
            <w:tcW w:w="100" w:type="dxa"/>
            <w:vAlign w:val="bottom"/>
            <w:shd w:val="clear" w:color="auto" w:fill="CCEEFF"/>
          </w:tcPr>
          <w:p>
            <w:pPr>
              <w:spacing w:after="0"/>
              <w:rPr>
                <w:sz w:val="18"/>
                <w:szCs w:val="18"/>
                <w:color w:val="auto"/>
              </w:rPr>
            </w:pPr>
          </w:p>
        </w:tc>
      </w:tr>
      <w:tr>
        <w:trPr>
          <w:trHeight w:val="230"/>
        </w:trPr>
        <w:tc>
          <w:tcPr>
            <w:tcW w:w="7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Noncurrent assets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5,332</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5,346</w:t>
            </w:r>
          </w:p>
        </w:tc>
        <w:tc>
          <w:tcPr>
            <w:tcW w:w="100" w:type="dxa"/>
            <w:vAlign w:val="bottom"/>
            <w:tcBorders>
              <w:bottom w:val="single" w:sz="8" w:color="CCEEFF"/>
            </w:tcBorders>
          </w:tcPr>
          <w:p>
            <w:pPr>
              <w:spacing w:after="0"/>
              <w:rPr>
                <w:sz w:val="19"/>
                <w:szCs w:val="19"/>
                <w:color w:val="auto"/>
              </w:rPr>
            </w:pPr>
          </w:p>
        </w:tc>
      </w:tr>
      <w:tr>
        <w:trPr>
          <w:trHeight w:val="223"/>
        </w:trPr>
        <w:tc>
          <w:tcPr>
            <w:tcW w:w="7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9,296</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7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2,608</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3,193</w:t>
            </w:r>
          </w:p>
        </w:tc>
        <w:tc>
          <w:tcPr>
            <w:tcW w:w="100" w:type="dxa"/>
            <w:vAlign w:val="bottom"/>
            <w:shd w:val="clear" w:color="auto" w:fill="CCEEFF"/>
          </w:tcPr>
          <w:p>
            <w:pPr>
              <w:spacing w:after="0"/>
              <w:rPr>
                <w:sz w:val="18"/>
                <w:szCs w:val="18"/>
                <w:color w:val="auto"/>
              </w:rPr>
            </w:pPr>
          </w:p>
        </w:tc>
      </w:tr>
      <w:tr>
        <w:trPr>
          <w:trHeight w:val="230"/>
        </w:trPr>
        <w:tc>
          <w:tcPr>
            <w:tcW w:w="72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14,652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14,510</w:t>
            </w:r>
          </w:p>
        </w:tc>
      </w:tr>
      <w:tr>
        <w:trPr>
          <w:trHeight w:val="223"/>
        </w:trPr>
        <w:tc>
          <w:tcPr>
            <w:tcW w:w="7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Total deficit</w:t>
            </w:r>
          </w:p>
        </w:tc>
        <w:tc>
          <w:tcPr>
            <w:tcW w:w="2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(7,964)</w:t>
            </w:r>
          </w:p>
        </w:tc>
        <w:tc>
          <w:tcPr>
            <w:tcW w:w="2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(7,302)</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80" w:type="dxa"/>
            <w:vAlign w:val="bottom"/>
            <w:gridSpan w:val="6"/>
          </w:tcPr>
          <w:p>
            <w:pPr>
              <w:ind w:left="480"/>
              <w:spacing w:after="0"/>
              <w:rPr>
                <w:sz w:val="20"/>
                <w:szCs w:val="20"/>
                <w:color w:val="auto"/>
              </w:rPr>
            </w:pPr>
            <w:r>
              <w:rPr>
                <w:rFonts w:ascii="Arial" w:cs="Arial" w:eastAsia="Arial" w:hAnsi="Arial"/>
                <w:sz w:val="18"/>
                <w:szCs w:val="18"/>
                <w:b w:val="1"/>
                <w:bCs w:val="1"/>
                <w:color w:val="auto"/>
              </w:rPr>
              <w:t>Nine Months Ended</w:t>
            </w:r>
          </w:p>
        </w:tc>
      </w:tr>
      <w:tr>
        <w:trPr>
          <w:trHeight w:val="191"/>
        </w:trPr>
        <w:tc>
          <w:tcPr>
            <w:tcW w:w="7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80"/>
              <w:spacing w:after="0" w:line="191" w:lineRule="exact"/>
              <w:rPr>
                <w:sz w:val="20"/>
                <w:szCs w:val="20"/>
                <w:color w:val="auto"/>
              </w:rPr>
            </w:pPr>
            <w:r>
              <w:rPr>
                <w:rFonts w:ascii="Arial" w:cs="Arial" w:eastAsia="Arial" w:hAnsi="Arial"/>
                <w:sz w:val="18"/>
                <w:szCs w:val="18"/>
                <w:b w:val="1"/>
                <w:bCs w:val="1"/>
                <w:color w:val="auto"/>
              </w:rPr>
              <w:t>September</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150"/>
              <w:spacing w:after="0" w:line="191" w:lineRule="exact"/>
              <w:rPr>
                <w:sz w:val="20"/>
                <w:szCs w:val="20"/>
                <w:color w:val="auto"/>
              </w:rPr>
            </w:pPr>
            <w:r>
              <w:rPr>
                <w:rFonts w:ascii="Arial" w:cs="Arial" w:eastAsia="Arial" w:hAnsi="Arial"/>
                <w:sz w:val="18"/>
                <w:szCs w:val="18"/>
                <w:b w:val="1"/>
                <w:bCs w:val="1"/>
                <w:color w:val="auto"/>
                <w:w w:val="96"/>
              </w:rPr>
              <w:t>September</w:t>
            </w:r>
          </w:p>
        </w:tc>
        <w:tc>
          <w:tcPr>
            <w:tcW w:w="100" w:type="dxa"/>
            <w:vAlign w:val="bottom"/>
          </w:tcPr>
          <w:p>
            <w:pPr>
              <w:spacing w:after="0"/>
              <w:rPr>
                <w:sz w:val="16"/>
                <w:szCs w:val="16"/>
                <w:color w:val="auto"/>
              </w:rPr>
            </w:pPr>
          </w:p>
        </w:tc>
      </w:tr>
      <w:tr>
        <w:trPr>
          <w:trHeight w:val="234"/>
        </w:trPr>
        <w:tc>
          <w:tcPr>
            <w:tcW w:w="7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Statements of Operations - Print Direction, Inc.</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30, 2015</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30, 2014</w:t>
            </w:r>
          </w:p>
        </w:tc>
        <w:tc>
          <w:tcPr>
            <w:tcW w:w="100" w:type="dxa"/>
            <w:vAlign w:val="bottom"/>
            <w:tcBorders>
              <w:bottom w:val="single" w:sz="8" w:color="CCEEFF"/>
            </w:tcBorders>
          </w:tcPr>
          <w:p>
            <w:pPr>
              <w:spacing w:after="0"/>
              <w:rPr>
                <w:sz w:val="20"/>
                <w:szCs w:val="20"/>
                <w:color w:val="auto"/>
              </w:rPr>
            </w:pP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16,763</w:t>
            </w:r>
          </w:p>
        </w:tc>
        <w:tc>
          <w:tcPr>
            <w:tcW w:w="100" w:type="dxa"/>
            <w:vAlign w:val="bottom"/>
            <w:shd w:val="clear" w:color="auto" w:fill="CCEEFF"/>
          </w:tcPr>
          <w:p>
            <w:pPr>
              <w:spacing w:after="0"/>
              <w:rPr>
                <w:sz w:val="18"/>
                <w:szCs w:val="18"/>
                <w:color w:val="auto"/>
              </w:rPr>
            </w:pPr>
          </w:p>
        </w:tc>
      </w:tr>
      <w:tr>
        <w:trPr>
          <w:trHeight w:val="230"/>
        </w:trPr>
        <w:tc>
          <w:tcPr>
            <w:tcW w:w="7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6,629</w:t>
            </w:r>
          </w:p>
        </w:tc>
        <w:tc>
          <w:tcPr>
            <w:tcW w:w="100" w:type="dxa"/>
            <w:vAlign w:val="bottom"/>
            <w:tcBorders>
              <w:bottom w:val="single" w:sz="8" w:color="CCEEFF"/>
            </w:tcBorders>
          </w:tcPr>
          <w:p>
            <w:pPr>
              <w:spacing w:after="0"/>
              <w:rPr>
                <w:sz w:val="19"/>
                <w:szCs w:val="19"/>
                <w:color w:val="auto"/>
              </w:rPr>
            </w:pP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10,134</w:t>
            </w: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0260"/>
          </w:cols>
          <w:pgMar w:left="580" w:top="908" w:right="105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Other expenses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Income (loss) before income taxes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Income tax provision (benefit)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income (loss)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Balance Sheet - Navis Holdings, Inc.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80" w:type="dxa"/>
            <w:vAlign w:val="bottom"/>
            <w:gridSpan w:val="2"/>
          </w:tcPr>
          <w:p>
            <w:pPr>
              <w:jc w:val="right"/>
              <w:ind w:right="350"/>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8,512</w:t>
            </w:r>
          </w:p>
        </w:tc>
        <w:tc>
          <w:tcPr>
            <w:tcW w:w="200" w:type="dxa"/>
            <w:vAlign w:val="bottom"/>
          </w:tcPr>
          <w:p>
            <w:pPr>
              <w:spacing w:after="0"/>
              <w:rPr>
                <w:sz w:val="18"/>
                <w:szCs w:val="18"/>
                <w:color w:val="auto"/>
              </w:rPr>
            </w:pPr>
          </w:p>
        </w:tc>
        <w:tc>
          <w:tcPr>
            <w:tcW w:w="500" w:type="dxa"/>
            <w:vAlign w:val="bottom"/>
            <w:gridSpan w:val="2"/>
          </w:tcPr>
          <w:p>
            <w:pPr>
              <w:jc w:val="right"/>
              <w:ind w:right="37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9,997</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(1,149)</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44"/>
        </w:trPr>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(483)</w:t>
            </w: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23"/>
        </w:trPr>
        <w:tc>
          <w:tcPr>
            <w:tcW w:w="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r>
      <w:tr>
        <w:trPr>
          <w:trHeight w:val="20"/>
        </w:trPr>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-4639945</wp:posOffset>
            </wp:positionH>
            <wp:positionV relativeFrom="paragraph">
              <wp:posOffset>-599440</wp:posOffset>
            </wp:positionV>
            <wp:extent cx="651764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-4639945</wp:posOffset>
            </wp:positionH>
            <wp:positionV relativeFrom="paragraph">
              <wp:posOffset>-325120</wp:posOffset>
            </wp:positionV>
            <wp:extent cx="6517640" cy="146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As of</w:t>
            </w:r>
          </w:p>
        </w:tc>
      </w:tr>
      <w:tr>
        <w:trPr>
          <w:trHeight w:val="191"/>
        </w:trPr>
        <w:tc>
          <w:tcPr>
            <w:tcW w:w="1160" w:type="dxa"/>
            <w:vAlign w:val="bottom"/>
          </w:tcPr>
          <w:p>
            <w:pPr>
              <w:jc w:val="center"/>
              <w:ind w:left="90"/>
              <w:spacing w:after="0" w:line="191" w:lineRule="exact"/>
              <w:rPr>
                <w:sz w:val="20"/>
                <w:szCs w:val="20"/>
                <w:color w:val="auto"/>
              </w:rPr>
            </w:pPr>
            <w:r>
              <w:rPr>
                <w:rFonts w:ascii="Arial" w:cs="Arial" w:eastAsia="Arial" w:hAnsi="Arial"/>
                <w:sz w:val="18"/>
                <w:szCs w:val="18"/>
                <w:b w:val="1"/>
                <w:bCs w:val="1"/>
                <w:color w:val="auto"/>
                <w:w w:val="88"/>
              </w:rPr>
              <w:t>September</w:t>
            </w:r>
          </w:p>
        </w:tc>
        <w:tc>
          <w:tcPr>
            <w:tcW w:w="1700" w:type="dxa"/>
            <w:vAlign w:val="bottom"/>
          </w:tcPr>
          <w:p>
            <w:pPr>
              <w:jc w:val="center"/>
              <w:ind w:left="290"/>
              <w:spacing w:after="0" w:line="191" w:lineRule="exact"/>
              <w:rPr>
                <w:sz w:val="20"/>
                <w:szCs w:val="20"/>
                <w:color w:val="auto"/>
              </w:rPr>
            </w:pPr>
            <w:r>
              <w:rPr>
                <w:rFonts w:ascii="Arial" w:cs="Arial" w:eastAsia="Arial" w:hAnsi="Arial"/>
                <w:sz w:val="18"/>
                <w:szCs w:val="18"/>
                <w:b w:val="1"/>
                <w:bCs w:val="1"/>
                <w:color w:val="auto"/>
                <w:w w:val="87"/>
              </w:rPr>
              <w:t>December</w:t>
            </w:r>
          </w:p>
        </w:tc>
      </w:tr>
      <w:tr>
        <w:trPr>
          <w:trHeight w:val="232"/>
        </w:trPr>
        <w:tc>
          <w:tcPr>
            <w:tcW w:w="1160" w:type="dxa"/>
            <w:vAlign w:val="bottom"/>
          </w:tcPr>
          <w:p>
            <w:pPr>
              <w:jc w:val="right"/>
              <w:ind w:right="90"/>
              <w:spacing w:after="0"/>
              <w:rPr>
                <w:sz w:val="20"/>
                <w:szCs w:val="20"/>
                <w:color w:val="auto"/>
              </w:rPr>
            </w:pPr>
            <w:r>
              <w:rPr>
                <w:rFonts w:ascii="Arial" w:cs="Arial" w:eastAsia="Arial" w:hAnsi="Arial"/>
                <w:sz w:val="18"/>
                <w:szCs w:val="18"/>
                <w:b w:val="1"/>
                <w:bCs w:val="1"/>
                <w:color w:val="auto"/>
              </w:rPr>
              <w:t>30, 2015</w:t>
            </w:r>
          </w:p>
        </w:tc>
        <w:tc>
          <w:tcPr>
            <w:tcW w:w="1700" w:type="dxa"/>
            <w:vAlign w:val="bottom"/>
          </w:tcPr>
          <w:p>
            <w:pPr>
              <w:jc w:val="right"/>
              <w:ind w:right="250"/>
              <w:spacing w:after="0"/>
              <w:rPr>
                <w:sz w:val="20"/>
                <w:szCs w:val="20"/>
                <w:color w:val="auto"/>
              </w:rPr>
            </w:pPr>
            <w:r>
              <w:rPr>
                <w:rFonts w:ascii="Arial" w:cs="Arial" w:eastAsia="Arial" w:hAnsi="Arial"/>
                <w:sz w:val="18"/>
                <w:szCs w:val="18"/>
                <w:b w:val="1"/>
                <w:bCs w:val="1"/>
                <w:color w:val="auto"/>
              </w:rPr>
              <w:t>31, 2014</w:t>
            </w:r>
          </w:p>
        </w:tc>
      </w:tr>
    </w:tbl>
    <w:p>
      <w:pPr>
        <w:spacing w:after="0" w:line="20" w:lineRule="exact"/>
        <w:rPr>
          <w:sz w:val="20"/>
          <w:szCs w:val="20"/>
          <w:color w:val="auto"/>
        </w:rPr>
      </w:pPr>
    </w:p>
    <w:p>
      <w:pPr>
        <w:sectPr>
          <w:pgSz w:w="11900" w:h="16838" w:orient="portrait"/>
          <w:cols w:equalWidth="0" w:num="2">
            <w:col w:w="6580" w:space="720"/>
            <w:col w:w="2960"/>
          </w:cols>
          <w:pgMar w:left="580" w:top="908" w:right="105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7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92"/>
        </w:trPr>
        <w:tc>
          <w:tcPr>
            <w:tcW w:w="720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Current assets</w:t>
            </w:r>
          </w:p>
        </w:tc>
        <w:tc>
          <w:tcPr>
            <w:tcW w:w="280" w:type="dxa"/>
            <w:vAlign w:val="bottom"/>
            <w:gridSpan w:val="2"/>
            <w:shd w:val="clear" w:color="auto" w:fill="CCEEFF"/>
          </w:tcPr>
          <w:p>
            <w:pPr>
              <w:jc w:val="right"/>
              <w:ind w:right="25"/>
              <w:spacing w:after="0" w:line="19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5,762</w:t>
            </w:r>
          </w:p>
        </w:tc>
        <w:tc>
          <w:tcPr>
            <w:tcW w:w="22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180" w:type="dxa"/>
            <w:vAlign w:val="bottom"/>
            <w:tcBorders>
              <w:right w:val="single" w:sz="8" w:color="CCEEFF"/>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4,818</w:t>
            </w:r>
          </w:p>
        </w:tc>
        <w:tc>
          <w:tcPr>
            <w:tcW w:w="80" w:type="dxa"/>
            <w:vAlign w:val="bottom"/>
            <w:shd w:val="clear" w:color="auto" w:fill="CCEEFF"/>
          </w:tcPr>
          <w:p>
            <w:pPr>
              <w:spacing w:after="0"/>
              <w:rPr>
                <w:sz w:val="16"/>
                <w:szCs w:val="16"/>
                <w:color w:val="auto"/>
              </w:rPr>
            </w:pPr>
          </w:p>
        </w:tc>
      </w:tr>
      <w:tr>
        <w:trPr>
          <w:trHeight w:val="230"/>
        </w:trPr>
        <w:tc>
          <w:tcPr>
            <w:tcW w:w="7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Noncurrent assets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4,039</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5,002</w:t>
            </w:r>
          </w:p>
        </w:tc>
        <w:tc>
          <w:tcPr>
            <w:tcW w:w="80" w:type="dxa"/>
            <w:vAlign w:val="bottom"/>
            <w:tcBorders>
              <w:bottom w:val="single" w:sz="8" w:color="CCEEFF"/>
            </w:tcBorders>
          </w:tcPr>
          <w:p>
            <w:pPr>
              <w:spacing w:after="0"/>
              <w:rPr>
                <w:sz w:val="19"/>
                <w:szCs w:val="19"/>
                <w:color w:val="auto"/>
              </w:rPr>
            </w:pPr>
          </w:p>
        </w:tc>
      </w:tr>
      <w:tr>
        <w:trPr>
          <w:trHeight w:val="223"/>
        </w:trPr>
        <w:tc>
          <w:tcPr>
            <w:tcW w:w="7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9,801</w:t>
            </w:r>
          </w:p>
        </w:tc>
        <w:tc>
          <w:tcPr>
            <w:tcW w:w="220" w:type="dxa"/>
            <w:vAlign w:val="bottom"/>
            <w:tcBorders>
              <w:bottom w:val="single" w:sz="8" w:color="CCEEFF"/>
              <w:right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9,820</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7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7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3,179</w:t>
            </w:r>
          </w:p>
        </w:tc>
        <w:tc>
          <w:tcPr>
            <w:tcW w:w="80" w:type="dxa"/>
            <w:vAlign w:val="bottom"/>
            <w:shd w:val="clear" w:color="auto" w:fill="CCEEFF"/>
          </w:tcPr>
          <w:p>
            <w:pPr>
              <w:spacing w:after="0"/>
              <w:rPr>
                <w:sz w:val="18"/>
                <w:szCs w:val="18"/>
                <w:color w:val="auto"/>
              </w:rPr>
            </w:pPr>
          </w:p>
        </w:tc>
      </w:tr>
      <w:tr>
        <w:trPr>
          <w:trHeight w:val="230"/>
        </w:trPr>
        <w:tc>
          <w:tcPr>
            <w:tcW w:w="7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6,913</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6,921</w:t>
            </w:r>
          </w:p>
        </w:tc>
        <w:tc>
          <w:tcPr>
            <w:tcW w:w="80" w:type="dxa"/>
            <w:vAlign w:val="bottom"/>
            <w:tcBorders>
              <w:bottom w:val="single" w:sz="8" w:color="CCEEFF"/>
            </w:tcBorders>
          </w:tcPr>
          <w:p>
            <w:pPr>
              <w:spacing w:after="0"/>
              <w:rPr>
                <w:sz w:val="19"/>
                <w:szCs w:val="19"/>
                <w:color w:val="auto"/>
              </w:rPr>
            </w:pPr>
          </w:p>
        </w:tc>
      </w:tr>
      <w:tr>
        <w:trPr>
          <w:trHeight w:val="223"/>
        </w:trPr>
        <w:tc>
          <w:tcPr>
            <w:tcW w:w="7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9,613</w:t>
            </w:r>
          </w:p>
        </w:tc>
        <w:tc>
          <w:tcPr>
            <w:tcW w:w="220" w:type="dxa"/>
            <w:vAlign w:val="bottom"/>
            <w:tcBorders>
              <w:bottom w:val="single" w:sz="8" w:color="CCEEFF"/>
              <w:right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10,100</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7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7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3"/>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Total equity/(deficit)</w:t>
            </w:r>
          </w:p>
        </w:tc>
        <w:tc>
          <w:tcPr>
            <w:tcW w:w="2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426"/>
        </w:trPr>
        <w:tc>
          <w:tcPr>
            <w:tcW w:w="7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8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Nine Months Ended</w:t>
            </w:r>
          </w:p>
        </w:tc>
      </w:tr>
      <w:tr>
        <w:trPr>
          <w:trHeight w:val="191"/>
        </w:trPr>
        <w:tc>
          <w:tcPr>
            <w:tcW w:w="7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jc w:val="right"/>
              <w:ind w:right="480"/>
              <w:spacing w:after="0" w:line="191" w:lineRule="exact"/>
              <w:rPr>
                <w:sz w:val="20"/>
                <w:szCs w:val="20"/>
                <w:color w:val="auto"/>
              </w:rPr>
            </w:pPr>
            <w:r>
              <w:rPr>
                <w:rFonts w:ascii="Arial" w:cs="Arial" w:eastAsia="Arial" w:hAnsi="Arial"/>
                <w:sz w:val="18"/>
                <w:szCs w:val="18"/>
                <w:b w:val="1"/>
                <w:bCs w:val="1"/>
                <w:color w:val="auto"/>
                <w:w w:val="94"/>
              </w:rPr>
              <w:t>September</w:t>
            </w: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170"/>
              <w:spacing w:after="0" w:line="191" w:lineRule="exact"/>
              <w:rPr>
                <w:sz w:val="20"/>
                <w:szCs w:val="20"/>
                <w:color w:val="auto"/>
              </w:rPr>
            </w:pPr>
            <w:r>
              <w:rPr>
                <w:rFonts w:ascii="Arial" w:cs="Arial" w:eastAsia="Arial" w:hAnsi="Arial"/>
                <w:sz w:val="18"/>
                <w:szCs w:val="18"/>
                <w:b w:val="1"/>
                <w:bCs w:val="1"/>
                <w:color w:val="auto"/>
                <w:w w:val="96"/>
              </w:rPr>
              <w:t>September</w:t>
            </w:r>
          </w:p>
        </w:tc>
        <w:tc>
          <w:tcPr>
            <w:tcW w:w="80" w:type="dxa"/>
            <w:vAlign w:val="bottom"/>
          </w:tcPr>
          <w:p>
            <w:pPr>
              <w:spacing w:after="0"/>
              <w:rPr>
                <w:sz w:val="16"/>
                <w:szCs w:val="16"/>
                <w:color w:val="auto"/>
              </w:rPr>
            </w:pPr>
          </w:p>
        </w:tc>
      </w:tr>
      <w:tr>
        <w:trPr>
          <w:trHeight w:val="234"/>
        </w:trPr>
        <w:tc>
          <w:tcPr>
            <w:tcW w:w="7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Statements of Operations - Navis Holdings, Inc.</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30, 2015</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30, 2014</w:t>
            </w:r>
          </w:p>
        </w:tc>
        <w:tc>
          <w:tcPr>
            <w:tcW w:w="80" w:type="dxa"/>
            <w:vAlign w:val="bottom"/>
            <w:tcBorders>
              <w:bottom w:val="single" w:sz="8" w:color="CCEEFF"/>
            </w:tcBorders>
          </w:tcPr>
          <w:p>
            <w:pPr>
              <w:spacing w:after="0"/>
              <w:rPr>
                <w:sz w:val="20"/>
                <w:szCs w:val="20"/>
                <w:color w:val="auto"/>
              </w:rPr>
            </w:pP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13,065</w:t>
            </w: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10,642</w:t>
            </w:r>
          </w:p>
        </w:tc>
        <w:tc>
          <w:tcPr>
            <w:tcW w:w="80" w:type="dxa"/>
            <w:vAlign w:val="bottom"/>
            <w:shd w:val="clear" w:color="auto" w:fill="CCEEFF"/>
          </w:tcPr>
          <w:p>
            <w:pPr>
              <w:spacing w:after="0"/>
              <w:rPr>
                <w:sz w:val="18"/>
                <w:szCs w:val="18"/>
                <w:color w:val="auto"/>
              </w:rPr>
            </w:pPr>
          </w:p>
        </w:tc>
      </w:tr>
      <w:tr>
        <w:trPr>
          <w:trHeight w:val="230"/>
        </w:trPr>
        <w:tc>
          <w:tcPr>
            <w:tcW w:w="7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8,329</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6,630</w:t>
            </w:r>
          </w:p>
        </w:tc>
        <w:tc>
          <w:tcPr>
            <w:tcW w:w="80" w:type="dxa"/>
            <w:vAlign w:val="bottom"/>
            <w:tcBorders>
              <w:bottom w:val="single" w:sz="8" w:color="CCEEFF"/>
            </w:tcBorders>
          </w:tcPr>
          <w:p>
            <w:pPr>
              <w:spacing w:after="0"/>
              <w:rPr>
                <w:sz w:val="19"/>
                <w:szCs w:val="19"/>
                <w:color w:val="auto"/>
              </w:rPr>
            </w:pP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4,736</w:t>
            </w: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4,012</w:t>
            </w:r>
          </w:p>
        </w:tc>
        <w:tc>
          <w:tcPr>
            <w:tcW w:w="80" w:type="dxa"/>
            <w:vAlign w:val="bottom"/>
            <w:shd w:val="clear" w:color="auto" w:fill="CCEEFF"/>
          </w:tcPr>
          <w:p>
            <w:pPr>
              <w:spacing w:after="0"/>
              <w:rPr>
                <w:sz w:val="18"/>
                <w:szCs w:val="18"/>
                <w:color w:val="auto"/>
              </w:rPr>
            </w:pPr>
          </w:p>
        </w:tc>
      </w:tr>
      <w:tr>
        <w:trPr>
          <w:trHeight w:val="210"/>
        </w:trPr>
        <w:tc>
          <w:tcPr>
            <w:tcW w:w="7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2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3,978</w:t>
            </w: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3,713</w:t>
            </w:r>
          </w:p>
        </w:tc>
        <w:tc>
          <w:tcPr>
            <w:tcW w:w="80" w:type="dxa"/>
            <w:vAlign w:val="bottom"/>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758</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299</w:t>
            </w:r>
          </w:p>
        </w:tc>
        <w:tc>
          <w:tcPr>
            <w:tcW w:w="80" w:type="dxa"/>
            <w:vAlign w:val="bottom"/>
          </w:tcPr>
          <w:p>
            <w:pPr>
              <w:spacing w:after="0"/>
              <w:rPr>
                <w:sz w:val="18"/>
                <w:szCs w:val="18"/>
                <w:color w:val="auto"/>
              </w:rPr>
            </w:pPr>
          </w:p>
        </w:tc>
      </w:tr>
      <w:tr>
        <w:trPr>
          <w:trHeight w:val="23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w:t>
            </w:r>
          </w:p>
        </w:tc>
        <w:tc>
          <w:tcPr>
            <w:tcW w:w="140" w:type="dxa"/>
            <w:vAlign w:val="bottom"/>
            <w:shd w:val="clear" w:color="auto" w:fill="CCEEFF"/>
          </w:tcPr>
          <w:p>
            <w:pPr>
              <w:spacing w:after="0"/>
              <w:rPr>
                <w:sz w:val="19"/>
                <w:szCs w:val="19"/>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CEEFF"/>
          </w:tcPr>
          <w:p>
            <w:pPr>
              <w:spacing w:after="0"/>
              <w:rPr>
                <w:sz w:val="19"/>
                <w:szCs w:val="19"/>
                <w:color w:val="auto"/>
              </w:rPr>
            </w:pPr>
          </w:p>
        </w:tc>
      </w:tr>
      <w:tr>
        <w:trPr>
          <w:trHeight w:val="223"/>
        </w:trPr>
        <w:tc>
          <w:tcPr>
            <w:tcW w:w="720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80" w:type="dxa"/>
            <w:vAlign w:val="bottom"/>
          </w:tcPr>
          <w:p>
            <w:pPr>
              <w:spacing w:after="0"/>
              <w:rPr>
                <w:sz w:val="19"/>
                <w:szCs w:val="19"/>
                <w:color w:val="auto"/>
              </w:rPr>
            </w:pPr>
          </w:p>
        </w:tc>
      </w:tr>
      <w:tr>
        <w:trPr>
          <w:trHeight w:val="20"/>
        </w:trPr>
        <w:tc>
          <w:tcPr>
            <w:tcW w:w="7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47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7620</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60"/>
          </w:cols>
          <w:pgMar w:left="580" w:top="908" w:right="1059" w:bottom="1440" w:gutter="0" w:footer="0" w:header="0"/>
          <w:type w:val="continuous"/>
        </w:sectPr>
      </w:pPr>
    </w:p>
    <w:bookmarkStart w:id="36" w:name="page37"/>
    <w:bookmarkEnd w:id="36"/>
    <w:tbl>
      <w:tblPr>
        <w:tblLayout w:type="fixed"/>
        <w:tblInd w:w="34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8"/>
                <w:szCs w:val="18"/>
                <w:b w:val="1"/>
                <w:bCs w:val="1"/>
                <w:color w:val="auto"/>
              </w:rPr>
              <w:t>As of</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7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ind w:left="80"/>
              <w:spacing w:after="0" w:line="191" w:lineRule="exact"/>
              <w:rPr>
                <w:sz w:val="20"/>
                <w:szCs w:val="20"/>
                <w:color w:val="auto"/>
              </w:rPr>
            </w:pPr>
            <w:r>
              <w:rPr>
                <w:rFonts w:ascii="Arial" w:cs="Arial" w:eastAsia="Arial" w:hAnsi="Arial"/>
                <w:sz w:val="18"/>
                <w:szCs w:val="18"/>
                <w:b w:val="1"/>
                <w:bCs w:val="1"/>
                <w:color w:val="auto"/>
              </w:rPr>
              <w:t>September</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190"/>
              <w:spacing w:after="0" w:line="191" w:lineRule="exact"/>
              <w:rPr>
                <w:sz w:val="20"/>
                <w:szCs w:val="20"/>
                <w:color w:val="auto"/>
              </w:rPr>
            </w:pPr>
            <w:r>
              <w:rPr>
                <w:rFonts w:ascii="Arial" w:cs="Arial" w:eastAsia="Arial" w:hAnsi="Arial"/>
                <w:sz w:val="18"/>
                <w:szCs w:val="18"/>
                <w:b w:val="1"/>
                <w:bCs w:val="1"/>
                <w:color w:val="auto"/>
                <w:w w:val="96"/>
              </w:rPr>
              <w:t>December</w:t>
            </w:r>
          </w:p>
        </w:tc>
        <w:tc>
          <w:tcPr>
            <w:tcW w:w="100" w:type="dxa"/>
            <w:vAlign w:val="bottom"/>
          </w:tcPr>
          <w:p>
            <w:pPr>
              <w:spacing w:after="0"/>
              <w:rPr>
                <w:sz w:val="16"/>
                <w:szCs w:val="16"/>
                <w:color w:val="auto"/>
              </w:rPr>
            </w:pPr>
          </w:p>
        </w:tc>
      </w:tr>
      <w:tr>
        <w:trPr>
          <w:trHeight w:val="234"/>
        </w:trPr>
        <w:tc>
          <w:tcPr>
            <w:tcW w:w="7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Sheet - On-Site Fuel Service, Inc.</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30, 2015</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31,2014</w:t>
            </w:r>
          </w:p>
        </w:tc>
        <w:tc>
          <w:tcPr>
            <w:tcW w:w="100" w:type="dxa"/>
            <w:vAlign w:val="bottom"/>
            <w:tcBorders>
              <w:bottom w:val="single" w:sz="8" w:color="CCEEFF"/>
            </w:tcBorders>
          </w:tcPr>
          <w:p>
            <w:pPr>
              <w:spacing w:after="0"/>
              <w:rPr>
                <w:sz w:val="20"/>
                <w:szCs w:val="20"/>
                <w:color w:val="auto"/>
              </w:rPr>
            </w:pP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ind w:left="680"/>
              <w:spacing w:after="0"/>
              <w:rPr>
                <w:sz w:val="20"/>
                <w:szCs w:val="20"/>
                <w:color w:val="auto"/>
              </w:rPr>
            </w:pPr>
            <w:r>
              <w:rPr>
                <w:rFonts w:ascii="Arial" w:cs="Arial" w:eastAsia="Arial" w:hAnsi="Arial"/>
                <w:sz w:val="18"/>
                <w:szCs w:val="18"/>
                <w:color w:val="auto"/>
                <w:w w:val="83"/>
              </w:rPr>
              <w:t>11,006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13,021</w:t>
            </w:r>
          </w:p>
        </w:tc>
        <w:tc>
          <w:tcPr>
            <w:tcW w:w="100" w:type="dxa"/>
            <w:vAlign w:val="bottom"/>
            <w:shd w:val="clear" w:color="auto" w:fill="CCEEFF"/>
          </w:tcPr>
          <w:p>
            <w:pPr>
              <w:spacing w:after="0"/>
              <w:rPr>
                <w:sz w:val="18"/>
                <w:szCs w:val="18"/>
                <w:color w:val="auto"/>
              </w:rPr>
            </w:pPr>
          </w:p>
        </w:tc>
      </w:tr>
      <w:tr>
        <w:trPr>
          <w:trHeight w:val="230"/>
        </w:trPr>
        <w:tc>
          <w:tcPr>
            <w:tcW w:w="7200" w:type="dxa"/>
            <w:vAlign w:val="bottom"/>
          </w:tcPr>
          <w:p>
            <w:pPr>
              <w:spacing w:after="0"/>
              <w:rPr>
                <w:sz w:val="20"/>
                <w:szCs w:val="20"/>
                <w:color w:val="auto"/>
              </w:rPr>
            </w:pPr>
            <w:r>
              <w:rPr>
                <w:rFonts w:ascii="Arial" w:cs="Arial" w:eastAsia="Arial" w:hAnsi="Arial"/>
                <w:sz w:val="18"/>
                <w:szCs w:val="18"/>
                <w:color w:val="auto"/>
              </w:rPr>
              <w:t>Noncurrent assets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ind w:left="680"/>
              <w:spacing w:after="0"/>
              <w:rPr>
                <w:sz w:val="20"/>
                <w:szCs w:val="20"/>
                <w:color w:val="auto"/>
              </w:rPr>
            </w:pPr>
            <w:r>
              <w:rPr>
                <w:rFonts w:ascii="Arial" w:cs="Arial" w:eastAsia="Arial" w:hAnsi="Arial"/>
                <w:sz w:val="18"/>
                <w:szCs w:val="18"/>
                <w:color w:val="auto"/>
              </w:rPr>
              <w:t>17,918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18,464</w:t>
            </w:r>
          </w:p>
        </w:tc>
      </w:tr>
      <w:tr>
        <w:trPr>
          <w:trHeight w:val="223"/>
        </w:trPr>
        <w:tc>
          <w:tcPr>
            <w:tcW w:w="7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83"/>
              </w:rPr>
              <w:t>28,924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10,309</w:t>
            </w:r>
          </w:p>
        </w:tc>
        <w:tc>
          <w:tcPr>
            <w:tcW w:w="2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12,439</w:t>
            </w:r>
          </w:p>
        </w:tc>
      </w:tr>
      <w:tr>
        <w:trPr>
          <w:trHeight w:val="230"/>
        </w:trPr>
        <w:tc>
          <w:tcPr>
            <w:tcW w:w="72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ind w:left="680"/>
              <w:spacing w:after="0"/>
              <w:rPr>
                <w:sz w:val="20"/>
                <w:szCs w:val="20"/>
                <w:color w:val="auto"/>
              </w:rPr>
            </w:pPr>
            <w:r>
              <w:rPr>
                <w:rFonts w:ascii="Arial" w:cs="Arial" w:eastAsia="Arial" w:hAnsi="Arial"/>
                <w:sz w:val="18"/>
                <w:szCs w:val="18"/>
                <w:color w:val="auto"/>
              </w:rPr>
              <w:t>15,067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12,174</w:t>
            </w:r>
          </w:p>
        </w:tc>
      </w:tr>
      <w:tr>
        <w:trPr>
          <w:trHeight w:val="223"/>
        </w:trPr>
        <w:tc>
          <w:tcPr>
            <w:tcW w:w="7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83"/>
              </w:rPr>
              <w:t>25,376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2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ind w:left="760"/>
              <w:spacing w:after="0"/>
              <w:rPr>
                <w:sz w:val="20"/>
                <w:szCs w:val="20"/>
                <w:color w:val="auto"/>
              </w:rPr>
            </w:pPr>
            <w:r>
              <w:rPr>
                <w:rFonts w:ascii="Arial" w:cs="Arial" w:eastAsia="Arial" w:hAnsi="Arial"/>
                <w:sz w:val="18"/>
                <w:szCs w:val="18"/>
                <w:color w:val="auto"/>
                <w:w w:val="84"/>
              </w:rPr>
              <w:t>3,548</w:t>
            </w:r>
          </w:p>
        </w:tc>
        <w:tc>
          <w:tcPr>
            <w:tcW w:w="10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6,872</w:t>
            </w:r>
          </w:p>
        </w:tc>
        <w:tc>
          <w:tcPr>
            <w:tcW w:w="100" w:type="dxa"/>
            <w:vAlign w:val="bottom"/>
            <w:shd w:val="clear" w:color="auto" w:fill="CCEEFF"/>
          </w:tcPr>
          <w:p>
            <w:pPr>
              <w:spacing w:after="0"/>
              <w:rPr>
                <w:sz w:val="21"/>
                <w:szCs w:val="2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8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Nine Months Ended</w:t>
            </w:r>
          </w:p>
        </w:tc>
      </w:tr>
      <w:tr>
        <w:trPr>
          <w:trHeight w:val="191"/>
        </w:trPr>
        <w:tc>
          <w:tcPr>
            <w:tcW w:w="7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jc w:val="right"/>
              <w:ind w:right="380"/>
              <w:spacing w:after="0" w:line="191" w:lineRule="exact"/>
              <w:rPr>
                <w:sz w:val="20"/>
                <w:szCs w:val="20"/>
                <w:color w:val="auto"/>
              </w:rPr>
            </w:pPr>
            <w:r>
              <w:rPr>
                <w:rFonts w:ascii="Arial" w:cs="Arial" w:eastAsia="Arial" w:hAnsi="Arial"/>
                <w:sz w:val="18"/>
                <w:szCs w:val="18"/>
                <w:b w:val="1"/>
                <w:bCs w:val="1"/>
                <w:color w:val="auto"/>
                <w:w w:val="94"/>
              </w:rPr>
              <w:t>September</w:t>
            </w: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150"/>
              <w:spacing w:after="0" w:line="191" w:lineRule="exact"/>
              <w:rPr>
                <w:sz w:val="20"/>
                <w:szCs w:val="20"/>
                <w:color w:val="auto"/>
              </w:rPr>
            </w:pPr>
            <w:r>
              <w:rPr>
                <w:rFonts w:ascii="Arial" w:cs="Arial" w:eastAsia="Arial" w:hAnsi="Arial"/>
                <w:sz w:val="18"/>
                <w:szCs w:val="18"/>
                <w:b w:val="1"/>
                <w:bCs w:val="1"/>
                <w:color w:val="auto"/>
                <w:w w:val="96"/>
              </w:rPr>
              <w:t>September</w:t>
            </w:r>
          </w:p>
        </w:tc>
        <w:tc>
          <w:tcPr>
            <w:tcW w:w="100" w:type="dxa"/>
            <w:vAlign w:val="bottom"/>
          </w:tcPr>
          <w:p>
            <w:pPr>
              <w:spacing w:after="0"/>
              <w:rPr>
                <w:sz w:val="16"/>
                <w:szCs w:val="16"/>
                <w:color w:val="auto"/>
              </w:rPr>
            </w:pPr>
          </w:p>
        </w:tc>
      </w:tr>
      <w:tr>
        <w:trPr>
          <w:trHeight w:val="234"/>
        </w:trPr>
        <w:tc>
          <w:tcPr>
            <w:tcW w:w="7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Statements of Operations - On-Site Fuel Service, Inc.</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30, 2015</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30, 2014</w:t>
            </w:r>
          </w:p>
        </w:tc>
        <w:tc>
          <w:tcPr>
            <w:tcW w:w="100" w:type="dxa"/>
            <w:vAlign w:val="bottom"/>
            <w:tcBorders>
              <w:bottom w:val="single" w:sz="8" w:color="CCEEFF"/>
            </w:tcBorders>
          </w:tcPr>
          <w:p>
            <w:pPr>
              <w:spacing w:after="0"/>
              <w:rPr>
                <w:sz w:val="20"/>
                <w:szCs w:val="20"/>
                <w:color w:val="auto"/>
              </w:rPr>
            </w:pP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87,249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158,709</w:t>
            </w:r>
          </w:p>
        </w:tc>
        <w:tc>
          <w:tcPr>
            <w:tcW w:w="100" w:type="dxa"/>
            <w:vAlign w:val="bottom"/>
            <w:shd w:val="clear" w:color="auto" w:fill="CCEEFF"/>
          </w:tcPr>
          <w:p>
            <w:pPr>
              <w:spacing w:after="0"/>
              <w:rPr>
                <w:sz w:val="18"/>
                <w:szCs w:val="18"/>
                <w:color w:val="auto"/>
              </w:rPr>
            </w:pPr>
          </w:p>
        </w:tc>
      </w:tr>
      <w:tr>
        <w:trPr>
          <w:trHeight w:val="230"/>
        </w:trPr>
        <w:tc>
          <w:tcPr>
            <w:tcW w:w="7200" w:type="dxa"/>
            <w:vAlign w:val="bottom"/>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84,421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150,540</w:t>
            </w:r>
          </w:p>
        </w:tc>
        <w:tc>
          <w:tcPr>
            <w:tcW w:w="100" w:type="dxa"/>
            <w:vAlign w:val="bottom"/>
          </w:tcPr>
          <w:p>
            <w:pPr>
              <w:spacing w:after="0"/>
              <w:rPr>
                <w:sz w:val="19"/>
                <w:szCs w:val="19"/>
                <w:color w:val="auto"/>
              </w:rPr>
            </w:pPr>
          </w:p>
        </w:tc>
      </w:tr>
      <w:tr>
        <w:trPr>
          <w:trHeight w:val="210"/>
        </w:trPr>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2,828</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2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5,340</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9,548</w:t>
            </w:r>
          </w:p>
        </w:tc>
        <w:tc>
          <w:tcPr>
            <w:tcW w:w="100" w:type="dxa"/>
            <w:vAlign w:val="bottom"/>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(2,512)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(1,379)</w:t>
            </w:r>
          </w:p>
        </w:tc>
      </w:tr>
      <w:tr>
        <w:trPr>
          <w:trHeight w:val="23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23"/>
        </w:trPr>
        <w:tc>
          <w:tcPr>
            <w:tcW w:w="720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(2,512</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8"/>
                <w:szCs w:val="18"/>
                <w:b w:val="1"/>
                <w:bCs w:val="1"/>
                <w:color w:val="auto"/>
              </w:rPr>
              <w:t>As of</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7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w w:val="94"/>
              </w:rPr>
              <w:t>September</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190"/>
              <w:spacing w:after="0" w:line="191" w:lineRule="exact"/>
              <w:rPr>
                <w:sz w:val="20"/>
                <w:szCs w:val="20"/>
                <w:color w:val="auto"/>
              </w:rPr>
            </w:pPr>
            <w:r>
              <w:rPr>
                <w:rFonts w:ascii="Arial" w:cs="Arial" w:eastAsia="Arial" w:hAnsi="Arial"/>
                <w:sz w:val="18"/>
                <w:szCs w:val="18"/>
                <w:b w:val="1"/>
                <w:bCs w:val="1"/>
                <w:color w:val="auto"/>
                <w:w w:val="96"/>
              </w:rPr>
              <w:t>December</w:t>
            </w:r>
          </w:p>
        </w:tc>
        <w:tc>
          <w:tcPr>
            <w:tcW w:w="100" w:type="dxa"/>
            <w:vAlign w:val="bottom"/>
          </w:tcPr>
          <w:p>
            <w:pPr>
              <w:spacing w:after="0"/>
              <w:rPr>
                <w:sz w:val="16"/>
                <w:szCs w:val="16"/>
                <w:color w:val="auto"/>
              </w:rPr>
            </w:pPr>
          </w:p>
        </w:tc>
      </w:tr>
      <w:tr>
        <w:trPr>
          <w:trHeight w:val="234"/>
        </w:trPr>
        <w:tc>
          <w:tcPr>
            <w:tcW w:w="7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Sheet - CableOrganizer Acquisition, LLC</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30, 2015</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31,2014</w:t>
            </w:r>
          </w:p>
        </w:tc>
        <w:tc>
          <w:tcPr>
            <w:tcW w:w="100" w:type="dxa"/>
            <w:vAlign w:val="bottom"/>
            <w:tcBorders>
              <w:bottom w:val="single" w:sz="8" w:color="CCEEFF"/>
            </w:tcBorders>
          </w:tcPr>
          <w:p>
            <w:pPr>
              <w:spacing w:after="0"/>
              <w:rPr>
                <w:sz w:val="20"/>
                <w:szCs w:val="20"/>
                <w:color w:val="auto"/>
              </w:rPr>
            </w:pP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3,462</w:t>
            </w:r>
          </w:p>
        </w:tc>
        <w:tc>
          <w:tcPr>
            <w:tcW w:w="100" w:type="dxa"/>
            <w:vAlign w:val="bottom"/>
            <w:shd w:val="clear" w:color="auto" w:fill="CCEEFF"/>
          </w:tcPr>
          <w:p>
            <w:pPr>
              <w:spacing w:after="0"/>
              <w:rPr>
                <w:sz w:val="18"/>
                <w:szCs w:val="18"/>
                <w:color w:val="auto"/>
              </w:rPr>
            </w:pPr>
          </w:p>
        </w:tc>
      </w:tr>
      <w:tr>
        <w:trPr>
          <w:trHeight w:val="230"/>
        </w:trPr>
        <w:tc>
          <w:tcPr>
            <w:tcW w:w="7200" w:type="dxa"/>
            <w:vAlign w:val="bottom"/>
          </w:tcPr>
          <w:p>
            <w:pPr>
              <w:spacing w:after="0"/>
              <w:rPr>
                <w:sz w:val="20"/>
                <w:szCs w:val="20"/>
                <w:color w:val="auto"/>
              </w:rPr>
            </w:pPr>
            <w:r>
              <w:rPr>
                <w:rFonts w:ascii="Arial" w:cs="Arial" w:eastAsia="Arial" w:hAnsi="Arial"/>
                <w:sz w:val="18"/>
                <w:szCs w:val="18"/>
                <w:color w:val="auto"/>
              </w:rPr>
              <w:t>Noncurrent assets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12,390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12,433</w:t>
            </w:r>
          </w:p>
        </w:tc>
      </w:tr>
      <w:tr>
        <w:trPr>
          <w:trHeight w:val="223"/>
        </w:trPr>
        <w:tc>
          <w:tcPr>
            <w:tcW w:w="7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w:t>
            </w:r>
          </w:p>
        </w:tc>
        <w:tc>
          <w:tcPr>
            <w:tcW w:w="100" w:type="dxa"/>
            <w:vAlign w:val="bottom"/>
            <w:shd w:val="clear" w:color="auto" w:fill="CCEEFF"/>
          </w:tcPr>
          <w:p>
            <w:pPr>
              <w:spacing w:after="0"/>
              <w:rPr>
                <w:sz w:val="18"/>
                <w:szCs w:val="18"/>
                <w:color w:val="auto"/>
              </w:rPr>
            </w:pPr>
          </w:p>
        </w:tc>
      </w:tr>
      <w:tr>
        <w:trPr>
          <w:trHeight w:val="230"/>
        </w:trPr>
        <w:tc>
          <w:tcPr>
            <w:tcW w:w="72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11,162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10,837</w:t>
            </w:r>
          </w:p>
        </w:tc>
      </w:tr>
      <w:tr>
        <w:trPr>
          <w:trHeight w:val="223"/>
        </w:trPr>
        <w:tc>
          <w:tcPr>
            <w:tcW w:w="7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2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w:t>
            </w:r>
          </w:p>
        </w:tc>
        <w:tc>
          <w:tcPr>
            <w:tcW w:w="10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2,688</w:t>
            </w:r>
          </w:p>
        </w:tc>
        <w:tc>
          <w:tcPr>
            <w:tcW w:w="100" w:type="dxa"/>
            <w:vAlign w:val="bottom"/>
            <w:shd w:val="clear" w:color="auto" w:fill="CCEEFF"/>
          </w:tcPr>
          <w:p>
            <w:pPr>
              <w:spacing w:after="0"/>
              <w:rPr>
                <w:sz w:val="21"/>
                <w:szCs w:val="2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80" w:type="dxa"/>
            <w:vAlign w:val="bottom"/>
            <w:gridSpan w:val="7"/>
          </w:tcPr>
          <w:p>
            <w:pPr>
              <w:ind w:left="480"/>
              <w:spacing w:after="0"/>
              <w:rPr>
                <w:sz w:val="20"/>
                <w:szCs w:val="20"/>
                <w:color w:val="auto"/>
              </w:rPr>
            </w:pPr>
            <w:r>
              <w:rPr>
                <w:rFonts w:ascii="Arial" w:cs="Arial" w:eastAsia="Arial" w:hAnsi="Arial"/>
                <w:sz w:val="18"/>
                <w:szCs w:val="18"/>
                <w:b w:val="1"/>
                <w:bCs w:val="1"/>
                <w:color w:val="auto"/>
              </w:rPr>
              <w:t>Nine Months Ended</w:t>
            </w:r>
          </w:p>
        </w:tc>
      </w:tr>
      <w:tr>
        <w:trPr>
          <w:trHeight w:val="191"/>
        </w:trPr>
        <w:tc>
          <w:tcPr>
            <w:tcW w:w="7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jc w:val="right"/>
              <w:ind w:right="380"/>
              <w:spacing w:after="0" w:line="191" w:lineRule="exact"/>
              <w:rPr>
                <w:sz w:val="20"/>
                <w:szCs w:val="20"/>
                <w:color w:val="auto"/>
              </w:rPr>
            </w:pPr>
            <w:r>
              <w:rPr>
                <w:rFonts w:ascii="Arial" w:cs="Arial" w:eastAsia="Arial" w:hAnsi="Arial"/>
                <w:sz w:val="18"/>
                <w:szCs w:val="18"/>
                <w:b w:val="1"/>
                <w:bCs w:val="1"/>
                <w:color w:val="auto"/>
                <w:w w:val="94"/>
              </w:rPr>
              <w:t>September</w:t>
            </w: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150"/>
              <w:spacing w:after="0" w:line="191" w:lineRule="exact"/>
              <w:rPr>
                <w:sz w:val="20"/>
                <w:szCs w:val="20"/>
                <w:color w:val="auto"/>
              </w:rPr>
            </w:pPr>
            <w:r>
              <w:rPr>
                <w:rFonts w:ascii="Arial" w:cs="Arial" w:eastAsia="Arial" w:hAnsi="Arial"/>
                <w:sz w:val="18"/>
                <w:szCs w:val="18"/>
                <w:b w:val="1"/>
                <w:bCs w:val="1"/>
                <w:color w:val="auto"/>
                <w:w w:val="96"/>
              </w:rPr>
              <w:t>September</w:t>
            </w:r>
          </w:p>
        </w:tc>
        <w:tc>
          <w:tcPr>
            <w:tcW w:w="100" w:type="dxa"/>
            <w:vAlign w:val="bottom"/>
            <w:gridSpan w:val="2"/>
          </w:tcPr>
          <w:p>
            <w:pPr>
              <w:spacing w:after="0"/>
              <w:rPr>
                <w:sz w:val="16"/>
                <w:szCs w:val="16"/>
                <w:color w:val="auto"/>
              </w:rPr>
            </w:pPr>
          </w:p>
        </w:tc>
      </w:tr>
      <w:tr>
        <w:trPr>
          <w:trHeight w:val="234"/>
        </w:trPr>
        <w:tc>
          <w:tcPr>
            <w:tcW w:w="7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Statements of Operations - CableOrganizer Acquisition, LLC</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30, 2015</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30, 2014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7200" w:type="dxa"/>
            <w:vAlign w:val="bottom"/>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13,241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11,585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6,514</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7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2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6,673</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(159)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673</w:t>
            </w:r>
          </w:p>
        </w:tc>
        <w:tc>
          <w:tcPr>
            <w:tcW w:w="80" w:type="dxa"/>
            <w:vAlign w:val="bottom"/>
          </w:tcPr>
          <w:p>
            <w:pPr>
              <w:spacing w:after="0"/>
              <w:rPr>
                <w:sz w:val="18"/>
                <w:szCs w:val="18"/>
                <w:color w:val="auto"/>
              </w:rPr>
            </w:pPr>
          </w:p>
        </w:tc>
      </w:tr>
      <w:tr>
        <w:trPr>
          <w:trHeight w:val="23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200" w:type="dxa"/>
            <w:vAlign w:val="bottom"/>
          </w:tcPr>
          <w:p>
            <w:pPr>
              <w:spacing w:after="0"/>
              <w:rPr>
                <w:sz w:val="20"/>
                <w:szCs w:val="20"/>
                <w:color w:val="auto"/>
              </w:rPr>
            </w:pPr>
            <w:r>
              <w:rPr>
                <w:rFonts w:ascii="Arial" w:cs="Arial" w:eastAsia="Arial" w:hAnsi="Arial"/>
                <w:sz w:val="18"/>
                <w:szCs w:val="18"/>
                <w:color w:val="auto"/>
              </w:rPr>
              <w:t>Net income/(loss)</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Public Offering</w:t>
      </w:r>
    </w:p>
    <w:p>
      <w:pPr>
        <w:spacing w:after="0" w:line="229" w:lineRule="exact"/>
        <w:rPr>
          <w:sz w:val="20"/>
          <w:szCs w:val="20"/>
          <w:color w:val="auto"/>
        </w:rPr>
      </w:pPr>
    </w:p>
    <w:p>
      <w:pPr>
        <w:ind w:firstLine="881"/>
        <w:spacing w:after="0" w:line="308" w:lineRule="auto"/>
        <w:rPr>
          <w:sz w:val="20"/>
          <w:szCs w:val="20"/>
          <w:color w:val="auto"/>
        </w:rPr>
      </w:pPr>
      <w:r>
        <w:rPr>
          <w:rFonts w:ascii="Arial" w:cs="Arial" w:eastAsia="Arial" w:hAnsi="Arial"/>
          <w:sz w:val="17"/>
          <w:szCs w:val="17"/>
          <w:color w:val="auto"/>
        </w:rPr>
        <w:t>On April 13, 2015, the Company completed an underwritten offering of 3,500,000 shares of its common stock at a public offering price of $18.32 per share. The total proceeds received in the offering net of underwriting discounts and offering costs were approximately $61.7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Earnings Per Share</w:t>
      </w:r>
    </w:p>
    <w:p>
      <w:pPr>
        <w:spacing w:after="0" w:line="229" w:lineRule="exact"/>
        <w:rPr>
          <w:sz w:val="20"/>
          <w:szCs w:val="20"/>
          <w:color w:val="auto"/>
        </w:rPr>
      </w:pPr>
    </w:p>
    <w:p>
      <w:pPr>
        <w:ind w:right="300" w:firstLine="881"/>
        <w:spacing w:after="0" w:line="312" w:lineRule="auto"/>
        <w:rPr>
          <w:sz w:val="20"/>
          <w:szCs w:val="20"/>
          <w:color w:val="auto"/>
        </w:rPr>
      </w:pPr>
      <w:r>
        <w:rPr>
          <w:rFonts w:ascii="Arial" w:cs="Arial" w:eastAsia="Arial" w:hAnsi="Arial"/>
          <w:sz w:val="16"/>
          <w:szCs w:val="16"/>
          <w:color w:val="auto"/>
        </w:rPr>
        <w:t xml:space="preserve">In accordance with the provisions of ASC 260, </w:t>
      </w:r>
      <w:r>
        <w:rPr>
          <w:rFonts w:ascii="Arial" w:cs="Arial" w:eastAsia="Arial" w:hAnsi="Arial"/>
          <w:sz w:val="16"/>
          <w:szCs w:val="16"/>
          <w:i w:val="1"/>
          <w:iCs w:val="1"/>
          <w:color w:val="auto"/>
        </w:rPr>
        <w:t>Earnings per Share</w:t>
      </w:r>
      <w:r>
        <w:rPr>
          <w:rFonts w:ascii="Arial" w:cs="Arial" w:eastAsia="Arial" w:hAnsi="Arial"/>
          <w:sz w:val="16"/>
          <w:szCs w:val="16"/>
          <w:color w:val="auto"/>
        </w:rPr>
        <w:t>, basic earnings per share is computed by dividing earnings available to common shareholders by the weighted average number of shares outstanding during the period. Other potentially dilutive common shares, and the related impact to earnings, are considered when calculating earnings per share on a diluted basis. As of September 30, 2015, there were no dilutive shares.</w:t>
      </w: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18" w:right="279" w:bottom="858" w:gutter="0" w:footer="0" w:header="0"/>
        </w:sectPr>
      </w:pPr>
    </w:p>
    <w:bookmarkStart w:id="37" w:name="page38"/>
    <w:bookmarkEnd w:id="37"/>
    <w:p>
      <w:pPr>
        <w:jc w:val="both"/>
        <w:ind w:right="740" w:firstLine="881"/>
        <w:spacing w:after="0" w:line="342" w:lineRule="auto"/>
        <w:rPr>
          <w:sz w:val="20"/>
          <w:szCs w:val="20"/>
          <w:color w:val="auto"/>
        </w:rPr>
      </w:pPr>
      <w:r>
        <w:rPr>
          <w:rFonts w:ascii="Arial" w:cs="Arial" w:eastAsia="Arial" w:hAnsi="Arial"/>
          <w:sz w:val="16"/>
          <w:szCs w:val="16"/>
          <w:color w:val="auto"/>
        </w:rPr>
        <w:t>The following information sets forth the computation of the weighted average basic and diluted net increase in net assets per share from operations for the three and nine months ended September 30, 2015 and September 30, 2014 (dollars in thousands except share and per share data):</w:t>
      </w:r>
    </w:p>
    <w:p>
      <w:pPr>
        <w:spacing w:after="0" w:line="133"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w w:val="91"/>
              </w:rPr>
              <w:t>For the Three Months Ended</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gridSpan w:val="5"/>
          </w:tcPr>
          <w:p>
            <w:pPr>
              <w:ind w:left="20"/>
              <w:spacing w:after="0"/>
              <w:rPr>
                <w:sz w:val="20"/>
                <w:szCs w:val="20"/>
                <w:color w:val="auto"/>
              </w:rPr>
            </w:pPr>
            <w:r>
              <w:rPr>
                <w:rFonts w:ascii="Arial" w:cs="Arial" w:eastAsia="Arial" w:hAnsi="Arial"/>
                <w:sz w:val="18"/>
                <w:szCs w:val="18"/>
                <w:b w:val="1"/>
                <w:bCs w:val="1"/>
                <w:color w:val="auto"/>
              </w:rPr>
              <w:t>For the Nine Months Ended</w:t>
            </w:r>
          </w:p>
        </w:tc>
      </w:tr>
      <w:tr>
        <w:trPr>
          <w:trHeight w:val="191"/>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87"/>
              </w:rPr>
              <w:t>September 30,</w:t>
            </w:r>
          </w:p>
        </w:tc>
        <w:tc>
          <w:tcPr>
            <w:tcW w:w="180" w:type="dxa"/>
            <w:vAlign w:val="bottom"/>
          </w:tcPr>
          <w:p>
            <w:pPr>
              <w:spacing w:after="0"/>
              <w:rPr>
                <w:sz w:val="16"/>
                <w:szCs w:val="16"/>
                <w:color w:val="auto"/>
              </w:rPr>
            </w:pPr>
          </w:p>
        </w:tc>
        <w:tc>
          <w:tcPr>
            <w:tcW w:w="112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w w:val="87"/>
              </w:rPr>
              <w:t>September 30,</w:t>
            </w: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87"/>
              </w:rPr>
              <w:t>September 30,</w:t>
            </w:r>
          </w:p>
        </w:tc>
        <w:tc>
          <w:tcPr>
            <w:tcW w:w="100" w:type="dxa"/>
            <w:vAlign w:val="bottom"/>
          </w:tcPr>
          <w:p>
            <w:pPr>
              <w:spacing w:after="0"/>
              <w:rPr>
                <w:sz w:val="16"/>
                <w:szCs w:val="16"/>
                <w:color w:val="auto"/>
              </w:rPr>
            </w:pPr>
          </w:p>
        </w:tc>
      </w:tr>
      <w:tr>
        <w:trPr>
          <w:trHeight w:val="234"/>
        </w:trPr>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Basic and diluted</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20"/>
                <w:szCs w:val="20"/>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from operations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7,740</w:t>
            </w:r>
          </w:p>
        </w:tc>
        <w:tc>
          <w:tcPr>
            <w:tcW w:w="100" w:type="dxa"/>
            <w:vAlign w:val="bottom"/>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Weighted average common stock outstanding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16,088,979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12,974,420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15,018,537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12,974,420</w:t>
            </w:r>
          </w:p>
        </w:tc>
        <w:tc>
          <w:tcPr>
            <w:tcW w:w="100" w:type="dxa"/>
            <w:vAlign w:val="bottom"/>
          </w:tcPr>
          <w:p>
            <w:pPr>
              <w:spacing w:after="0"/>
              <w:rPr>
                <w:sz w:val="18"/>
                <w:szCs w:val="18"/>
                <w:color w:val="auto"/>
              </w:rPr>
            </w:pPr>
          </w:p>
        </w:tc>
      </w:tr>
      <w:tr>
        <w:trPr>
          <w:trHeight w:val="202"/>
        </w:trPr>
        <w:tc>
          <w:tcPr>
            <w:tcW w:w="4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Net increase in net assets per share from operations-basic and</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420" w:type="dxa"/>
            <w:vAlign w:val="bottom"/>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400" w:type="dxa"/>
            <w:vAlign w:val="bottom"/>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10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Distributions</w:t>
      </w:r>
    </w:p>
    <w:p>
      <w:pPr>
        <w:spacing w:after="0" w:line="229" w:lineRule="exact"/>
        <w:rPr>
          <w:sz w:val="20"/>
          <w:szCs w:val="20"/>
          <w:color w:val="auto"/>
        </w:rPr>
      </w:pPr>
    </w:p>
    <w:p>
      <w:pPr>
        <w:ind w:right="100" w:firstLine="881"/>
        <w:spacing w:after="0" w:line="277" w:lineRule="auto"/>
        <w:rPr>
          <w:sz w:val="20"/>
          <w:szCs w:val="20"/>
          <w:color w:val="auto"/>
        </w:rPr>
      </w:pPr>
      <w:r>
        <w:rPr>
          <w:rFonts w:ascii="Arial" w:cs="Arial" w:eastAsia="Arial" w:hAnsi="Arial"/>
          <w:sz w:val="18"/>
          <w:szCs w:val="18"/>
          <w:color w:val="auto"/>
        </w:rPr>
        <w:t>The Company’s distributions are recorded as payable on the date declared. Shareholders have the option to receive payment of the distribution in cash, shares of common stock, or a combination of cash and common stock.</w:t>
      </w:r>
    </w:p>
    <w:p>
      <w:pPr>
        <w:spacing w:after="0" w:line="170" w:lineRule="exact"/>
        <w:rPr>
          <w:sz w:val="20"/>
          <w:szCs w:val="20"/>
          <w:color w:val="auto"/>
        </w:rPr>
      </w:pPr>
    </w:p>
    <w:p>
      <w:pPr>
        <w:ind w:right="280" w:firstLine="881"/>
        <w:spacing w:after="0" w:line="277" w:lineRule="auto"/>
        <w:rPr>
          <w:sz w:val="20"/>
          <w:szCs w:val="20"/>
          <w:color w:val="auto"/>
        </w:rPr>
      </w:pPr>
      <w:r>
        <w:rPr>
          <w:rFonts w:ascii="Arial" w:cs="Arial" w:eastAsia="Arial" w:hAnsi="Arial"/>
          <w:sz w:val="18"/>
          <w:szCs w:val="18"/>
          <w:color w:val="auto"/>
        </w:rPr>
        <w:t>The following table summarizes the Company’s distribution declarations for the nine months ended September 30, 2015 (dollars in thousands, except share and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DRIP</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ind w:left="160"/>
              <w:spacing w:after="0"/>
              <w:rPr>
                <w:sz w:val="20"/>
                <w:szCs w:val="20"/>
                <w:color w:val="auto"/>
              </w:rPr>
            </w:pPr>
            <w:r>
              <w:rPr>
                <w:rFonts w:ascii="Arial" w:cs="Arial" w:eastAsia="Arial" w:hAnsi="Arial"/>
                <w:sz w:val="18"/>
                <w:szCs w:val="18"/>
                <w:b w:val="1"/>
                <w:bCs w:val="1"/>
                <w:color w:val="auto"/>
              </w:rPr>
              <w:t>DRIP</w:t>
            </w:r>
          </w:p>
        </w:tc>
      </w:tr>
      <w:tr>
        <w:trPr>
          <w:trHeight w:val="216"/>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Cash</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ind w:left="140"/>
              <w:spacing w:after="0"/>
              <w:rPr>
                <w:sz w:val="20"/>
                <w:szCs w:val="20"/>
                <w:color w:val="auto"/>
              </w:rPr>
            </w:pPr>
            <w:r>
              <w:rPr>
                <w:rFonts w:ascii="Arial" w:cs="Arial" w:eastAsia="Arial" w:hAnsi="Arial"/>
                <w:sz w:val="18"/>
                <w:szCs w:val="18"/>
                <w:b w:val="1"/>
                <w:bCs w:val="1"/>
                <w:color w:val="auto"/>
              </w:rPr>
              <w:t>Share</w:t>
            </w:r>
          </w:p>
        </w:tc>
      </w:tr>
      <w:tr>
        <w:trPr>
          <w:trHeight w:val="234"/>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rPr>
              <w:t>Date Declared</w:t>
            </w:r>
          </w:p>
        </w:tc>
        <w:tc>
          <w:tcPr>
            <w:tcW w:w="1840" w:type="dxa"/>
            <w:vAlign w:val="bottom"/>
          </w:tcPr>
          <w:p>
            <w:pPr>
              <w:spacing w:after="0"/>
              <w:rPr>
                <w:sz w:val="20"/>
                <w:szCs w:val="20"/>
                <w:color w:val="auto"/>
              </w:rPr>
            </w:pPr>
            <w:r>
              <w:rPr>
                <w:rFonts w:ascii="Arial" w:cs="Arial" w:eastAsia="Arial" w:hAnsi="Arial"/>
                <w:sz w:val="18"/>
                <w:szCs w:val="18"/>
                <w:b w:val="1"/>
                <w:bCs w:val="1"/>
                <w:color w:val="auto"/>
              </w:rPr>
              <w:t>Record Date</w:t>
            </w:r>
          </w:p>
        </w:tc>
        <w:tc>
          <w:tcPr>
            <w:tcW w:w="1960" w:type="dxa"/>
            <w:vAlign w:val="bottom"/>
            <w:gridSpan w:val="3"/>
          </w:tcPr>
          <w:p>
            <w:pPr>
              <w:ind w:left="120"/>
              <w:spacing w:after="0"/>
              <w:rPr>
                <w:sz w:val="20"/>
                <w:szCs w:val="20"/>
                <w:color w:val="auto"/>
              </w:rPr>
            </w:pPr>
            <w:r>
              <w:rPr>
                <w:rFonts w:ascii="Arial" w:cs="Arial" w:eastAsia="Arial" w:hAnsi="Arial"/>
                <w:sz w:val="18"/>
                <w:szCs w:val="18"/>
                <w:b w:val="1"/>
                <w:bCs w:val="1"/>
                <w:color w:val="auto"/>
              </w:rPr>
              <w:t>Payment Date</w:t>
            </w:r>
          </w:p>
        </w:tc>
        <w:tc>
          <w:tcPr>
            <w:tcW w:w="180" w:type="dxa"/>
            <w:vAlign w:val="bottom"/>
          </w:tcPr>
          <w:p>
            <w:pPr>
              <w:spacing w:after="0"/>
              <w:rPr>
                <w:sz w:val="20"/>
                <w:szCs w:val="20"/>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7"/>
              </w:rPr>
              <w:t>Per Share</w:t>
            </w:r>
          </w:p>
        </w:tc>
        <w:tc>
          <w:tcPr>
            <w:tcW w:w="12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Distribution</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Issued</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3"/>
          </w:tcPr>
          <w:p>
            <w:pPr>
              <w:ind w:left="160"/>
              <w:spacing w:after="0"/>
              <w:rPr>
                <w:sz w:val="20"/>
                <w:szCs w:val="20"/>
                <w:color w:val="auto"/>
              </w:rPr>
            </w:pPr>
            <w:r>
              <w:rPr>
                <w:rFonts w:ascii="Arial" w:cs="Arial" w:eastAsia="Arial" w:hAnsi="Arial"/>
                <w:sz w:val="18"/>
                <w:szCs w:val="18"/>
                <w:b w:val="1"/>
                <w:bCs w:val="1"/>
                <w:color w:val="auto"/>
              </w:rPr>
              <w:t>Value</w:t>
            </w:r>
          </w:p>
        </w:tc>
      </w:tr>
      <w:tr>
        <w:trPr>
          <w:trHeight w:val="210"/>
        </w:trPr>
        <w:tc>
          <w:tcPr>
            <w:tcW w:w="1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 2015</w:t>
            </w:r>
          </w:p>
        </w:tc>
        <w:tc>
          <w:tcPr>
            <w:tcW w:w="12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22, 2015</w:t>
            </w:r>
          </w:p>
        </w:tc>
        <w:tc>
          <w:tcPr>
            <w:tcW w:w="12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29, 2015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0.1567</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January 2, 2015</w:t>
            </w:r>
          </w:p>
        </w:tc>
        <w:tc>
          <w:tcPr>
            <w:tcW w:w="1840" w:type="dxa"/>
            <w:vAlign w:val="bottom"/>
          </w:tcPr>
          <w:p>
            <w:pPr>
              <w:spacing w:after="0"/>
              <w:rPr>
                <w:sz w:val="20"/>
                <w:szCs w:val="20"/>
                <w:color w:val="auto"/>
              </w:rPr>
            </w:pPr>
            <w:r>
              <w:rPr>
                <w:rFonts w:ascii="Arial" w:cs="Arial" w:eastAsia="Arial" w:hAnsi="Arial"/>
                <w:sz w:val="18"/>
                <w:szCs w:val="18"/>
                <w:color w:val="auto"/>
              </w:rPr>
              <w:t>February 20, 2015</w:t>
            </w:r>
          </w:p>
        </w:tc>
        <w:tc>
          <w:tcPr>
            <w:tcW w:w="1960" w:type="dxa"/>
            <w:vAlign w:val="bottom"/>
            <w:gridSpan w:val="3"/>
          </w:tcPr>
          <w:p>
            <w:pPr>
              <w:ind w:left="120"/>
              <w:spacing w:after="0"/>
              <w:rPr>
                <w:sz w:val="20"/>
                <w:szCs w:val="20"/>
                <w:color w:val="auto"/>
              </w:rPr>
            </w:pPr>
            <w:r>
              <w:rPr>
                <w:rFonts w:ascii="Arial" w:cs="Arial" w:eastAsia="Arial" w:hAnsi="Arial"/>
                <w:sz w:val="18"/>
                <w:szCs w:val="18"/>
                <w:color w:val="auto"/>
              </w:rPr>
              <w:t>February 26, 2015</w:t>
            </w:r>
          </w:p>
        </w:tc>
        <w:tc>
          <w:tcPr>
            <w:tcW w:w="18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0.1567</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2,033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 2015</w:t>
            </w: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March 23, 2015</w:t>
            </w:r>
          </w:p>
        </w:tc>
        <w:tc>
          <w:tcPr>
            <w:tcW w:w="19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March 30, 2015</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0.1567</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1,994</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2,139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8"/>
                <w:szCs w:val="18"/>
                <w:color w:val="auto"/>
              </w:rPr>
            </w:pPr>
          </w:p>
        </w:tc>
      </w:tr>
      <w:tr>
        <w:trPr>
          <w:trHeight w:val="257"/>
        </w:trPr>
        <w:tc>
          <w:tcPr>
            <w:tcW w:w="1840" w:type="dxa"/>
            <w:vAlign w:val="bottom"/>
            <w:gridSpan w:val="2"/>
          </w:tcPr>
          <w:p>
            <w:pPr>
              <w:spacing w:after="0"/>
              <w:rPr>
                <w:sz w:val="20"/>
                <w:szCs w:val="20"/>
                <w:color w:val="auto"/>
              </w:rPr>
            </w:pPr>
            <w:r>
              <w:rPr>
                <w:rFonts w:ascii="Arial" w:cs="Arial" w:eastAsia="Arial" w:hAnsi="Arial"/>
                <w:sz w:val="18"/>
                <w:szCs w:val="18"/>
                <w:color w:val="auto"/>
              </w:rPr>
              <w:t>February 26, 2015</w:t>
            </w:r>
          </w:p>
        </w:tc>
        <w:tc>
          <w:tcPr>
            <w:tcW w:w="1840" w:type="dxa"/>
            <w:vAlign w:val="bottom"/>
          </w:tcPr>
          <w:p>
            <w:pPr>
              <w:spacing w:after="0" w:line="256" w:lineRule="exact"/>
              <w:rPr>
                <w:sz w:val="20"/>
                <w:szCs w:val="20"/>
                <w:color w:val="auto"/>
              </w:rPr>
            </w:pPr>
            <w:r>
              <w:rPr>
                <w:rFonts w:ascii="Arial" w:cs="Arial" w:eastAsia="Arial" w:hAnsi="Arial"/>
                <w:sz w:val="18"/>
                <w:szCs w:val="18"/>
                <w:color w:val="auto"/>
              </w:rPr>
              <w:t xml:space="preserve">March 23, 2015 </w:t>
            </w:r>
            <w:r>
              <w:rPr>
                <w:rFonts w:ascii="Arial" w:cs="Arial" w:eastAsia="Arial" w:hAnsi="Arial"/>
                <w:sz w:val="29"/>
                <w:szCs w:val="29"/>
                <w:color w:val="auto"/>
                <w:vertAlign w:val="superscript"/>
              </w:rPr>
              <w:t>(1)</w:t>
            </w:r>
          </w:p>
        </w:tc>
        <w:tc>
          <w:tcPr>
            <w:tcW w:w="1960" w:type="dxa"/>
            <w:vAlign w:val="bottom"/>
            <w:gridSpan w:val="3"/>
          </w:tcPr>
          <w:p>
            <w:pPr>
              <w:ind w:left="120"/>
              <w:spacing w:after="0"/>
              <w:rPr>
                <w:sz w:val="20"/>
                <w:szCs w:val="20"/>
                <w:color w:val="auto"/>
              </w:rPr>
            </w:pPr>
            <w:r>
              <w:rPr>
                <w:rFonts w:ascii="Arial" w:cs="Arial" w:eastAsia="Arial" w:hAnsi="Arial"/>
                <w:sz w:val="18"/>
                <w:szCs w:val="18"/>
                <w:color w:val="auto"/>
              </w:rPr>
              <w:t>March 30, 2015</w:t>
            </w:r>
          </w:p>
        </w:tc>
        <w:tc>
          <w:tcPr>
            <w:tcW w:w="180" w:type="dxa"/>
            <w:vAlign w:val="bottom"/>
          </w:tcPr>
          <w:p>
            <w:pPr>
              <w:spacing w:after="0"/>
              <w:rPr>
                <w:sz w:val="22"/>
                <w:szCs w:val="22"/>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635</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683</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2"/>
                <w:szCs w:val="22"/>
                <w:color w:val="auto"/>
              </w:rPr>
            </w:pPr>
          </w:p>
        </w:tc>
      </w:tr>
      <w:tr>
        <w:trPr>
          <w:trHeight w:val="257"/>
        </w:trPr>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26, 2015</w:t>
            </w:r>
          </w:p>
        </w:tc>
        <w:tc>
          <w:tcPr>
            <w:tcW w:w="18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April 23, 2015 </w:t>
            </w:r>
            <w:r>
              <w:rPr>
                <w:rFonts w:ascii="Arial" w:cs="Arial" w:eastAsia="Arial" w:hAnsi="Arial"/>
                <w:sz w:val="29"/>
                <w:szCs w:val="29"/>
                <w:color w:val="auto"/>
                <w:vertAlign w:val="superscript"/>
              </w:rPr>
              <w:t>(1)</w:t>
            </w:r>
          </w:p>
        </w:tc>
        <w:tc>
          <w:tcPr>
            <w:tcW w:w="19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April 29, 2015</w:t>
            </w:r>
          </w:p>
        </w:tc>
        <w:tc>
          <w:tcPr>
            <w:tcW w:w="18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824</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1840" w:type="dxa"/>
            <w:vAlign w:val="bottom"/>
            <w:gridSpan w:val="2"/>
          </w:tcPr>
          <w:p>
            <w:pPr>
              <w:spacing w:after="0"/>
              <w:rPr>
                <w:sz w:val="20"/>
                <w:szCs w:val="20"/>
                <w:color w:val="auto"/>
              </w:rPr>
            </w:pPr>
            <w:r>
              <w:rPr>
                <w:rFonts w:ascii="Arial" w:cs="Arial" w:eastAsia="Arial" w:hAnsi="Arial"/>
                <w:sz w:val="18"/>
                <w:szCs w:val="18"/>
                <w:color w:val="auto"/>
              </w:rPr>
              <w:t>February 26, 2015</w:t>
            </w:r>
          </w:p>
        </w:tc>
        <w:tc>
          <w:tcPr>
            <w:tcW w:w="1840" w:type="dxa"/>
            <w:vAlign w:val="bottom"/>
          </w:tcPr>
          <w:p>
            <w:pPr>
              <w:spacing w:after="0" w:line="256" w:lineRule="exact"/>
              <w:rPr>
                <w:sz w:val="20"/>
                <w:szCs w:val="20"/>
                <w:color w:val="auto"/>
              </w:rPr>
            </w:pPr>
            <w:r>
              <w:rPr>
                <w:rFonts w:ascii="Arial" w:cs="Arial" w:eastAsia="Arial" w:hAnsi="Arial"/>
                <w:sz w:val="18"/>
                <w:szCs w:val="18"/>
                <w:color w:val="auto"/>
              </w:rPr>
              <w:t xml:space="preserve">May 21, 2015 </w:t>
            </w:r>
            <w:r>
              <w:rPr>
                <w:rFonts w:ascii="Arial" w:cs="Arial" w:eastAsia="Arial" w:hAnsi="Arial"/>
                <w:sz w:val="29"/>
                <w:szCs w:val="29"/>
                <w:color w:val="auto"/>
                <w:vertAlign w:val="superscript"/>
              </w:rPr>
              <w:t>(1)</w:t>
            </w:r>
          </w:p>
        </w:tc>
        <w:tc>
          <w:tcPr>
            <w:tcW w:w="1960" w:type="dxa"/>
            <w:vAlign w:val="bottom"/>
            <w:gridSpan w:val="3"/>
          </w:tcPr>
          <w:p>
            <w:pPr>
              <w:ind w:left="120"/>
              <w:spacing w:after="0"/>
              <w:rPr>
                <w:sz w:val="20"/>
                <w:szCs w:val="20"/>
                <w:color w:val="auto"/>
              </w:rPr>
            </w:pPr>
            <w:r>
              <w:rPr>
                <w:rFonts w:ascii="Arial" w:cs="Arial" w:eastAsia="Arial" w:hAnsi="Arial"/>
                <w:sz w:val="18"/>
                <w:szCs w:val="18"/>
                <w:color w:val="auto"/>
              </w:rPr>
              <w:t>May 28, 2015</w:t>
            </w:r>
          </w:p>
        </w:tc>
        <w:tc>
          <w:tcPr>
            <w:tcW w:w="180" w:type="dxa"/>
            <w:vAlign w:val="bottom"/>
          </w:tcPr>
          <w:p>
            <w:pPr>
              <w:spacing w:after="0"/>
              <w:rPr>
                <w:sz w:val="22"/>
                <w:szCs w:val="22"/>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808</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998</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2"/>
                <w:szCs w:val="22"/>
                <w:color w:val="auto"/>
              </w:rPr>
            </w:pPr>
          </w:p>
        </w:tc>
      </w:tr>
      <w:tr>
        <w:trPr>
          <w:trHeight w:val="257"/>
        </w:trPr>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26, 2015</w:t>
            </w:r>
          </w:p>
        </w:tc>
        <w:tc>
          <w:tcPr>
            <w:tcW w:w="18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June 22, 2015 </w:t>
            </w:r>
            <w:r>
              <w:rPr>
                <w:rFonts w:ascii="Arial" w:cs="Arial" w:eastAsia="Arial" w:hAnsi="Arial"/>
                <w:sz w:val="29"/>
                <w:szCs w:val="29"/>
                <w:color w:val="auto"/>
                <w:vertAlign w:val="superscript"/>
              </w:rPr>
              <w:t>(1)</w:t>
            </w:r>
          </w:p>
        </w:tc>
        <w:tc>
          <w:tcPr>
            <w:tcW w:w="19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June 29, 2015</w:t>
            </w:r>
          </w:p>
        </w:tc>
        <w:tc>
          <w:tcPr>
            <w:tcW w:w="18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793</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1,361</w:t>
            </w: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22"/>
                <w:szCs w:val="22"/>
                <w:color w:val="auto"/>
              </w:rPr>
            </w:pPr>
          </w:p>
        </w:tc>
      </w:tr>
      <w:tr>
        <w:trPr>
          <w:trHeight w:val="257"/>
        </w:trPr>
        <w:tc>
          <w:tcPr>
            <w:tcW w:w="1840" w:type="dxa"/>
            <w:vAlign w:val="bottom"/>
            <w:gridSpan w:val="2"/>
          </w:tcPr>
          <w:p>
            <w:pPr>
              <w:spacing w:after="0"/>
              <w:rPr>
                <w:sz w:val="20"/>
                <w:szCs w:val="20"/>
                <w:color w:val="auto"/>
              </w:rPr>
            </w:pPr>
            <w:r>
              <w:rPr>
                <w:rFonts w:ascii="Arial" w:cs="Arial" w:eastAsia="Arial" w:hAnsi="Arial"/>
                <w:sz w:val="18"/>
                <w:szCs w:val="18"/>
                <w:color w:val="auto"/>
              </w:rPr>
              <w:t>February 26, 2015</w:t>
            </w:r>
          </w:p>
        </w:tc>
        <w:tc>
          <w:tcPr>
            <w:tcW w:w="1840" w:type="dxa"/>
            <w:vAlign w:val="bottom"/>
          </w:tcPr>
          <w:p>
            <w:pPr>
              <w:spacing w:after="0" w:line="256" w:lineRule="exact"/>
              <w:rPr>
                <w:sz w:val="20"/>
                <w:szCs w:val="20"/>
                <w:color w:val="auto"/>
              </w:rPr>
            </w:pPr>
            <w:r>
              <w:rPr>
                <w:rFonts w:ascii="Arial" w:cs="Arial" w:eastAsia="Arial" w:hAnsi="Arial"/>
                <w:sz w:val="18"/>
                <w:szCs w:val="18"/>
                <w:color w:val="auto"/>
              </w:rPr>
              <w:t xml:space="preserve">July 23, 2015 </w:t>
            </w:r>
            <w:r>
              <w:rPr>
                <w:rFonts w:ascii="Arial" w:cs="Arial" w:eastAsia="Arial" w:hAnsi="Arial"/>
                <w:sz w:val="29"/>
                <w:szCs w:val="29"/>
                <w:color w:val="auto"/>
                <w:vertAlign w:val="superscript"/>
              </w:rPr>
              <w:t>(1)</w:t>
            </w:r>
          </w:p>
        </w:tc>
        <w:tc>
          <w:tcPr>
            <w:tcW w:w="1960" w:type="dxa"/>
            <w:vAlign w:val="bottom"/>
            <w:gridSpan w:val="3"/>
          </w:tcPr>
          <w:p>
            <w:pPr>
              <w:ind w:left="120"/>
              <w:spacing w:after="0"/>
              <w:rPr>
                <w:sz w:val="20"/>
                <w:szCs w:val="20"/>
                <w:color w:val="auto"/>
              </w:rPr>
            </w:pPr>
            <w:r>
              <w:rPr>
                <w:rFonts w:ascii="Arial" w:cs="Arial" w:eastAsia="Arial" w:hAnsi="Arial"/>
                <w:sz w:val="18"/>
                <w:szCs w:val="18"/>
                <w:color w:val="auto"/>
              </w:rPr>
              <w:t>July 30, 2015</w:t>
            </w:r>
          </w:p>
        </w:tc>
        <w:tc>
          <w:tcPr>
            <w:tcW w:w="180" w:type="dxa"/>
            <w:vAlign w:val="bottom"/>
          </w:tcPr>
          <w:p>
            <w:pPr>
              <w:spacing w:after="0"/>
              <w:rPr>
                <w:sz w:val="22"/>
                <w:szCs w:val="22"/>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783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1,600</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2"/>
                <w:szCs w:val="22"/>
                <w:color w:val="auto"/>
              </w:rPr>
            </w:pPr>
          </w:p>
        </w:tc>
      </w:tr>
      <w:tr>
        <w:trPr>
          <w:trHeight w:val="257"/>
        </w:trPr>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26, 2015</w:t>
            </w:r>
          </w:p>
        </w:tc>
        <w:tc>
          <w:tcPr>
            <w:tcW w:w="18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August 21, 2015 </w:t>
            </w:r>
            <w:r>
              <w:rPr>
                <w:rFonts w:ascii="Arial" w:cs="Arial" w:eastAsia="Arial" w:hAnsi="Arial"/>
                <w:sz w:val="29"/>
                <w:szCs w:val="29"/>
                <w:color w:val="auto"/>
                <w:vertAlign w:val="superscript"/>
              </w:rPr>
              <w:t>(1)</w:t>
            </w:r>
          </w:p>
        </w:tc>
        <w:tc>
          <w:tcPr>
            <w:tcW w:w="19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August 28, 2015</w:t>
            </w:r>
          </w:p>
        </w:tc>
        <w:tc>
          <w:tcPr>
            <w:tcW w:w="18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776</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1,819</w:t>
            </w: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22"/>
                <w:szCs w:val="22"/>
                <w:color w:val="auto"/>
              </w:rPr>
            </w:pPr>
          </w:p>
        </w:tc>
      </w:tr>
      <w:tr>
        <w:trPr>
          <w:trHeight w:val="257"/>
        </w:trPr>
        <w:tc>
          <w:tcPr>
            <w:tcW w:w="1840" w:type="dxa"/>
            <w:vAlign w:val="bottom"/>
            <w:gridSpan w:val="2"/>
          </w:tcPr>
          <w:p>
            <w:pPr>
              <w:spacing w:after="0"/>
              <w:rPr>
                <w:sz w:val="20"/>
                <w:szCs w:val="20"/>
                <w:color w:val="auto"/>
              </w:rPr>
            </w:pPr>
            <w:r>
              <w:rPr>
                <w:rFonts w:ascii="Arial" w:cs="Arial" w:eastAsia="Arial" w:hAnsi="Arial"/>
                <w:sz w:val="18"/>
                <w:szCs w:val="18"/>
                <w:color w:val="auto"/>
              </w:rPr>
              <w:t>February 26, 2015</w:t>
            </w:r>
          </w:p>
        </w:tc>
        <w:tc>
          <w:tcPr>
            <w:tcW w:w="1840" w:type="dxa"/>
            <w:vAlign w:val="bottom"/>
          </w:tcPr>
          <w:p>
            <w:pPr>
              <w:spacing w:after="0" w:line="256" w:lineRule="exact"/>
              <w:rPr>
                <w:sz w:val="20"/>
                <w:szCs w:val="20"/>
                <w:color w:val="auto"/>
              </w:rPr>
            </w:pPr>
            <w:r>
              <w:rPr>
                <w:rFonts w:ascii="Arial" w:cs="Arial" w:eastAsia="Arial" w:hAnsi="Arial"/>
                <w:sz w:val="18"/>
                <w:szCs w:val="18"/>
                <w:color w:val="auto"/>
                <w:w w:val="94"/>
              </w:rPr>
              <w:t xml:space="preserve">September 23, 2015 </w:t>
            </w:r>
            <w:r>
              <w:rPr>
                <w:rFonts w:ascii="Arial" w:cs="Arial" w:eastAsia="Arial" w:hAnsi="Arial"/>
                <w:sz w:val="29"/>
                <w:szCs w:val="29"/>
                <w:color w:val="auto"/>
                <w:w w:val="94"/>
                <w:vertAlign w:val="superscript"/>
              </w:rPr>
              <w:t>(1)</w:t>
            </w:r>
          </w:p>
        </w:tc>
        <w:tc>
          <w:tcPr>
            <w:tcW w:w="1960" w:type="dxa"/>
            <w:vAlign w:val="bottom"/>
            <w:gridSpan w:val="3"/>
          </w:tcPr>
          <w:p>
            <w:pPr>
              <w:ind w:left="120"/>
              <w:spacing w:after="0"/>
              <w:rPr>
                <w:sz w:val="20"/>
                <w:szCs w:val="20"/>
                <w:color w:val="auto"/>
              </w:rPr>
            </w:pPr>
            <w:r>
              <w:rPr>
                <w:rFonts w:ascii="Arial" w:cs="Arial" w:eastAsia="Arial" w:hAnsi="Arial"/>
                <w:sz w:val="18"/>
                <w:szCs w:val="18"/>
                <w:color w:val="auto"/>
              </w:rPr>
              <w:t>September 29, 2015</w:t>
            </w:r>
          </w:p>
        </w:tc>
        <w:tc>
          <w:tcPr>
            <w:tcW w:w="180" w:type="dxa"/>
            <w:vAlign w:val="bottom"/>
          </w:tcPr>
          <w:p>
            <w:pPr>
              <w:spacing w:after="0"/>
              <w:rPr>
                <w:sz w:val="22"/>
                <w:szCs w:val="22"/>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739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4,475</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22"/>
                <w:szCs w:val="22"/>
                <w:color w:val="auto"/>
              </w:rPr>
            </w:pPr>
          </w:p>
        </w:tc>
      </w:tr>
      <w:tr>
        <w:trPr>
          <w:trHeight w:val="257"/>
        </w:trPr>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26, 2015</w:t>
            </w:r>
          </w:p>
        </w:tc>
        <w:tc>
          <w:tcPr>
            <w:tcW w:w="18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October 23, 2015 </w:t>
            </w:r>
            <w:r>
              <w:rPr>
                <w:rFonts w:ascii="Arial" w:cs="Arial" w:eastAsia="Arial" w:hAnsi="Arial"/>
                <w:sz w:val="29"/>
                <w:szCs w:val="29"/>
                <w:color w:val="auto"/>
                <w:vertAlign w:val="superscript"/>
              </w:rPr>
              <w:t>(1)</w:t>
            </w:r>
          </w:p>
        </w:tc>
        <w:tc>
          <w:tcPr>
            <w:tcW w:w="19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October 29, 2015</w:t>
            </w:r>
          </w:p>
        </w:tc>
        <w:tc>
          <w:tcPr>
            <w:tcW w:w="18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1840" w:type="dxa"/>
            <w:vAlign w:val="bottom"/>
            <w:gridSpan w:val="2"/>
          </w:tcPr>
          <w:p>
            <w:pPr>
              <w:spacing w:after="0"/>
              <w:rPr>
                <w:sz w:val="20"/>
                <w:szCs w:val="20"/>
                <w:color w:val="auto"/>
              </w:rPr>
            </w:pPr>
            <w:r>
              <w:rPr>
                <w:rFonts w:ascii="Arial" w:cs="Arial" w:eastAsia="Arial" w:hAnsi="Arial"/>
                <w:sz w:val="18"/>
                <w:szCs w:val="18"/>
                <w:color w:val="auto"/>
              </w:rPr>
              <w:t>February 26, 2015</w:t>
            </w:r>
          </w:p>
        </w:tc>
        <w:tc>
          <w:tcPr>
            <w:tcW w:w="1840" w:type="dxa"/>
            <w:vAlign w:val="bottom"/>
          </w:tcPr>
          <w:p>
            <w:pPr>
              <w:spacing w:after="0" w:line="256" w:lineRule="exact"/>
              <w:rPr>
                <w:sz w:val="20"/>
                <w:szCs w:val="20"/>
                <w:color w:val="auto"/>
              </w:rPr>
            </w:pPr>
            <w:r>
              <w:rPr>
                <w:rFonts w:ascii="Arial" w:cs="Arial" w:eastAsia="Arial" w:hAnsi="Arial"/>
                <w:sz w:val="18"/>
                <w:szCs w:val="18"/>
                <w:color w:val="auto"/>
                <w:w w:val="97"/>
              </w:rPr>
              <w:t xml:space="preserve">November 20, 2015 </w:t>
            </w:r>
            <w:r>
              <w:rPr>
                <w:rFonts w:ascii="Arial" w:cs="Arial" w:eastAsia="Arial" w:hAnsi="Arial"/>
                <w:sz w:val="29"/>
                <w:szCs w:val="29"/>
                <w:color w:val="auto"/>
                <w:w w:val="97"/>
                <w:vertAlign w:val="superscript"/>
              </w:rPr>
              <w:t>(1)</w:t>
            </w:r>
          </w:p>
        </w:tc>
        <w:tc>
          <w:tcPr>
            <w:tcW w:w="1960" w:type="dxa"/>
            <w:vAlign w:val="bottom"/>
            <w:gridSpan w:val="3"/>
          </w:tcPr>
          <w:p>
            <w:pPr>
              <w:ind w:left="120"/>
              <w:spacing w:after="0"/>
              <w:rPr>
                <w:sz w:val="20"/>
                <w:szCs w:val="20"/>
                <w:color w:val="auto"/>
              </w:rPr>
            </w:pPr>
            <w:r>
              <w:rPr>
                <w:rFonts w:ascii="Arial" w:cs="Arial" w:eastAsia="Arial" w:hAnsi="Arial"/>
                <w:sz w:val="18"/>
                <w:szCs w:val="18"/>
                <w:color w:val="auto"/>
              </w:rPr>
              <w:t>November 27, 2015</w:t>
            </w:r>
          </w:p>
        </w:tc>
        <w:tc>
          <w:tcPr>
            <w:tcW w:w="180" w:type="dxa"/>
            <w:vAlign w:val="bottom"/>
          </w:tcPr>
          <w:p>
            <w:pPr>
              <w:spacing w:after="0"/>
              <w:rPr>
                <w:sz w:val="22"/>
                <w:szCs w:val="22"/>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26, 2015</w:t>
            </w:r>
          </w:p>
        </w:tc>
        <w:tc>
          <w:tcPr>
            <w:tcW w:w="18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w w:val="97"/>
              </w:rPr>
              <w:t xml:space="preserve">December 22, 2015 </w:t>
            </w:r>
            <w:r>
              <w:rPr>
                <w:rFonts w:ascii="Arial" w:cs="Arial" w:eastAsia="Arial" w:hAnsi="Arial"/>
                <w:sz w:val="29"/>
                <w:szCs w:val="29"/>
                <w:color w:val="auto"/>
                <w:w w:val="97"/>
                <w:vertAlign w:val="superscript"/>
              </w:rPr>
              <w:t>(1)</w:t>
            </w:r>
          </w:p>
        </w:tc>
        <w:tc>
          <w:tcPr>
            <w:tcW w:w="19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December 30, 2015</w:t>
            </w:r>
          </w:p>
        </w:tc>
        <w:tc>
          <w:tcPr>
            <w:tcW w:w="18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April 1 , 2015</w:t>
            </w:r>
          </w:p>
        </w:tc>
        <w:tc>
          <w:tcPr>
            <w:tcW w:w="1840" w:type="dxa"/>
            <w:vAlign w:val="bottom"/>
          </w:tcPr>
          <w:p>
            <w:pPr>
              <w:spacing w:after="0"/>
              <w:rPr>
                <w:sz w:val="20"/>
                <w:szCs w:val="20"/>
                <w:color w:val="auto"/>
              </w:rPr>
            </w:pPr>
            <w:r>
              <w:rPr>
                <w:rFonts w:ascii="Arial" w:cs="Arial" w:eastAsia="Arial" w:hAnsi="Arial"/>
                <w:sz w:val="18"/>
                <w:szCs w:val="18"/>
                <w:color w:val="auto"/>
              </w:rPr>
              <w:t>April 23, 2015</w:t>
            </w:r>
          </w:p>
        </w:tc>
        <w:tc>
          <w:tcPr>
            <w:tcW w:w="1960" w:type="dxa"/>
            <w:vAlign w:val="bottom"/>
            <w:gridSpan w:val="3"/>
          </w:tcPr>
          <w:p>
            <w:pPr>
              <w:ind w:left="120"/>
              <w:spacing w:after="0"/>
              <w:rPr>
                <w:sz w:val="20"/>
                <w:szCs w:val="20"/>
                <w:color w:val="auto"/>
              </w:rPr>
            </w:pPr>
            <w:r>
              <w:rPr>
                <w:rFonts w:ascii="Arial" w:cs="Arial" w:eastAsia="Arial" w:hAnsi="Arial"/>
                <w:sz w:val="18"/>
                <w:szCs w:val="18"/>
                <w:color w:val="auto"/>
              </w:rPr>
              <w:t>April 29, 2015</w:t>
            </w:r>
          </w:p>
        </w:tc>
        <w:tc>
          <w:tcPr>
            <w:tcW w:w="18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0.1567</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2,581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 , 2015</w:t>
            </w: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May 21, 2015</w:t>
            </w:r>
          </w:p>
        </w:tc>
        <w:tc>
          <w:tcPr>
            <w:tcW w:w="19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May 28, 2015</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0.1567</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2,529</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3,126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8"/>
                <w:szCs w:val="18"/>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April 1 , 2015</w:t>
            </w:r>
          </w:p>
        </w:tc>
        <w:tc>
          <w:tcPr>
            <w:tcW w:w="1840" w:type="dxa"/>
            <w:vAlign w:val="bottom"/>
          </w:tcPr>
          <w:p>
            <w:pPr>
              <w:spacing w:after="0"/>
              <w:rPr>
                <w:sz w:val="20"/>
                <w:szCs w:val="20"/>
                <w:color w:val="auto"/>
              </w:rPr>
            </w:pPr>
            <w:r>
              <w:rPr>
                <w:rFonts w:ascii="Arial" w:cs="Arial" w:eastAsia="Arial" w:hAnsi="Arial"/>
                <w:sz w:val="18"/>
                <w:szCs w:val="18"/>
                <w:color w:val="auto"/>
              </w:rPr>
              <w:t>June 22, 2015</w:t>
            </w:r>
          </w:p>
        </w:tc>
        <w:tc>
          <w:tcPr>
            <w:tcW w:w="1960" w:type="dxa"/>
            <w:vAlign w:val="bottom"/>
            <w:gridSpan w:val="3"/>
          </w:tcPr>
          <w:p>
            <w:pPr>
              <w:ind w:left="120"/>
              <w:spacing w:after="0"/>
              <w:rPr>
                <w:sz w:val="20"/>
                <w:szCs w:val="20"/>
                <w:color w:val="auto"/>
              </w:rPr>
            </w:pPr>
            <w:r>
              <w:rPr>
                <w:rFonts w:ascii="Arial" w:cs="Arial" w:eastAsia="Arial" w:hAnsi="Arial"/>
                <w:sz w:val="18"/>
                <w:szCs w:val="18"/>
                <w:color w:val="auto"/>
              </w:rPr>
              <w:t>June 29, 2015</w:t>
            </w:r>
          </w:p>
        </w:tc>
        <w:tc>
          <w:tcPr>
            <w:tcW w:w="18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0.1567</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2,483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4,266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8"/>
                <w:szCs w:val="18"/>
                <w:color w:val="auto"/>
              </w:rPr>
            </w:pPr>
          </w:p>
        </w:tc>
      </w:tr>
      <w:tr>
        <w:trPr>
          <w:trHeight w:val="216"/>
        </w:trPr>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2015</w:t>
            </w: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July 23, 2015</w:t>
            </w:r>
          </w:p>
        </w:tc>
        <w:tc>
          <w:tcPr>
            <w:tcW w:w="19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July 30, 2015</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0.1567</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2,454</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5,016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18"/>
                <w:szCs w:val="18"/>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July 1, 2015</w:t>
            </w:r>
          </w:p>
        </w:tc>
        <w:tc>
          <w:tcPr>
            <w:tcW w:w="1840" w:type="dxa"/>
            <w:vAlign w:val="bottom"/>
          </w:tcPr>
          <w:p>
            <w:pPr>
              <w:spacing w:after="0"/>
              <w:rPr>
                <w:sz w:val="20"/>
                <w:szCs w:val="20"/>
                <w:color w:val="auto"/>
              </w:rPr>
            </w:pPr>
            <w:r>
              <w:rPr>
                <w:rFonts w:ascii="Arial" w:cs="Arial" w:eastAsia="Arial" w:hAnsi="Arial"/>
                <w:sz w:val="18"/>
                <w:szCs w:val="18"/>
                <w:color w:val="auto"/>
              </w:rPr>
              <w:t>August 21, 2015</w:t>
            </w:r>
          </w:p>
        </w:tc>
        <w:tc>
          <w:tcPr>
            <w:tcW w:w="1960" w:type="dxa"/>
            <w:vAlign w:val="bottom"/>
            <w:gridSpan w:val="3"/>
          </w:tcPr>
          <w:p>
            <w:pPr>
              <w:ind w:left="120"/>
              <w:spacing w:after="0"/>
              <w:rPr>
                <w:sz w:val="20"/>
                <w:szCs w:val="20"/>
                <w:color w:val="auto"/>
              </w:rPr>
            </w:pPr>
            <w:r>
              <w:rPr>
                <w:rFonts w:ascii="Arial" w:cs="Arial" w:eastAsia="Arial" w:hAnsi="Arial"/>
                <w:sz w:val="18"/>
                <w:szCs w:val="18"/>
                <w:color w:val="auto"/>
              </w:rPr>
              <w:t>August, 28, 2015</w:t>
            </w:r>
          </w:p>
        </w:tc>
        <w:tc>
          <w:tcPr>
            <w:tcW w:w="18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0.1567</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2,434</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5,701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8"/>
                <w:szCs w:val="18"/>
                <w:color w:val="auto"/>
              </w:rPr>
            </w:pPr>
          </w:p>
        </w:tc>
      </w:tr>
      <w:tr>
        <w:trPr>
          <w:trHeight w:val="230"/>
        </w:trPr>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2015</w:t>
            </w: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September 23, 2015</w:t>
            </w:r>
          </w:p>
        </w:tc>
        <w:tc>
          <w:tcPr>
            <w:tcW w:w="19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September 29, 2015</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0.1567</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14,026</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w:t>
            </w:r>
          </w:p>
        </w:tc>
        <w:tc>
          <w:tcPr>
            <w:tcW w:w="80" w:type="dxa"/>
            <w:vAlign w:val="bottom"/>
            <w:shd w:val="clear" w:color="auto" w:fill="CCEEFF"/>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0" w:type="dxa"/>
            <w:vAlign w:val="bottom"/>
            <w:gridSpan w:val="4"/>
          </w:tcPr>
          <w:p>
            <w:pPr>
              <w:ind w:left="1640"/>
              <w:spacing w:after="0"/>
              <w:rPr>
                <w:sz w:val="20"/>
                <w:szCs w:val="20"/>
                <w:color w:val="auto"/>
              </w:rPr>
            </w:pPr>
            <w:r>
              <w:rPr>
                <w:rFonts w:ascii="Arial" w:cs="Arial" w:eastAsia="Arial" w:hAnsi="Arial"/>
                <w:sz w:val="18"/>
                <w:szCs w:val="18"/>
                <w:color w:val="auto"/>
                <w:w w:val="96"/>
              </w:rPr>
              <w:t>Total Distributions Declared</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26,219</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45,210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40" w:right="20" w:hanging="343"/>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 February 26, 2015, the Company’s Board of Directors declared a special distribution of $0.50 per share of the Company’s common stock, to be paid monthly over the remainder of 2015.</w:t>
      </w:r>
    </w:p>
    <w:p>
      <w:pPr>
        <w:spacing w:after="0" w:line="17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summarizes the Company’s distribution declarations for the nine months ended September 30, 2014:</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Amount</w:t>
            </w:r>
          </w:p>
        </w:tc>
      </w:tr>
      <w:tr>
        <w:trPr>
          <w:trHeight w:val="234"/>
        </w:trPr>
        <w:tc>
          <w:tcPr>
            <w:tcW w:w="3000" w:type="dxa"/>
            <w:vAlign w:val="bottom"/>
            <w:gridSpan w:val="2"/>
          </w:tcPr>
          <w:p>
            <w:pPr>
              <w:spacing w:after="0"/>
              <w:rPr>
                <w:sz w:val="20"/>
                <w:szCs w:val="20"/>
                <w:color w:val="auto"/>
              </w:rPr>
            </w:pPr>
            <w:r>
              <w:rPr>
                <w:rFonts w:ascii="Arial" w:cs="Arial" w:eastAsia="Arial" w:hAnsi="Arial"/>
                <w:sz w:val="18"/>
                <w:szCs w:val="18"/>
                <w:b w:val="1"/>
                <w:bCs w:val="1"/>
                <w:color w:val="auto"/>
              </w:rPr>
              <w:t>Date Declared</w:t>
            </w:r>
          </w:p>
        </w:tc>
        <w:tc>
          <w:tcPr>
            <w:tcW w:w="27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Record Date</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Payment Date</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Per Share</w:t>
            </w:r>
          </w:p>
        </w:tc>
      </w:tr>
      <w:tr>
        <w:trPr>
          <w:trHeight w:val="210"/>
        </w:trPr>
        <w:tc>
          <w:tcPr>
            <w:tcW w:w="2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February 27, 2014</w:t>
            </w:r>
          </w:p>
        </w:tc>
        <w:tc>
          <w:tcPr>
            <w:tcW w:w="120" w:type="dxa"/>
            <w:vAlign w:val="bottom"/>
            <w:tcBorders>
              <w:top w:val="single" w:sz="8" w:color="CCEEFF"/>
            </w:tcBorders>
            <w:shd w:val="clear" w:color="auto" w:fill="CCEEFF"/>
          </w:tcPr>
          <w:p>
            <w:pPr>
              <w:spacing w:after="0"/>
              <w:rPr>
                <w:sz w:val="18"/>
                <w:szCs w:val="18"/>
                <w:color w:val="auto"/>
              </w:rPr>
            </w:pPr>
          </w:p>
        </w:tc>
        <w:tc>
          <w:tcPr>
            <w:tcW w:w="2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March 14, 2014</w:t>
            </w:r>
          </w:p>
        </w:tc>
        <w:tc>
          <w:tcPr>
            <w:tcW w:w="120" w:type="dxa"/>
            <w:vAlign w:val="bottom"/>
            <w:tcBorders>
              <w:top w:val="single" w:sz="8" w:color="CCEEFF"/>
            </w:tcBorders>
            <w:shd w:val="clear" w:color="auto" w:fill="CCEEFF"/>
          </w:tcPr>
          <w:p>
            <w:pPr>
              <w:spacing w:after="0"/>
              <w:rPr>
                <w:sz w:val="18"/>
                <w:szCs w:val="18"/>
                <w:color w:val="auto"/>
              </w:rPr>
            </w:pPr>
          </w:p>
        </w:tc>
        <w:tc>
          <w:tcPr>
            <w:tcW w:w="2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March 26, 2014</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May 8, 2014</w:t>
            </w:r>
          </w:p>
        </w:tc>
        <w:tc>
          <w:tcPr>
            <w:tcW w:w="27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June 9, 2014</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June 26, 2014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18"/>
                <w:szCs w:val="18"/>
                <w:color w:val="auto"/>
              </w:rPr>
            </w:pPr>
          </w:p>
        </w:tc>
      </w:tr>
      <w:tr>
        <w:trPr>
          <w:trHeight w:val="230"/>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7, 2014</w:t>
            </w:r>
          </w:p>
        </w:tc>
        <w:tc>
          <w:tcPr>
            <w:tcW w:w="27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September 12, 2014</w:t>
            </w: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September 26, 2014</w:t>
            </w: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00" w:type="dxa"/>
            <w:vAlign w:val="bottom"/>
            <w:shd w:val="clear" w:color="auto" w:fill="CCEEFF"/>
          </w:tcPr>
          <w:p>
            <w:pPr>
              <w:spacing w:after="0"/>
              <w:rPr>
                <w:sz w:val="19"/>
                <w:szCs w:val="19"/>
                <w:color w:val="auto"/>
              </w:rPr>
            </w:pPr>
          </w:p>
        </w:tc>
      </w:tr>
      <w:tr>
        <w:trPr>
          <w:trHeight w:val="223"/>
        </w:trPr>
        <w:tc>
          <w:tcPr>
            <w:tcW w:w="2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Total Distributions Declared</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r>
      <w:tr>
        <w:trPr>
          <w:trHeight w:val="20"/>
        </w:trPr>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Share Repurchase Program</w:t>
      </w:r>
    </w:p>
    <w:p>
      <w:pPr>
        <w:spacing w:after="0" w:line="229" w:lineRule="exact"/>
        <w:rPr>
          <w:sz w:val="20"/>
          <w:szCs w:val="20"/>
          <w:color w:val="auto"/>
        </w:rPr>
      </w:pPr>
    </w:p>
    <w:p>
      <w:pPr>
        <w:ind w:right="80" w:firstLine="881"/>
        <w:spacing w:after="0" w:line="255" w:lineRule="auto"/>
        <w:rPr>
          <w:sz w:val="20"/>
          <w:szCs w:val="20"/>
          <w:color w:val="auto"/>
        </w:rPr>
      </w:pPr>
      <w:r>
        <w:rPr>
          <w:rFonts w:ascii="Arial" w:cs="Arial" w:eastAsia="Arial" w:hAnsi="Arial"/>
          <w:sz w:val="18"/>
          <w:szCs w:val="18"/>
          <w:color w:val="auto"/>
        </w:rPr>
        <w:t>On February 26, 2015, the Company’s board of directors authorized a program for the purpose of repurchasing up to $12.0 million worth of its common stock. Under the repurchase program, the Company may, but is not obligated to, repurchase its outstanding common stock in the open market from time to time provided that the Company complies with the prohibitions under its Insider Trading Policies and Procedures and the guidelines specified in Rule 10b-18 of the Securities Exchange Act of 1934, as amended, including certain price, market volume and timing constraints. Unless extended by the Company’s board of directors, the Company expects the repurchase program to be in place until the earlier of March 31, 2016 or until $12.0 million of the Company’s outstanding shares of common stock have been repurchased.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439" w:gutter="0" w:footer="0" w:header="0"/>
        </w:sectPr>
      </w:pPr>
    </w:p>
    <w:bookmarkStart w:id="38" w:name="page39"/>
    <w:bookmarkEnd w:id="38"/>
    <w:p>
      <w:pPr>
        <w:ind w:firstLine="881"/>
        <w:spacing w:after="0" w:line="276" w:lineRule="auto"/>
        <w:rPr>
          <w:sz w:val="20"/>
          <w:szCs w:val="20"/>
          <w:color w:val="auto"/>
        </w:rPr>
      </w:pPr>
      <w:r>
        <w:rPr>
          <w:rFonts w:ascii="Arial" w:cs="Arial" w:eastAsia="Arial" w:hAnsi="Arial"/>
          <w:sz w:val="17"/>
          <w:szCs w:val="17"/>
          <w:color w:val="auto"/>
        </w:rPr>
        <w:t>During the nine months ended September 30, 2015, and since the approval of the repurchase program, the Company repurchased 624,050 shares of common stock in open market transactions for an aggregate cost (including transaction costs) of $9.9 million. As of September 30, 2015, none of these share repurchases were unsettled. The Company is incorporated in Maryland and under the law of the state, shares repurchased are considered retired (repurchased shares become authorized but unissued shares) rather than treasury stock. As a result, the cost of the stock repurchased is recorded as a reduction to capital in excess of par value on the consolidated statement of changes in net assets.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Financial Highlights</w:t>
      </w:r>
    </w:p>
    <w:p>
      <w:pPr>
        <w:spacing w:after="0" w:line="229" w:lineRule="exact"/>
        <w:rPr>
          <w:sz w:val="20"/>
          <w:szCs w:val="20"/>
          <w:color w:val="auto"/>
        </w:rPr>
      </w:pPr>
    </w:p>
    <w:p>
      <w:pPr>
        <w:ind w:right="240" w:firstLine="881"/>
        <w:spacing w:after="0" w:line="277" w:lineRule="auto"/>
        <w:rPr>
          <w:sz w:val="20"/>
          <w:szCs w:val="20"/>
          <w:color w:val="auto"/>
        </w:rPr>
      </w:pPr>
      <w:r>
        <w:rPr>
          <w:rFonts w:ascii="Arial" w:cs="Arial" w:eastAsia="Arial" w:hAnsi="Arial"/>
          <w:sz w:val="18"/>
          <w:szCs w:val="18"/>
          <w:color w:val="auto"/>
        </w:rPr>
        <w:t>The following is a schedule of financial highlights for the nine months ended September 30, 2015 and 2014 (dollars in thousands, except share and per share data):</w:t>
      </w:r>
    </w:p>
    <w:p>
      <w:pPr>
        <w:spacing w:after="0" w:line="166"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89"/>
              </w:rPr>
              <w:t>September 30,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0"/>
              </w:rPr>
              <w:t>September 30,</w:t>
            </w:r>
          </w:p>
        </w:tc>
      </w:tr>
      <w:tr>
        <w:trPr>
          <w:trHeight w:val="234"/>
        </w:trPr>
        <w:tc>
          <w:tcPr>
            <w:tcW w:w="20" w:type="dxa"/>
            <w:vAlign w:val="bottom"/>
          </w:tcPr>
          <w:p>
            <w:pPr>
              <w:spacing w:after="0"/>
              <w:rPr>
                <w:sz w:val="20"/>
                <w:szCs w:val="20"/>
                <w:color w:val="auto"/>
              </w:rPr>
            </w:pPr>
          </w:p>
        </w:tc>
        <w:tc>
          <w:tcPr>
            <w:tcW w:w="700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2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bottom w:val="single" w:sz="8" w:color="CCEEFF"/>
            </w:tcBorders>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Net asset value at beginning of period</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18.56</w:t>
            </w:r>
          </w:p>
        </w:tc>
        <w:tc>
          <w:tcPr>
            <w:tcW w:w="2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20.71</w:t>
            </w:r>
          </w:p>
        </w:tc>
        <w:tc>
          <w:tcPr>
            <w:tcW w:w="22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7000" w:type="dxa"/>
            <w:vAlign w:val="bottom"/>
            <w:shd w:val="clear" w:color="auto" w:fill="CCEEFF"/>
          </w:tcPr>
          <w:p>
            <w:pPr>
              <w:ind w:left="100"/>
              <w:spacing w:after="0" w:line="256" w:lineRule="exact"/>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29"/>
                <w:szCs w:val="29"/>
                <w:color w:val="auto"/>
                <w:vertAlign w:val="superscript"/>
              </w:rPr>
              <w:t>(1)</w:t>
            </w:r>
          </w:p>
        </w:tc>
        <w:tc>
          <w:tcPr>
            <w:tcW w:w="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20" w:type="dxa"/>
            <w:vAlign w:val="bottom"/>
            <w:shd w:val="clear" w:color="auto" w:fill="CCEEFF"/>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7000" w:type="dxa"/>
            <w:vAlign w:val="bottom"/>
          </w:tcPr>
          <w:p>
            <w:pPr>
              <w:spacing w:after="0" w:line="256" w:lineRule="exact"/>
              <w:rPr>
                <w:sz w:val="20"/>
                <w:szCs w:val="20"/>
                <w:color w:val="auto"/>
              </w:rPr>
            </w:pPr>
            <w:r>
              <w:rPr>
                <w:rFonts w:ascii="Arial" w:cs="Arial" w:eastAsia="Arial" w:hAnsi="Arial"/>
                <w:sz w:val="18"/>
                <w:szCs w:val="18"/>
                <w:color w:val="auto"/>
              </w:rPr>
              <w:t xml:space="preserve">Net realized gain (loss) on investments </w:t>
            </w:r>
            <w:r>
              <w:rPr>
                <w:rFonts w:ascii="Arial" w:cs="Arial" w:eastAsia="Arial" w:hAnsi="Arial"/>
                <w:sz w:val="29"/>
                <w:szCs w:val="29"/>
                <w:color w:val="auto"/>
                <w:vertAlign w:val="superscript"/>
              </w:rPr>
              <w:t>(1)</w:t>
            </w: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0.61</w:t>
            </w: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(0.11)</w:t>
            </w:r>
          </w:p>
        </w:tc>
      </w:tr>
      <w:tr>
        <w:trPr>
          <w:trHeight w:val="257"/>
        </w:trPr>
        <w:tc>
          <w:tcPr>
            <w:tcW w:w="20" w:type="dxa"/>
            <w:vAlign w:val="bottom"/>
          </w:tcPr>
          <w:p>
            <w:pPr>
              <w:spacing w:after="0"/>
              <w:rPr>
                <w:sz w:val="22"/>
                <w:szCs w:val="22"/>
                <w:color w:val="auto"/>
              </w:rPr>
            </w:pPr>
          </w:p>
        </w:tc>
        <w:tc>
          <w:tcPr>
            <w:tcW w:w="70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Net unrealized depreciation on investments </w:t>
            </w:r>
            <w:r>
              <w:rPr>
                <w:rFonts w:ascii="Arial" w:cs="Arial" w:eastAsia="Arial" w:hAnsi="Arial"/>
                <w:sz w:val="29"/>
                <w:szCs w:val="29"/>
                <w:color w:val="auto"/>
                <w:vertAlign w:val="superscript"/>
              </w:rPr>
              <w:t>(1)</w:t>
            </w:r>
          </w:p>
        </w:tc>
        <w:tc>
          <w:tcPr>
            <w:tcW w:w="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(0.29)</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(0.45)</w:t>
            </w: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Dividends declared from net investment income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(1.41)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(1.41)</w:t>
            </w: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from net realized gains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(0.15)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Accretive impact of stock repurchase</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70"/>
        </w:trPr>
        <w:tc>
          <w:tcPr>
            <w:tcW w:w="20" w:type="dxa"/>
            <w:vAlign w:val="bottom"/>
          </w:tcPr>
          <w:p>
            <w:pPr>
              <w:spacing w:after="0"/>
              <w:rPr>
                <w:sz w:val="23"/>
                <w:szCs w:val="23"/>
                <w:color w:val="auto"/>
              </w:rPr>
            </w:pPr>
          </w:p>
        </w:tc>
        <w:tc>
          <w:tcPr>
            <w:tcW w:w="7000" w:type="dxa"/>
            <w:vAlign w:val="bottom"/>
          </w:tcPr>
          <w:p>
            <w:pPr>
              <w:ind w:left="100"/>
              <w:spacing w:after="0" w:line="269"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30"/>
                <w:szCs w:val="30"/>
                <w:color w:val="auto"/>
                <w:vertAlign w:val="superscript"/>
              </w:rPr>
              <w:t>(8)</w:t>
            </w: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(0.06)</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7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 value at end of period</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19.89</w:t>
            </w:r>
          </w:p>
        </w:tc>
        <w:tc>
          <w:tcPr>
            <w:tcW w:w="220" w:type="dxa"/>
            <w:vAlign w:val="bottom"/>
            <w:tcBorders>
              <w:top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4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286,813</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258,116</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end of period</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15,895,580</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12,974,420</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Per share market value at end of period</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12.97</w:t>
            </w:r>
          </w:p>
        </w:tc>
        <w:tc>
          <w:tcPr>
            <w:tcW w:w="2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17.72</w:t>
            </w:r>
          </w:p>
        </w:tc>
        <w:tc>
          <w:tcPr>
            <w:tcW w:w="22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70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Total return based on market value </w:t>
            </w:r>
            <w:r>
              <w:rPr>
                <w:rFonts w:ascii="Arial" w:cs="Arial" w:eastAsia="Arial" w:hAnsi="Arial"/>
                <w:sz w:val="29"/>
                <w:szCs w:val="29"/>
                <w:color w:val="auto"/>
                <w:vertAlign w:val="superscript"/>
              </w:rPr>
              <w:t>(2)</w:t>
            </w:r>
          </w:p>
        </w:tc>
        <w:tc>
          <w:tcPr>
            <w:tcW w:w="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(18.71)%</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w:t>
            </w: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b w:val="1"/>
                <w:bCs w:val="1"/>
                <w:color w:val="auto"/>
              </w:rPr>
              <w:t>Ratio/Supplemental data:</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70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Ratio of net investment income to average net assets </w:t>
            </w:r>
            <w:r>
              <w:rPr>
                <w:rFonts w:ascii="Arial" w:cs="Arial" w:eastAsia="Arial" w:hAnsi="Arial"/>
                <w:sz w:val="29"/>
                <w:szCs w:val="29"/>
                <w:color w:val="auto"/>
                <w:vertAlign w:val="superscript"/>
              </w:rPr>
              <w:t>(4)</w:t>
            </w:r>
          </w:p>
        </w:tc>
        <w:tc>
          <w:tcPr>
            <w:tcW w:w="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9.06%</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7.55%</w:t>
            </w:r>
          </w:p>
        </w:tc>
      </w:tr>
      <w:tr>
        <w:trPr>
          <w:trHeight w:val="257"/>
        </w:trPr>
        <w:tc>
          <w:tcPr>
            <w:tcW w:w="20" w:type="dxa"/>
            <w:vAlign w:val="bottom"/>
          </w:tcPr>
          <w:p>
            <w:pPr>
              <w:spacing w:after="0"/>
              <w:rPr>
                <w:sz w:val="22"/>
                <w:szCs w:val="22"/>
                <w:color w:val="auto"/>
              </w:rPr>
            </w:pPr>
          </w:p>
        </w:tc>
        <w:tc>
          <w:tcPr>
            <w:tcW w:w="7000" w:type="dxa"/>
            <w:vAlign w:val="bottom"/>
          </w:tcPr>
          <w:p>
            <w:pPr>
              <w:spacing w:after="0" w:line="256" w:lineRule="exact"/>
              <w:rPr>
                <w:sz w:val="20"/>
                <w:szCs w:val="20"/>
                <w:color w:val="auto"/>
              </w:rPr>
            </w:pPr>
            <w:r>
              <w:rPr>
                <w:rFonts w:ascii="Arial" w:cs="Arial" w:eastAsia="Arial" w:hAnsi="Arial"/>
                <w:sz w:val="18"/>
                <w:szCs w:val="18"/>
                <w:color w:val="auto"/>
              </w:rPr>
              <w:t xml:space="preserve">Ratio of incentive fee to average net assets </w:t>
            </w:r>
            <w:r>
              <w:rPr>
                <w:rFonts w:ascii="Arial" w:cs="Arial" w:eastAsia="Arial" w:hAnsi="Arial"/>
                <w:sz w:val="29"/>
                <w:szCs w:val="29"/>
                <w:color w:val="auto"/>
                <w:vertAlign w:val="superscript"/>
              </w:rPr>
              <w:t>(4)</w:t>
            </w: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2.25%</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1.44%</w:t>
            </w:r>
          </w:p>
        </w:tc>
      </w:tr>
      <w:tr>
        <w:trPr>
          <w:trHeight w:val="257"/>
        </w:trPr>
        <w:tc>
          <w:tcPr>
            <w:tcW w:w="20" w:type="dxa"/>
            <w:vAlign w:val="bottom"/>
          </w:tcPr>
          <w:p>
            <w:pPr>
              <w:spacing w:after="0"/>
              <w:rPr>
                <w:sz w:val="22"/>
                <w:szCs w:val="22"/>
                <w:color w:val="auto"/>
              </w:rPr>
            </w:pPr>
          </w:p>
        </w:tc>
        <w:tc>
          <w:tcPr>
            <w:tcW w:w="70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Ratio of debt related expenses to average net assets </w:t>
            </w:r>
            <w:r>
              <w:rPr>
                <w:rFonts w:ascii="Arial" w:cs="Arial" w:eastAsia="Arial" w:hAnsi="Arial"/>
                <w:sz w:val="29"/>
                <w:szCs w:val="29"/>
                <w:color w:val="auto"/>
                <w:vertAlign w:val="superscript"/>
              </w:rPr>
              <w:t>(4)</w:t>
            </w:r>
          </w:p>
        </w:tc>
        <w:tc>
          <w:tcPr>
            <w:tcW w:w="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7.14%</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4.50%</w:t>
            </w:r>
          </w:p>
        </w:tc>
      </w:tr>
      <w:tr>
        <w:trPr>
          <w:trHeight w:val="257"/>
        </w:trPr>
        <w:tc>
          <w:tcPr>
            <w:tcW w:w="20" w:type="dxa"/>
            <w:vAlign w:val="bottom"/>
          </w:tcPr>
          <w:p>
            <w:pPr>
              <w:spacing w:after="0"/>
              <w:rPr>
                <w:sz w:val="22"/>
                <w:szCs w:val="22"/>
                <w:color w:val="auto"/>
              </w:rPr>
            </w:pPr>
          </w:p>
        </w:tc>
        <w:tc>
          <w:tcPr>
            <w:tcW w:w="7000" w:type="dxa"/>
            <w:vAlign w:val="bottom"/>
          </w:tcPr>
          <w:p>
            <w:pPr>
              <w:spacing w:after="0" w:line="256" w:lineRule="exact"/>
              <w:rPr>
                <w:sz w:val="20"/>
                <w:szCs w:val="20"/>
                <w:color w:val="auto"/>
              </w:rPr>
            </w:pPr>
            <w:r>
              <w:rPr>
                <w:rFonts w:ascii="Arial" w:cs="Arial" w:eastAsia="Arial" w:hAnsi="Arial"/>
                <w:sz w:val="18"/>
                <w:szCs w:val="18"/>
                <w:color w:val="auto"/>
                <w:w w:val="93"/>
              </w:rPr>
              <w:t>Ratio of other operating expenses, net of management fee waiver to average net assets</w:t>
            </w:r>
            <w:r>
              <w:rPr>
                <w:rFonts w:ascii="Arial" w:cs="Arial" w:eastAsia="Arial" w:hAnsi="Arial"/>
                <w:sz w:val="29"/>
                <w:szCs w:val="29"/>
                <w:color w:val="auto"/>
                <w:w w:val="93"/>
                <w:vertAlign w:val="superscript"/>
              </w:rPr>
              <w:t>(4)(7)</w:t>
            </w: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5.52%</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4.80%</w:t>
            </w:r>
          </w:p>
        </w:tc>
      </w:tr>
      <w:tr>
        <w:trPr>
          <w:trHeight w:val="257"/>
        </w:trPr>
        <w:tc>
          <w:tcPr>
            <w:tcW w:w="20" w:type="dxa"/>
            <w:vAlign w:val="bottom"/>
          </w:tcPr>
          <w:p>
            <w:pPr>
              <w:spacing w:after="0"/>
              <w:rPr>
                <w:sz w:val="22"/>
                <w:szCs w:val="22"/>
                <w:color w:val="auto"/>
              </w:rPr>
            </w:pPr>
          </w:p>
        </w:tc>
        <w:tc>
          <w:tcPr>
            <w:tcW w:w="70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Ratio of total expenses to average net assets </w:t>
            </w:r>
            <w:r>
              <w:rPr>
                <w:rFonts w:ascii="Arial" w:cs="Arial" w:eastAsia="Arial" w:hAnsi="Arial"/>
                <w:sz w:val="29"/>
                <w:szCs w:val="29"/>
                <w:color w:val="auto"/>
                <w:vertAlign w:val="superscript"/>
              </w:rPr>
              <w:t>(4)</w:t>
            </w:r>
          </w:p>
        </w:tc>
        <w:tc>
          <w:tcPr>
            <w:tcW w:w="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14.92%</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10.74%</w:t>
            </w:r>
          </w:p>
        </w:tc>
      </w:tr>
      <w:tr>
        <w:trPr>
          <w:trHeight w:val="257"/>
        </w:trPr>
        <w:tc>
          <w:tcPr>
            <w:tcW w:w="20" w:type="dxa"/>
            <w:vAlign w:val="bottom"/>
          </w:tcPr>
          <w:p>
            <w:pPr>
              <w:spacing w:after="0"/>
              <w:rPr>
                <w:sz w:val="22"/>
                <w:szCs w:val="22"/>
                <w:color w:val="auto"/>
              </w:rPr>
            </w:pPr>
          </w:p>
        </w:tc>
        <w:tc>
          <w:tcPr>
            <w:tcW w:w="7000" w:type="dxa"/>
            <w:vAlign w:val="bottom"/>
          </w:tcPr>
          <w:p>
            <w:pPr>
              <w:spacing w:after="0" w:line="256" w:lineRule="exact"/>
              <w:rPr>
                <w:sz w:val="20"/>
                <w:szCs w:val="20"/>
                <w:color w:val="auto"/>
              </w:rPr>
            </w:pPr>
            <w:r>
              <w:rPr>
                <w:rFonts w:ascii="Arial" w:cs="Arial" w:eastAsia="Arial" w:hAnsi="Arial"/>
                <w:sz w:val="18"/>
                <w:szCs w:val="18"/>
                <w:color w:val="auto"/>
              </w:rPr>
              <w:t xml:space="preserve">Portfolio turnover rate </w:t>
            </w:r>
            <w:r>
              <w:rPr>
                <w:rFonts w:ascii="Arial" w:cs="Arial" w:eastAsia="Arial" w:hAnsi="Arial"/>
                <w:sz w:val="29"/>
                <w:szCs w:val="29"/>
                <w:color w:val="auto"/>
                <w:vertAlign w:val="superscript"/>
              </w:rPr>
              <w:t>(3)</w:t>
            </w: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23.52%</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16.14%</w:t>
            </w:r>
          </w:p>
        </w:tc>
      </w:tr>
      <w:tr>
        <w:trPr>
          <w:trHeight w:val="257"/>
        </w:trPr>
        <w:tc>
          <w:tcPr>
            <w:tcW w:w="20" w:type="dxa"/>
            <w:vAlign w:val="bottom"/>
          </w:tcPr>
          <w:p>
            <w:pPr>
              <w:spacing w:after="0"/>
              <w:rPr>
                <w:sz w:val="22"/>
                <w:szCs w:val="22"/>
                <w:color w:val="auto"/>
              </w:rPr>
            </w:pPr>
          </w:p>
        </w:tc>
        <w:tc>
          <w:tcPr>
            <w:tcW w:w="70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Average debt outstanding </w:t>
            </w:r>
            <w:r>
              <w:rPr>
                <w:rFonts w:ascii="Arial" w:cs="Arial" w:eastAsia="Arial" w:hAnsi="Arial"/>
                <w:sz w:val="29"/>
                <w:szCs w:val="29"/>
                <w:color w:val="auto"/>
                <w:vertAlign w:val="superscript"/>
              </w:rPr>
              <w:t>(5)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317,524</w:t>
            </w:r>
          </w:p>
        </w:tc>
        <w:tc>
          <w:tcPr>
            <w:tcW w:w="26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238,293</w:t>
            </w:r>
          </w:p>
        </w:tc>
        <w:tc>
          <w:tcPr>
            <w:tcW w:w="220" w:type="dxa"/>
            <w:vAlign w:val="bottom"/>
            <w:shd w:val="clear" w:color="auto" w:fill="CCEEFF"/>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Average debt outstanding per common share</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19.98</w:t>
            </w:r>
          </w:p>
        </w:tc>
        <w:tc>
          <w:tcPr>
            <w:tcW w:w="2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18.37</w:t>
            </w:r>
          </w:p>
        </w:tc>
        <w:tc>
          <w:tcPr>
            <w:tcW w:w="22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70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Asset coverage ratio per unit </w:t>
            </w:r>
            <w:r>
              <w:rPr>
                <w:rFonts w:ascii="Arial" w:cs="Arial" w:eastAsia="Arial" w:hAnsi="Arial"/>
                <w:sz w:val="29"/>
                <w:szCs w:val="29"/>
                <w:color w:val="auto"/>
                <w:vertAlign w:val="superscript"/>
              </w:rPr>
              <w:t>(6)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w:t>
            </w:r>
          </w:p>
        </w:tc>
        <w:tc>
          <w:tcPr>
            <w:tcW w:w="26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220" w:type="dxa"/>
            <w:vAlign w:val="bottom"/>
            <w:shd w:val="clear" w:color="auto" w:fill="CCEEFF"/>
          </w:tcPr>
          <w:p>
            <w:pPr>
              <w:spacing w:after="0"/>
              <w:rPr>
                <w:sz w:val="22"/>
                <w:szCs w:val="22"/>
                <w:color w:val="auto"/>
              </w:rPr>
            </w:pPr>
          </w:p>
        </w:tc>
      </w:tr>
    </w:tbl>
    <w:p>
      <w:pPr>
        <w:ind w:left="1000" w:hanging="551"/>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daily weighted average balance of shares outstanding during the period.</w:t>
      </w:r>
    </w:p>
    <w:p>
      <w:pPr>
        <w:spacing w:after="0" w:line="9" w:lineRule="exact"/>
        <w:rPr>
          <w:rFonts w:ascii="Arial" w:cs="Arial" w:eastAsia="Arial" w:hAnsi="Arial"/>
          <w:sz w:val="18"/>
          <w:szCs w:val="18"/>
          <w:color w:val="auto"/>
        </w:rPr>
      </w:pPr>
    </w:p>
    <w:p>
      <w:pPr>
        <w:ind w:left="1000" w:right="200" w:hanging="551"/>
        <w:spacing w:after="0" w:line="265" w:lineRule="auto"/>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Total investment return is calculated assuming a purchase of common shares at the current market value on the first day and a sale at the current market value on the last day of the period reported. Dividends and distributions, if any, are assumed for purposes of this calculation to be reinvested at prices obtained under the Company’s dividend reinvestment plan. Total investment return does not reflect brokerage commissions. Total investment returns covering less than a full period are not annualized.</w:t>
      </w:r>
    </w:p>
    <w:p>
      <w:pPr>
        <w:ind w:left="1000" w:right="360" w:hanging="551"/>
        <w:spacing w:after="0" w:line="250"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Portfolio turnover rate is calculated using the lesser of year-to-date sales or year-to-date purchases over the average of the invested assets at fair value. Portfolio turnover rates that cover less than a full period are not annualized.</w:t>
      </w:r>
    </w:p>
    <w:p>
      <w:pPr>
        <w:ind w:left="1000" w:hanging="551"/>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Ratios are annualized.</w:t>
      </w:r>
    </w:p>
    <w:p>
      <w:pPr>
        <w:spacing w:after="0" w:line="9" w:lineRule="exact"/>
        <w:rPr>
          <w:rFonts w:ascii="Arial" w:cs="Arial" w:eastAsia="Arial" w:hAnsi="Arial"/>
          <w:sz w:val="18"/>
          <w:szCs w:val="18"/>
          <w:color w:val="auto"/>
        </w:rPr>
      </w:pPr>
    </w:p>
    <w:p>
      <w:pPr>
        <w:ind w:left="1000" w:hanging="551"/>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daily weighted average balance of debt outstanding during the period.</w:t>
      </w:r>
    </w:p>
    <w:p>
      <w:pPr>
        <w:spacing w:after="0" w:line="9" w:lineRule="exact"/>
        <w:rPr>
          <w:rFonts w:ascii="Arial" w:cs="Arial" w:eastAsia="Arial" w:hAnsi="Arial"/>
          <w:sz w:val="18"/>
          <w:szCs w:val="18"/>
          <w:color w:val="auto"/>
        </w:rPr>
      </w:pPr>
    </w:p>
    <w:p>
      <w:pPr>
        <w:ind w:left="1000" w:right="260" w:hanging="551"/>
        <w:spacing w:after="0" w:line="281" w:lineRule="auto"/>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Asset coverage per unit is the ratio of the carrying value of our total consolidated assets, less all liabilities and indebtness not represented by senior securities, to the aggregate amount of senior securities representing indebtness. We have excluded our SBA-guaranteed debentures from the asset coverage calculation as of September 30, 2015 pursuant to the exemptive relief granted by the SEC in June 2014 that permits us to exclude such debentures from the definition of senior securities in the 200% asset coverage ratio we are required to maintain under the 1940 Act. Asset coverage per unit is expressed in terms of dollar amounts per $1,000 of indebtness. Including our unfunded commitments of $21.0 million as of September 30, 2015, our asset coverage ratio would be $2,434.</w:t>
      </w:r>
    </w:p>
    <w:p>
      <w:pPr>
        <w:spacing w:after="0" w:line="4" w:lineRule="exact"/>
        <w:rPr>
          <w:rFonts w:ascii="Arial" w:cs="Arial" w:eastAsia="Arial" w:hAnsi="Arial"/>
          <w:sz w:val="16"/>
          <w:szCs w:val="16"/>
          <w:color w:val="auto"/>
        </w:rPr>
      </w:pPr>
    </w:p>
    <w:p>
      <w:pPr>
        <w:ind w:left="1000" w:hanging="551"/>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ratio of waived management fees to average net assets was 0.09% for the nine months ended September 30, 2014.</w:t>
      </w:r>
    </w:p>
    <w:p>
      <w:pPr>
        <w:spacing w:after="0" w:line="9" w:lineRule="exact"/>
        <w:rPr>
          <w:rFonts w:ascii="Arial" w:cs="Arial" w:eastAsia="Arial" w:hAnsi="Arial"/>
          <w:sz w:val="18"/>
          <w:szCs w:val="18"/>
          <w:color w:val="auto"/>
        </w:rPr>
      </w:pPr>
    </w:p>
    <w:p>
      <w:pPr>
        <w:ind w:left="1000" w:right="180" w:hanging="551"/>
        <w:spacing w:after="0" w:line="255"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the impact of different share amounts used in calculating per share data as a result of calculating certain per share data based on weighted average shares outstanding during the period and certain per share data based on shares outstanding as of a period end or transaction date.</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Note 15. Subsequent Events</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Management has evaluated subsequent events through the date of issuance of the consolidated financial statements included herein. There have been no subsequent events that occurred during such period that would be required to be recognized in the consolidated financial statements as of September 30,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right="20" w:firstLine="881"/>
        <w:spacing w:after="0" w:line="277" w:lineRule="auto"/>
        <w:rPr>
          <w:sz w:val="20"/>
          <w:szCs w:val="20"/>
          <w:color w:val="auto"/>
        </w:rPr>
      </w:pPr>
      <w:r>
        <w:rPr>
          <w:rFonts w:ascii="Arial" w:cs="Arial" w:eastAsia="Arial" w:hAnsi="Arial"/>
          <w:sz w:val="18"/>
          <w:szCs w:val="18"/>
          <w:color w:val="auto"/>
        </w:rPr>
        <w:t>On October 1, 2015, the Company’s Board of Directors declared normal monthly distributions for October, November, and December of 2015 as set forth below:</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Date Declared</w:t>
            </w:r>
          </w:p>
        </w:tc>
        <w:tc>
          <w:tcPr>
            <w:tcW w:w="2580" w:type="dxa"/>
            <w:vAlign w:val="bottom"/>
            <w:gridSpan w:val="2"/>
          </w:tcPr>
          <w:p>
            <w:pPr>
              <w:ind w:left="740"/>
              <w:spacing w:after="0"/>
              <w:rPr>
                <w:sz w:val="20"/>
                <w:szCs w:val="20"/>
                <w:color w:val="auto"/>
              </w:rPr>
            </w:pPr>
            <w:r>
              <w:rPr>
                <w:rFonts w:ascii="Arial" w:cs="Arial" w:eastAsia="Arial" w:hAnsi="Arial"/>
                <w:sz w:val="18"/>
                <w:szCs w:val="18"/>
                <w:b w:val="1"/>
                <w:bCs w:val="1"/>
                <w:color w:val="auto"/>
              </w:rPr>
              <w:t>Record Date</w:t>
            </w:r>
          </w:p>
        </w:tc>
        <w:tc>
          <w:tcPr>
            <w:tcW w:w="2460" w:type="dxa"/>
            <w:vAlign w:val="bottom"/>
          </w:tcPr>
          <w:p>
            <w:pPr>
              <w:ind w:left="680"/>
              <w:spacing w:after="0"/>
              <w:rPr>
                <w:sz w:val="20"/>
                <w:szCs w:val="20"/>
                <w:color w:val="auto"/>
              </w:rPr>
            </w:pPr>
            <w:r>
              <w:rPr>
                <w:rFonts w:ascii="Arial" w:cs="Arial" w:eastAsia="Arial" w:hAnsi="Arial"/>
                <w:sz w:val="18"/>
                <w:szCs w:val="18"/>
                <w:b w:val="1"/>
                <w:bCs w:val="1"/>
                <w:color w:val="auto"/>
              </w:rPr>
              <w:t>Payment Date</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gridSpan w:val="2"/>
          </w:tcPr>
          <w:p>
            <w:pPr>
              <w:ind w:left="100"/>
              <w:spacing w:after="0"/>
              <w:rPr>
                <w:sz w:val="20"/>
                <w:szCs w:val="20"/>
                <w:color w:val="auto"/>
              </w:rPr>
            </w:pPr>
            <w:r>
              <w:rPr>
                <w:rFonts w:ascii="Arial" w:cs="Arial" w:eastAsia="Arial" w:hAnsi="Arial"/>
                <w:sz w:val="18"/>
                <w:szCs w:val="18"/>
                <w:b w:val="1"/>
                <w:bCs w:val="1"/>
                <w:color w:val="auto"/>
              </w:rPr>
              <w:t>Distributions per Share</w:t>
            </w:r>
          </w:p>
        </w:tc>
      </w:tr>
      <w:tr>
        <w:trPr>
          <w:trHeight w:val="210"/>
        </w:trPr>
        <w:tc>
          <w:tcPr>
            <w:tcW w:w="2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October 1, 2015</w:t>
            </w:r>
          </w:p>
        </w:tc>
        <w:tc>
          <w:tcPr>
            <w:tcW w:w="12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October 23, 2015</w:t>
            </w:r>
          </w:p>
        </w:tc>
        <w:tc>
          <w:tcPr>
            <w:tcW w:w="12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October 29, 2015</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October 1, 2015</w:t>
            </w:r>
          </w:p>
        </w:tc>
        <w:tc>
          <w:tcPr>
            <w:tcW w:w="258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November 20, 2015</w:t>
            </w:r>
          </w:p>
        </w:tc>
        <w:tc>
          <w:tcPr>
            <w:tcW w:w="2460" w:type="dxa"/>
            <w:vAlign w:val="bottom"/>
          </w:tcPr>
          <w:p>
            <w:pPr>
              <w:jc w:val="center"/>
              <w:spacing w:after="0"/>
              <w:rPr>
                <w:sz w:val="20"/>
                <w:szCs w:val="20"/>
                <w:color w:val="auto"/>
              </w:rPr>
            </w:pPr>
            <w:r>
              <w:rPr>
                <w:rFonts w:ascii="Arial" w:cs="Arial" w:eastAsia="Arial" w:hAnsi="Arial"/>
                <w:sz w:val="18"/>
                <w:szCs w:val="18"/>
                <w:color w:val="auto"/>
                <w:w w:val="91"/>
              </w:rPr>
              <w:t>November 27, 2015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180" w:type="dxa"/>
            <w:vAlign w:val="bottom"/>
          </w:tcPr>
          <w:p>
            <w:pPr>
              <w:jc w:val="right"/>
              <w:spacing w:after="0"/>
              <w:rPr>
                <w:sz w:val="20"/>
                <w:szCs w:val="20"/>
                <w:color w:val="auto"/>
              </w:rPr>
            </w:pPr>
            <w:r>
              <w:rPr>
                <w:rFonts w:ascii="Arial" w:cs="Arial" w:eastAsia="Arial" w:hAnsi="Arial"/>
                <w:sz w:val="18"/>
                <w:szCs w:val="18"/>
                <w:color w:val="auto"/>
              </w:rPr>
              <w:t>0.1567</w:t>
            </w:r>
          </w:p>
        </w:tc>
        <w:tc>
          <w:tcPr>
            <w:tcW w:w="100" w:type="dxa"/>
            <w:vAlign w:val="bottom"/>
          </w:tcPr>
          <w:p>
            <w:pPr>
              <w:spacing w:after="0"/>
              <w:rPr>
                <w:sz w:val="18"/>
                <w:szCs w:val="18"/>
                <w:color w:val="auto"/>
              </w:rPr>
            </w:pPr>
          </w:p>
        </w:tc>
      </w:tr>
      <w:tr>
        <w:trPr>
          <w:trHeight w:val="216"/>
        </w:trPr>
        <w:tc>
          <w:tcPr>
            <w:tcW w:w="2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October 1, 2015</w:t>
            </w:r>
          </w:p>
        </w:tc>
        <w:tc>
          <w:tcPr>
            <w:tcW w:w="258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89"/>
              </w:rPr>
              <w:t>December 22, 2015</w:t>
            </w:r>
          </w:p>
        </w:tc>
        <w:tc>
          <w:tcPr>
            <w:tcW w:w="2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December 30, 2015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0.1567</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Activity</w:t>
      </w:r>
    </w:p>
    <w:p>
      <w:pPr>
        <w:spacing w:after="0" w:line="225" w:lineRule="exact"/>
        <w:rPr>
          <w:sz w:val="20"/>
          <w:szCs w:val="20"/>
          <w:color w:val="auto"/>
        </w:rPr>
      </w:pPr>
    </w:p>
    <w:p>
      <w:pPr>
        <w:ind w:right="280" w:firstLine="881"/>
        <w:spacing w:after="0" w:line="277" w:lineRule="auto"/>
        <w:rPr>
          <w:sz w:val="20"/>
          <w:szCs w:val="20"/>
          <w:color w:val="auto"/>
        </w:rPr>
      </w:pPr>
      <w:r>
        <w:rPr>
          <w:rFonts w:ascii="Arial" w:cs="Arial" w:eastAsia="Arial" w:hAnsi="Arial"/>
          <w:sz w:val="18"/>
          <w:szCs w:val="18"/>
          <w:color w:val="auto"/>
        </w:rPr>
        <w:t>On October 22, 2015, the Company sold $13.0 million of its Western Window Systems, LLC senior secured term debt investment as part of a post-closing syndication.</w:t>
      </w: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520" w:firstLine="881"/>
        <w:spacing w:after="0" w:line="277" w:lineRule="auto"/>
        <w:rPr>
          <w:sz w:val="20"/>
          <w:szCs w:val="20"/>
          <w:color w:val="auto"/>
        </w:rPr>
      </w:pPr>
      <w:r>
        <w:rPr>
          <w:rFonts w:ascii="Arial" w:cs="Arial" w:eastAsia="Arial" w:hAnsi="Arial"/>
          <w:sz w:val="18"/>
          <w:szCs w:val="18"/>
          <w:color w:val="auto"/>
        </w:rPr>
        <w:t>The following discussion and analysis should be read in conjunction with our consolidated financial statements and related notes and other financial information appearing elsewhere in this Quarterly Report on Form 10-Q.</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Except as otherwise specified, references to “we,” “us,” “our” or the “Company”, refer to Capitala Finance Corp.</w:t>
      </w:r>
    </w:p>
    <w:p>
      <w:pPr>
        <w:spacing w:after="0" w:line="225" w:lineRule="exact"/>
        <w:rPr>
          <w:sz w:val="20"/>
          <w:szCs w:val="20"/>
          <w:color w:val="auto"/>
        </w:rPr>
      </w:pPr>
    </w:p>
    <w:p>
      <w:pPr>
        <w:ind w:firstLine="881"/>
        <w:spacing w:after="0" w:line="297" w:lineRule="auto"/>
        <w:rPr>
          <w:sz w:val="20"/>
          <w:szCs w:val="20"/>
          <w:color w:val="auto"/>
        </w:rPr>
      </w:pPr>
      <w:r>
        <w:rPr>
          <w:rFonts w:ascii="Arial" w:cs="Arial" w:eastAsia="Arial" w:hAnsi="Arial"/>
          <w:sz w:val="16"/>
          <w:szCs w:val="16"/>
          <w:color w:val="auto"/>
        </w:rPr>
        <w:t>This Quarterly Report, including Management’s Discussion and Analysis of Financial Condition and Results of Operations, contains forward-looking statements that involve substantial risks and uncertainties. These forward-looking statements are not historical facts, but rather are based on current expectations, estimates and projections about the Company,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forward-looking statements contained in this Quarterly Report on Form 10-Q involve risks and uncertainties, including statements as to:</w:t>
      </w:r>
    </w:p>
    <w:p>
      <w:pPr>
        <w:spacing w:after="0" w:line="237" w:lineRule="exact"/>
        <w:rPr>
          <w:sz w:val="20"/>
          <w:szCs w:val="20"/>
          <w:color w:val="auto"/>
        </w:rPr>
      </w:pPr>
    </w:p>
    <w:p>
      <w:pPr>
        <w:ind w:left="1960" w:hanging="331"/>
        <w:spacing w:after="0"/>
        <w:tabs>
          <w:tab w:leader="none" w:pos="1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225" w:lineRule="exact"/>
        <w:rPr>
          <w:rFonts w:ascii="Arial" w:cs="Arial" w:eastAsia="Arial" w:hAnsi="Arial"/>
          <w:sz w:val="18"/>
          <w:szCs w:val="18"/>
          <w:color w:val="auto"/>
        </w:rPr>
      </w:pPr>
    </w:p>
    <w:p>
      <w:pPr>
        <w:ind w:left="1980" w:hanging="338"/>
        <w:spacing w:after="0"/>
        <w:tabs>
          <w:tab w:leader="none" w:pos="1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225" w:lineRule="exact"/>
        <w:rPr>
          <w:rFonts w:ascii="Arial" w:cs="Arial" w:eastAsia="Arial" w:hAnsi="Arial"/>
          <w:sz w:val="18"/>
          <w:szCs w:val="18"/>
          <w:color w:val="auto"/>
        </w:rPr>
      </w:pPr>
    </w:p>
    <w:p>
      <w:pPr>
        <w:ind w:left="1980" w:hanging="338"/>
        <w:spacing w:after="0"/>
        <w:tabs>
          <w:tab w:leader="none" w:pos="1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225" w:lineRule="exact"/>
        <w:rPr>
          <w:rFonts w:ascii="Arial" w:cs="Arial" w:eastAsia="Arial" w:hAnsi="Arial"/>
          <w:sz w:val="18"/>
          <w:szCs w:val="18"/>
          <w:color w:val="auto"/>
        </w:rPr>
      </w:pPr>
    </w:p>
    <w:p>
      <w:pPr>
        <w:ind w:left="1980" w:hanging="338"/>
        <w:spacing w:after="0"/>
        <w:tabs>
          <w:tab w:leader="none" w:pos="1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225" w:lineRule="exact"/>
        <w:rPr>
          <w:rFonts w:ascii="Arial" w:cs="Arial" w:eastAsia="Arial" w:hAnsi="Arial"/>
          <w:sz w:val="18"/>
          <w:szCs w:val="18"/>
          <w:color w:val="auto"/>
        </w:rPr>
      </w:pPr>
    </w:p>
    <w:p>
      <w:pPr>
        <w:ind w:left="1980" w:hanging="338"/>
        <w:spacing w:after="0"/>
        <w:tabs>
          <w:tab w:leader="none" w:pos="1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225" w:lineRule="exact"/>
        <w:rPr>
          <w:rFonts w:ascii="Arial" w:cs="Arial" w:eastAsia="Arial" w:hAnsi="Arial"/>
          <w:sz w:val="18"/>
          <w:szCs w:val="18"/>
          <w:color w:val="auto"/>
        </w:rPr>
      </w:pPr>
    </w:p>
    <w:p>
      <w:pPr>
        <w:ind w:left="1980" w:hanging="338"/>
        <w:spacing w:after="0"/>
        <w:tabs>
          <w:tab w:leader="none" w:pos="1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225" w:lineRule="exact"/>
        <w:rPr>
          <w:rFonts w:ascii="Arial" w:cs="Arial" w:eastAsia="Arial" w:hAnsi="Arial"/>
          <w:sz w:val="18"/>
          <w:szCs w:val="18"/>
          <w:color w:val="auto"/>
        </w:rPr>
      </w:pPr>
    </w:p>
    <w:p>
      <w:pPr>
        <w:ind w:left="1980" w:hanging="338"/>
        <w:spacing w:after="0"/>
        <w:tabs>
          <w:tab w:leader="none" w:pos="1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225" w:lineRule="exact"/>
        <w:rPr>
          <w:rFonts w:ascii="Arial" w:cs="Arial" w:eastAsia="Arial" w:hAnsi="Arial"/>
          <w:sz w:val="18"/>
          <w:szCs w:val="18"/>
          <w:color w:val="auto"/>
        </w:rPr>
      </w:pPr>
    </w:p>
    <w:p>
      <w:pPr>
        <w:ind w:left="1980" w:hanging="338"/>
        <w:spacing w:after="0"/>
        <w:tabs>
          <w:tab w:leader="none" w:pos="1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 and</w:t>
      </w:r>
    </w:p>
    <w:p>
      <w:pPr>
        <w:spacing w:after="0" w:line="225" w:lineRule="exact"/>
        <w:rPr>
          <w:rFonts w:ascii="Arial" w:cs="Arial" w:eastAsia="Arial" w:hAnsi="Arial"/>
          <w:sz w:val="18"/>
          <w:szCs w:val="18"/>
          <w:color w:val="auto"/>
        </w:rPr>
      </w:pPr>
    </w:p>
    <w:p>
      <w:pPr>
        <w:ind w:left="1980" w:hanging="338"/>
        <w:spacing w:after="0"/>
        <w:tabs>
          <w:tab w:leader="none" w:pos="1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225" w:lineRule="exact"/>
        <w:rPr>
          <w:sz w:val="20"/>
          <w:szCs w:val="20"/>
          <w:color w:val="auto"/>
        </w:rPr>
      </w:pPr>
    </w:p>
    <w:p>
      <w:pPr>
        <w:ind w:right="20" w:firstLine="881"/>
        <w:spacing w:after="0" w:line="264" w:lineRule="auto"/>
        <w:rPr>
          <w:sz w:val="20"/>
          <w:szCs w:val="20"/>
          <w:color w:val="auto"/>
        </w:rPr>
      </w:pPr>
      <w:r>
        <w:rPr>
          <w:rFonts w:ascii="Arial" w:cs="Arial" w:eastAsia="Arial" w:hAnsi="Arial"/>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81" w:lineRule="exact"/>
        <w:rPr>
          <w:sz w:val="20"/>
          <w:szCs w:val="20"/>
          <w:color w:val="auto"/>
        </w:rPr>
      </w:pPr>
    </w:p>
    <w:p>
      <w:pPr>
        <w:ind w:left="1980" w:hanging="338"/>
        <w:spacing w:after="0" w:line="277" w:lineRule="auto"/>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ability to continue to operate or repay their borrowings, which could lead to the loss of some or all of our investments in such portfolio companies;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41" w:name="page42"/>
    <w:bookmarkEnd w:id="41"/>
    <w:p>
      <w:pPr>
        <w:ind w:left="1980" w:hanging="338"/>
        <w:spacing w:after="0"/>
        <w:tabs>
          <w:tab w:leader="none" w:pos="1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contraction of available credit and/or an inability to access the equity markets could impair our lending and investment activities;</w:t>
      </w:r>
    </w:p>
    <w:p>
      <w:pPr>
        <w:spacing w:after="0" w:line="248" w:lineRule="exact"/>
        <w:rPr>
          <w:rFonts w:ascii="Arial" w:cs="Arial" w:eastAsia="Arial" w:hAnsi="Arial"/>
          <w:sz w:val="16"/>
          <w:szCs w:val="16"/>
          <w:color w:val="auto"/>
        </w:rPr>
      </w:pPr>
    </w:p>
    <w:p>
      <w:pPr>
        <w:ind w:left="1980" w:hanging="338"/>
        <w:spacing w:after="0"/>
        <w:tabs>
          <w:tab w:leader="none" w:pos="1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interest rate volatility could adversely affect our results, particularly if we use leverage as part of our investment strategy; and</w:t>
      </w:r>
    </w:p>
    <w:p>
      <w:pPr>
        <w:spacing w:after="0" w:line="236" w:lineRule="exact"/>
        <w:rPr>
          <w:rFonts w:ascii="Arial" w:cs="Arial" w:eastAsia="Arial" w:hAnsi="Arial"/>
          <w:sz w:val="17"/>
          <w:szCs w:val="17"/>
          <w:color w:val="auto"/>
        </w:rPr>
      </w:pPr>
    </w:p>
    <w:p>
      <w:pPr>
        <w:ind w:left="1980" w:hanging="338"/>
        <w:spacing w:after="0"/>
        <w:tabs>
          <w:tab w:leader="none" w:pos="1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risks, uncertainties and other factors we identify in “Risk Factors” and elsewhere in this Quarterly Report on Form 10-Q.</w:t>
      </w:r>
    </w:p>
    <w:p>
      <w:pPr>
        <w:spacing w:after="0" w:line="237" w:lineRule="exact"/>
        <w:rPr>
          <w:sz w:val="20"/>
          <w:szCs w:val="20"/>
          <w:color w:val="auto"/>
        </w:rPr>
      </w:pPr>
    </w:p>
    <w:p>
      <w:pPr>
        <w:ind w:right="40" w:firstLine="881"/>
        <w:spacing w:after="0" w:line="271" w:lineRule="auto"/>
        <w:rPr>
          <w:sz w:val="20"/>
          <w:szCs w:val="20"/>
          <w:color w:val="auto"/>
        </w:rPr>
      </w:pPr>
      <w:r>
        <w:rPr>
          <w:rFonts w:ascii="Arial" w:cs="Arial" w:eastAsia="Arial" w:hAnsi="Arial"/>
          <w:sz w:val="17"/>
          <w:szCs w:val="17"/>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“Risk Factors” in our Annual Report on Form 10-K. You should not place undue reliance on these forward-looking statements, which apply only as of the date of this Quarterly Report on Form 10-Q. We undertake no obligation to revise or update any forward-looking statements, whether as a result of new information, future events or otherwise, unless required by law or U.S. Securities and Exchange Commission (“SEC”) rule or regulation.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881"/>
        <w:spacing w:after="0" w:line="257" w:lineRule="auto"/>
        <w:rPr>
          <w:sz w:val="20"/>
          <w:szCs w:val="20"/>
          <w:color w:val="auto"/>
        </w:rPr>
      </w:pPr>
      <w:r>
        <w:rPr>
          <w:rFonts w:ascii="Arial" w:cs="Arial" w:eastAsia="Arial" w:hAnsi="Arial"/>
          <w:sz w:val="18"/>
          <w:szCs w:val="18"/>
          <w:color w:val="auto"/>
        </w:rPr>
        <w:t>We are a Maryland corporation that has elected to be regulated as a business development company (“BDC”) under the Investment Company Act of 1940 (the “1940 Act”). We are an emerging growth company within the meaning of the Jumpstart Our Business Startups Act of 2012 (the “JOBS Act”), and as such, are subject to reduced public company reporting requirements. Our investment objective is to generate both current income and capital appreciation through debt and equity investments. We are managed by Capitala Investment Advisors, LLC (the “Investment Advisor”), and Capitala Advisors Corp. (the “Administrator”) provides the administrative services necessary for us to operate.</w:t>
      </w:r>
    </w:p>
    <w:p>
      <w:pPr>
        <w:spacing w:after="0" w:line="188" w:lineRule="exact"/>
        <w:rPr>
          <w:sz w:val="20"/>
          <w:szCs w:val="20"/>
          <w:color w:val="auto"/>
        </w:rPr>
      </w:pPr>
    </w:p>
    <w:p>
      <w:pPr>
        <w:ind w:right="340" w:firstLine="881"/>
        <w:spacing w:after="0" w:line="279" w:lineRule="auto"/>
        <w:rPr>
          <w:sz w:val="20"/>
          <w:szCs w:val="20"/>
          <w:color w:val="auto"/>
        </w:rPr>
      </w:pPr>
      <w:r>
        <w:rPr>
          <w:rFonts w:ascii="Arial" w:cs="Arial" w:eastAsia="Arial" w:hAnsi="Arial"/>
          <w:sz w:val="17"/>
          <w:szCs w:val="17"/>
          <w:color w:val="auto"/>
        </w:rPr>
        <w:t>We provide capital to lower and traditional middle-market companies primarily in the United States, with a non-exclusive emphasis on the Southeast, Southwest and Mid-Atlantic regions. We invest primarily in companies with a history of earnings growth and positive cash flow, proven management teams, product or service with competitive advantages and industry-appropriate margins. We primarily invest in companies with between $5 million and $30 million in trailing twelve month earnings before interest, tax, depreciation and amortization (“EBITDA”).</w:t>
      </w:r>
    </w:p>
    <w:p>
      <w:pPr>
        <w:spacing w:after="0" w:line="171" w:lineRule="exact"/>
        <w:rPr>
          <w:sz w:val="20"/>
          <w:szCs w:val="20"/>
          <w:color w:val="auto"/>
        </w:rPr>
      </w:pPr>
    </w:p>
    <w:p>
      <w:pPr>
        <w:ind w:right="200" w:firstLine="923"/>
        <w:spacing w:after="0" w:line="286" w:lineRule="auto"/>
        <w:rPr>
          <w:sz w:val="20"/>
          <w:szCs w:val="20"/>
          <w:color w:val="auto"/>
        </w:rPr>
      </w:pPr>
      <w:r>
        <w:rPr>
          <w:rFonts w:ascii="Arial" w:cs="Arial" w:eastAsia="Arial" w:hAnsi="Arial"/>
          <w:sz w:val="17"/>
          <w:szCs w:val="17"/>
          <w:color w:val="auto"/>
        </w:rPr>
        <w:t xml:space="preserve">We invest in mezzanine and senior debt investments that are secured by subordinated liens on all or a portion of our borrowers’ assets and, to a lesser extent, in senior, cash flow-based “unitranche” securities. Many of our debt investments are coupled with equity interests, whether in the form of detachable “penny” warrants or equity co-investments made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our borrowers’ financial sponsors.</w:t>
      </w:r>
    </w:p>
    <w:p>
      <w:pPr>
        <w:spacing w:after="0" w:line="166" w:lineRule="exact"/>
        <w:rPr>
          <w:sz w:val="20"/>
          <w:szCs w:val="20"/>
          <w:color w:val="auto"/>
        </w:rPr>
      </w:pPr>
    </w:p>
    <w:p>
      <w:pPr>
        <w:ind w:right="20" w:firstLine="881"/>
        <w:spacing w:after="0" w:line="272" w:lineRule="auto"/>
        <w:rPr>
          <w:sz w:val="20"/>
          <w:szCs w:val="20"/>
          <w:color w:val="auto"/>
        </w:rPr>
      </w:pPr>
      <w:r>
        <w:rPr>
          <w:rFonts w:ascii="Arial" w:cs="Arial" w:eastAsia="Arial" w:hAnsi="Arial"/>
          <w:sz w:val="17"/>
          <w:szCs w:val="17"/>
          <w:color w:val="auto"/>
        </w:rPr>
        <w:t>As a BDC, we are required to comply with certain regulatory requirements. For instance, we generally have to invest at least 70% of our total assets in “qualifying assets,” including securities of private or thinly traded public U.S. companies, cash, cash equivalents, U.S. government securities and high-quality debt investments that mature in one year or less. In addition, we are only allowed to borrow money such that our asset coverage, as defined in the 1940 Act, equals at least 200% after such borrowing, with certain limited exceptions. To maintain our regulated investment company (“RIC”) status, we must meet specified source-of-income and asset diversification requirements. To maintain our RIC tax treatment under subchapter M of the Internal Revenue Code for 1986, as amended (the “Code”) for U.S. federal income tax purposes, we must distribute at least 90% of our net ordinary income and realized net short-term capital gains in excess of realized net long-term capital losses, if any, for the taxable year.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w:t>
      </w:r>
    </w:p>
    <w:p>
      <w:pPr>
        <w:spacing w:after="0" w:line="229" w:lineRule="exact"/>
        <w:rPr>
          <w:sz w:val="20"/>
          <w:szCs w:val="20"/>
          <w:color w:val="auto"/>
        </w:rPr>
      </w:pPr>
    </w:p>
    <w:p>
      <w:pPr>
        <w:ind w:right="20" w:firstLine="881"/>
        <w:spacing w:after="0" w:line="273" w:lineRule="auto"/>
        <w:rPr>
          <w:sz w:val="20"/>
          <w:szCs w:val="20"/>
          <w:color w:val="auto"/>
        </w:rPr>
      </w:pPr>
      <w:r>
        <w:rPr>
          <w:rFonts w:ascii="Arial" w:cs="Arial" w:eastAsia="Arial" w:hAnsi="Arial"/>
          <w:sz w:val="17"/>
          <w:szCs w:val="17"/>
          <w:color w:val="auto"/>
        </w:rPr>
        <w:t>We commenced operations on May 24, 2013 and completed our initial public offering (“IPO”) on September 30, 2013. 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lower middle market and middle market companies.</w:t>
      </w:r>
    </w:p>
    <w:p>
      <w:pPr>
        <w:spacing w:after="0" w:line="178" w:lineRule="exact"/>
        <w:rPr>
          <w:sz w:val="20"/>
          <w:szCs w:val="20"/>
          <w:color w:val="auto"/>
        </w:rPr>
      </w:pPr>
    </w:p>
    <w:p>
      <w:pPr>
        <w:ind w:firstLine="881"/>
        <w:spacing w:after="0" w:line="291" w:lineRule="auto"/>
        <w:rPr>
          <w:sz w:val="20"/>
          <w:szCs w:val="20"/>
          <w:color w:val="auto"/>
        </w:rPr>
      </w:pPr>
      <w:r>
        <w:rPr>
          <w:rFonts w:ascii="Arial" w:cs="Arial" w:eastAsia="Arial" w:hAnsi="Arial"/>
          <w:sz w:val="16"/>
          <w:szCs w:val="16"/>
          <w:color w:val="auto"/>
        </w:rPr>
        <w:t>On September 24, 2013, the Company acquired 100% of the limited partnership interests in Fund II, Fund III and Florida Sidecar and each of their respective general partners, as well as certain assets from Fund I and Fund III Parent, in exchange for an aggregate of 8,974,420 shares of the Company’s common stock (the “Formation Transactions”). Fund II, Fund III and Florida Sidecar became the Fund’s wholly-owned subsidiaries. Fund II and Fund III retained their SBIC licenses, continued to hold their existing investments at the time of the IPO and have continued to make new investments after the IPO. The IPO consisted of the sale of 4,000,000 shares of the Company’s common stock at a price of $20.00 per share resulting in net proceeds to the Company of $74.25 million, after deducting underwriting fees and commissions totaling $4.0 million and offering expenses totaling $1.75 million. The other costs of the IPO were borne by the limited partners of the Legacy Funds. As of September 30, 2015, the Company had 15,895,580 shares of common stock outstanding.</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ind w:firstLine="881"/>
        <w:spacing w:after="0" w:line="264" w:lineRule="auto"/>
        <w:rPr>
          <w:sz w:val="20"/>
          <w:szCs w:val="20"/>
          <w:color w:val="auto"/>
        </w:rPr>
      </w:pPr>
      <w:r>
        <w:rPr>
          <w:rFonts w:ascii="Arial" w:cs="Arial" w:eastAsia="Arial" w:hAnsi="Arial"/>
          <w:sz w:val="18"/>
          <w:szCs w:val="18"/>
          <w:color w:val="auto"/>
        </w:rPr>
        <w:t>At the time of the Formation Transactions, our portfolio consisted of: (i) approximately $326.3 million in investments; (ii) an aggregate of approximately $67.1 million in cash, interest receivable and other assets; and (iii) liabilities of approximately $202.2 million of SBA-guaranteed debt payable. We have two SBIC-licensed subsidiaries that have elected to be regulated as BDCs under the 1940 Act.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firstLine="881"/>
        <w:spacing w:after="0" w:line="269" w:lineRule="auto"/>
        <w:rPr>
          <w:sz w:val="20"/>
          <w:szCs w:val="20"/>
          <w:color w:val="auto"/>
        </w:rPr>
      </w:pPr>
      <w:r>
        <w:rPr>
          <w:rFonts w:ascii="Arial" w:cs="Arial" w:eastAsia="Arial" w:hAnsi="Arial"/>
          <w:sz w:val="17"/>
          <w:szCs w:val="17"/>
          <w:color w:val="auto"/>
        </w:rPr>
        <w:t>The accompanying unaudited financial statements have been prepared in conformity with United States generally accepted accounting principles (“U.S. GAAP”) for interim financial information and pursuant to the requirements for reporting on Form 10-Q and Article 10 and Article 6 of Regulation S-X. Accordingly, certain disclosures accompanying annual consolidated financial statements prepared in accordance with U.S. GAAP are omitted. In the opinion of management, all adjustments, consisting solely of normal recurring adjustments necessary for the fair presentation of financial statements for the interim periods, have been reflected in the unaudited consolidated financial statements. The current period’s results of operations are not necessarily indicative of results that ultimately may be achieved for the year. Additionally, the unaudited consolidated financial statements and notes should be read in conjunction with the audited consolidated financial statements and notes thereto appearing in the Company’s annual report on Form 10-K for the period ended December 31, 2014, filed with the U.S Securities and Exchange Commission (“SEC”) on March 4, 2015. Financial statements prepared on a U.S. GAAP basis require management to make estimates and assumptions that affect the amounts and disclosures reported in the consolidated financial statements and accompanying notes. Such estimates and assumptions could change in the future as more information becomes known, which could impact the amounts reported and disclosed herein.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229" w:lineRule="exact"/>
        <w:rPr>
          <w:sz w:val="20"/>
          <w:szCs w:val="20"/>
          <w:color w:val="auto"/>
        </w:rPr>
      </w:pPr>
    </w:p>
    <w:p>
      <w:pPr>
        <w:ind w:right="320" w:firstLine="881"/>
        <w:spacing w:after="0" w:line="291" w:lineRule="auto"/>
        <w:rPr>
          <w:sz w:val="20"/>
          <w:szCs w:val="20"/>
          <w:color w:val="auto"/>
        </w:rPr>
      </w:pPr>
      <w:r>
        <w:rPr>
          <w:rFonts w:ascii="Arial" w:cs="Arial" w:eastAsia="Arial" w:hAnsi="Arial"/>
          <w:sz w:val="16"/>
          <w:szCs w:val="16"/>
          <w:color w:val="auto"/>
        </w:rPr>
        <w:t xml:space="preserve">As provided under Regulation S-X and Accounting Standards Codification (“ASC”) Topic 946 </w:t>
      </w:r>
      <w:r>
        <w:rPr>
          <w:rFonts w:ascii="Arial" w:cs="Arial" w:eastAsia="Arial" w:hAnsi="Arial"/>
          <w:sz w:val="16"/>
          <w:szCs w:val="16"/>
          <w:i w:val="1"/>
          <w:iCs w:val="1"/>
          <w:color w:val="auto"/>
        </w:rPr>
        <w:t>– Financial Services – Investment Companies</w:t>
      </w:r>
      <w:r>
        <w:rPr>
          <w:rFonts w:ascii="Arial" w:cs="Arial" w:eastAsia="Arial" w:hAnsi="Arial"/>
          <w:sz w:val="16"/>
          <w:szCs w:val="16"/>
          <w:color w:val="auto"/>
        </w:rPr>
        <w:t xml:space="preserve"> (ASC Topic 946), the Company will generally not consolidate its investment in a company other than an investment company subsidiary or a controlled operating company whose business consists of providing services to the Company. Accordingly, the Company consolidated the results of the Company’s wholly owned subsidiaries in its consolidated financial statements. The Company does not consolidate its interests in Capitala Senior Liquid Loan Fund I, LLC (“CSLLF”) and CION/Capitala Senior Liquid Loan Fund I, LLC (“CCSLLF”) because the entities are not considered substantially wholly owned investment company subsidiaries. Further, CSLLF and CCSLLF are joint ventures for which shared power exists relating to the decisions that most significantly impact the economic performance of the entities. See Note 4 for description of the Company’s investments in CSLLF and CCSLLF.</w:t>
      </w:r>
    </w:p>
    <w:p>
      <w:pPr>
        <w:spacing w:after="0" w:line="167" w:lineRule="exact"/>
        <w:rPr>
          <w:sz w:val="20"/>
          <w:szCs w:val="20"/>
          <w:color w:val="auto"/>
        </w:rPr>
      </w:pPr>
    </w:p>
    <w:p>
      <w:pPr>
        <w:ind w:right="340" w:firstLine="881"/>
        <w:spacing w:after="0" w:line="302" w:lineRule="auto"/>
        <w:rPr>
          <w:sz w:val="20"/>
          <w:szCs w:val="20"/>
          <w:color w:val="auto"/>
        </w:rPr>
      </w:pPr>
      <w:r>
        <w:rPr>
          <w:rFonts w:ascii="Arial" w:cs="Arial" w:eastAsia="Arial" w:hAnsi="Arial"/>
          <w:sz w:val="16"/>
          <w:szCs w:val="16"/>
          <w:color w:val="auto"/>
        </w:rPr>
        <w:t>The Company’s financial position as of September 30, 2015 is presented on a consolidated basis. The effects of all intercompany transactions between the Company and its subsidiaries (Fund II, Fund III, and the Florida Sidecar) have been eliminated in consolidation. All financial data and information included in these consolidated financial statements have been presented on the basis described above. In the opinion of management, the consolidated financial statements reflect all adjustments that are necessary for the fair presentation of financial results as of and for the periods presented.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ind w:right="140" w:firstLine="881"/>
        <w:spacing w:after="0" w:line="257" w:lineRule="auto"/>
        <w:rPr>
          <w:sz w:val="20"/>
          <w:szCs w:val="20"/>
          <w:color w:val="auto"/>
        </w:rPr>
      </w:pPr>
      <w:r>
        <w:rPr>
          <w:rFonts w:ascii="Arial" w:cs="Arial" w:eastAsia="Arial" w:hAnsi="Arial"/>
          <w:sz w:val="18"/>
          <w:szCs w:val="18"/>
          <w:color w:val="auto"/>
        </w:rPr>
        <w:t>We generate revenue primarily from the periodic cash interest we will collect on our debt investments. In addition, most of our debt investments offer the opportunity to participate in a borrower’s equity performance through warrant participation, direct equity ownership or otherwise, which we expect to result in revenue in the form of dividends and/or capital gains. Further, we may generate revenue in the form of commitment, origination, structuring or diligence fees, monitoring fees, fees for providing managerial assistance and possibly consulting fees and performance-based fees. These fees will be recognized as they are earned.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29" w:lineRule="exact"/>
        <w:rPr>
          <w:sz w:val="20"/>
          <w:szCs w:val="20"/>
          <w:color w:val="auto"/>
        </w:rPr>
      </w:pPr>
    </w:p>
    <w:p>
      <w:pPr>
        <w:ind w:right="80" w:firstLine="881"/>
        <w:spacing w:after="0" w:line="279" w:lineRule="auto"/>
        <w:rPr>
          <w:sz w:val="20"/>
          <w:szCs w:val="20"/>
          <w:color w:val="auto"/>
        </w:rPr>
      </w:pPr>
      <w:r>
        <w:rPr>
          <w:rFonts w:ascii="Arial" w:cs="Arial" w:eastAsia="Arial" w:hAnsi="Arial"/>
          <w:sz w:val="17"/>
          <w:szCs w:val="17"/>
          <w:color w:val="auto"/>
        </w:rPr>
        <w:t>Our primary operating expenses include the payment of investment advisory fees to our Investment Advisor, our allocable portion of overhead and other expenses incurred by our Administrator in performing its obligations under the Administration Agreement and other operating expenses as detailed below. Our investment advisory fee will compensate our Investment Advisor for its work in identifying, evaluating, negotiating, closing, monitoring and servicing our investments. We will bear all other expenses of our operations and transactions, including (without limitation):</w:t>
      </w:r>
    </w:p>
    <w:p>
      <w:pPr>
        <w:spacing w:after="0" w:line="171" w:lineRule="exact"/>
        <w:rPr>
          <w:sz w:val="20"/>
          <w:szCs w:val="20"/>
          <w:color w:val="auto"/>
        </w:rPr>
      </w:pPr>
    </w:p>
    <w:p>
      <w:pPr>
        <w:ind w:left="1980" w:hanging="338"/>
        <w:spacing w:after="0"/>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our organization;</w:t>
      </w:r>
    </w:p>
    <w:p>
      <w:pPr>
        <w:spacing w:after="0" w:line="225" w:lineRule="exact"/>
        <w:rPr>
          <w:rFonts w:ascii="Arial" w:cs="Arial" w:eastAsia="Arial" w:hAnsi="Arial"/>
          <w:sz w:val="18"/>
          <w:szCs w:val="18"/>
          <w:color w:val="auto"/>
        </w:rPr>
      </w:pPr>
    </w:p>
    <w:p>
      <w:pPr>
        <w:ind w:left="1980" w:hanging="338"/>
        <w:spacing w:after="0"/>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225" w:lineRule="exact"/>
        <w:rPr>
          <w:rFonts w:ascii="Arial" w:cs="Arial" w:eastAsia="Arial" w:hAnsi="Arial"/>
          <w:sz w:val="18"/>
          <w:szCs w:val="18"/>
          <w:color w:val="auto"/>
        </w:rPr>
      </w:pPr>
    </w:p>
    <w:p>
      <w:pPr>
        <w:ind w:left="1980" w:hanging="338"/>
        <w:spacing w:after="0"/>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effecting sales and repurchases of our shares and other securities;</w:t>
      </w:r>
    </w:p>
    <w:p>
      <w:pPr>
        <w:spacing w:after="0" w:line="225" w:lineRule="exact"/>
        <w:rPr>
          <w:rFonts w:ascii="Arial" w:cs="Arial" w:eastAsia="Arial" w:hAnsi="Arial"/>
          <w:sz w:val="18"/>
          <w:szCs w:val="18"/>
          <w:color w:val="auto"/>
        </w:rPr>
      </w:pPr>
    </w:p>
    <w:p>
      <w:pPr>
        <w:ind w:left="1980" w:hanging="338"/>
        <w:spacing w:after="0"/>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interest payable on debt, if any, to finance our investments;</w:t>
      </w:r>
    </w:p>
    <w:p>
      <w:pPr>
        <w:spacing w:after="0" w:line="225" w:lineRule="exact"/>
        <w:rPr>
          <w:rFonts w:ascii="Arial" w:cs="Arial" w:eastAsia="Arial" w:hAnsi="Arial"/>
          <w:sz w:val="18"/>
          <w:szCs w:val="18"/>
          <w:color w:val="auto"/>
        </w:rPr>
      </w:pPr>
    </w:p>
    <w:p>
      <w:pPr>
        <w:ind w:left="1980" w:right="500" w:hanging="338"/>
        <w:spacing w:after="0" w:line="277" w:lineRule="auto"/>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reviews of prospective investments and advisory fees;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ind w:left="1980" w:hanging="338"/>
        <w:spacing w:after="0"/>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225" w:lineRule="exact"/>
        <w:rPr>
          <w:rFonts w:ascii="Arial" w:cs="Arial" w:eastAsia="Arial" w:hAnsi="Arial"/>
          <w:sz w:val="18"/>
          <w:szCs w:val="18"/>
          <w:color w:val="auto"/>
        </w:rPr>
      </w:pPr>
    </w:p>
    <w:p>
      <w:pPr>
        <w:ind w:left="1980" w:hanging="338"/>
        <w:spacing w:after="0"/>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225" w:lineRule="exact"/>
        <w:rPr>
          <w:rFonts w:ascii="Arial" w:cs="Arial" w:eastAsia="Arial" w:hAnsi="Arial"/>
          <w:sz w:val="18"/>
          <w:szCs w:val="18"/>
          <w:color w:val="auto"/>
        </w:rPr>
      </w:pPr>
    </w:p>
    <w:p>
      <w:pPr>
        <w:ind w:left="1980" w:right="500" w:hanging="338"/>
        <w:spacing w:after="0" w:line="308" w:lineRule="auto"/>
        <w:tabs>
          <w:tab w:leader="none" w:pos="19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costs associated with our reporting and compliance obligations under the 1940 Act, the Securities Exchange Act of 1934, as amended, other applicable federal and state securities laws and ongoing stock exchange listing fees;</w:t>
      </w:r>
    </w:p>
    <w:p>
      <w:pPr>
        <w:spacing w:after="0" w:line="146" w:lineRule="exact"/>
        <w:rPr>
          <w:rFonts w:ascii="Arial" w:cs="Arial" w:eastAsia="Arial" w:hAnsi="Arial"/>
          <w:sz w:val="17"/>
          <w:szCs w:val="17"/>
          <w:color w:val="auto"/>
        </w:rPr>
      </w:pPr>
    </w:p>
    <w:p>
      <w:pPr>
        <w:ind w:left="1980" w:hanging="338"/>
        <w:spacing w:after="0"/>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225" w:lineRule="exact"/>
        <w:rPr>
          <w:rFonts w:ascii="Arial" w:cs="Arial" w:eastAsia="Arial" w:hAnsi="Arial"/>
          <w:sz w:val="18"/>
          <w:szCs w:val="18"/>
          <w:color w:val="auto"/>
        </w:rPr>
      </w:pPr>
    </w:p>
    <w:p>
      <w:pPr>
        <w:ind w:left="1980" w:hanging="338"/>
        <w:spacing w:after="0"/>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225" w:lineRule="exact"/>
        <w:rPr>
          <w:rFonts w:ascii="Arial" w:cs="Arial" w:eastAsia="Arial" w:hAnsi="Arial"/>
          <w:sz w:val="18"/>
          <w:szCs w:val="18"/>
          <w:color w:val="auto"/>
        </w:rPr>
      </w:pPr>
    </w:p>
    <w:p>
      <w:pPr>
        <w:ind w:left="1980" w:hanging="338"/>
        <w:spacing w:after="0"/>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225" w:lineRule="exact"/>
        <w:rPr>
          <w:rFonts w:ascii="Arial" w:cs="Arial" w:eastAsia="Arial" w:hAnsi="Arial"/>
          <w:sz w:val="18"/>
          <w:szCs w:val="18"/>
          <w:color w:val="auto"/>
        </w:rPr>
      </w:pPr>
    </w:p>
    <w:p>
      <w:pPr>
        <w:ind w:left="1980" w:hanging="338"/>
        <w:spacing w:after="0"/>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costs of proxy statements, stockholders’ reports and other communications with stockholders;</w:t>
      </w:r>
    </w:p>
    <w:p>
      <w:pPr>
        <w:spacing w:after="0" w:line="225" w:lineRule="exact"/>
        <w:rPr>
          <w:rFonts w:ascii="Arial" w:cs="Arial" w:eastAsia="Arial" w:hAnsi="Arial"/>
          <w:sz w:val="18"/>
          <w:szCs w:val="18"/>
          <w:color w:val="auto"/>
        </w:rPr>
      </w:pPr>
    </w:p>
    <w:p>
      <w:pPr>
        <w:ind w:left="1980" w:hanging="338"/>
        <w:spacing w:after="0"/>
        <w:tabs>
          <w:tab w:leader="none" w:pos="19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fidelity bond, directors’ and officers’ liability insurance, errors and omissions liability insurance and other insurance premiums;</w:t>
      </w:r>
    </w:p>
    <w:p>
      <w:pPr>
        <w:spacing w:after="0" w:line="236" w:lineRule="exact"/>
        <w:rPr>
          <w:rFonts w:ascii="Arial" w:cs="Arial" w:eastAsia="Arial" w:hAnsi="Arial"/>
          <w:sz w:val="17"/>
          <w:szCs w:val="17"/>
          <w:color w:val="auto"/>
        </w:rPr>
      </w:pPr>
    </w:p>
    <w:p>
      <w:pPr>
        <w:ind w:left="1980" w:hanging="338"/>
        <w:spacing w:after="0"/>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telephone and staff;</w:t>
      </w:r>
    </w:p>
    <w:p>
      <w:pPr>
        <w:spacing w:after="0" w:line="225" w:lineRule="exact"/>
        <w:rPr>
          <w:rFonts w:ascii="Arial" w:cs="Arial" w:eastAsia="Arial" w:hAnsi="Arial"/>
          <w:sz w:val="18"/>
          <w:szCs w:val="18"/>
          <w:color w:val="auto"/>
        </w:rPr>
      </w:pPr>
    </w:p>
    <w:p>
      <w:pPr>
        <w:ind w:left="1980" w:hanging="338"/>
        <w:spacing w:after="0"/>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 and</w:t>
      </w:r>
    </w:p>
    <w:p>
      <w:pPr>
        <w:spacing w:after="0" w:line="225" w:lineRule="exact"/>
        <w:rPr>
          <w:rFonts w:ascii="Arial" w:cs="Arial" w:eastAsia="Arial" w:hAnsi="Arial"/>
          <w:sz w:val="18"/>
          <w:szCs w:val="18"/>
          <w:color w:val="auto"/>
        </w:rPr>
      </w:pPr>
    </w:p>
    <w:p>
      <w:pPr>
        <w:ind w:left="1980" w:right="40" w:hanging="338"/>
        <w:spacing w:after="0" w:line="297" w:lineRule="auto"/>
        <w:tabs>
          <w:tab w:leader="none" w:pos="1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all other expenses incurred by either our Administrator or us in connection with administering our business, including payments under the Administration Agreement that will be based upon our allocable portion of overhead and other expenses incurred by our Administrator in performing its obligations under the Administration Agreement, including rent, the fees and expenses associated with performing compliance functions, and our allocable portion of any costs of compensation and related expenses of our chief compliance officer, our chief financial officer, our controller, and any administrative support staff.</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29" w:lineRule="exact"/>
        <w:rPr>
          <w:sz w:val="20"/>
          <w:szCs w:val="20"/>
          <w:color w:val="auto"/>
        </w:rPr>
      </w:pPr>
    </w:p>
    <w:p>
      <w:pPr>
        <w:ind w:right="60" w:firstLine="881"/>
        <w:spacing w:after="0" w:line="271" w:lineRule="auto"/>
        <w:rPr>
          <w:sz w:val="20"/>
          <w:szCs w:val="20"/>
          <w:color w:val="auto"/>
        </w:rPr>
      </w:pPr>
      <w:r>
        <w:rPr>
          <w:rFonts w:ascii="Arial" w:cs="Arial" w:eastAsia="Arial" w:hAnsi="Arial"/>
          <w:sz w:val="17"/>
          <w:szCs w:val="17"/>
          <w:color w:val="auto"/>
        </w:rPr>
        <w:t>In the preparation of our consolidated financial statements and related disclosures, we have adopted various accounting policies that govern the application of U.S. GAAP. Our significant accounting policies are described in Note 2 to our Consolidated Financial Statements. While all of these policies are important to understanding our consolidated financial statements, certain accounting policies and estimates are considered critical due to their impact on the reported amounts of assets and liabilities at the date of the consolidated financial statements and the reported amounts of revenues and expenses for the periods covered by such financial statements. We have identified investment valuation, revenue recognition, and income taxes as our most critical accounting estimates. We continuously evaluate our estimates, including those related to the matters described below. Because of the nature of the judgment and assumptions we make, actual results could materially differ from those estimates under different assumptions or conditions. A discussion of our critical accounting policies follows.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Investments</w:t>
      </w:r>
    </w:p>
    <w:p>
      <w:pPr>
        <w:spacing w:after="0" w:line="225" w:lineRule="exact"/>
        <w:rPr>
          <w:sz w:val="20"/>
          <w:szCs w:val="20"/>
          <w:color w:val="auto"/>
        </w:rPr>
      </w:pPr>
    </w:p>
    <w:p>
      <w:pPr>
        <w:ind w:firstLine="881"/>
        <w:spacing w:after="0" w:line="279" w:lineRule="auto"/>
        <w:rPr>
          <w:sz w:val="20"/>
          <w:szCs w:val="20"/>
          <w:color w:val="auto"/>
        </w:rPr>
      </w:pPr>
      <w:r>
        <w:rPr>
          <w:rFonts w:ascii="Arial" w:cs="Arial" w:eastAsia="Arial" w:hAnsi="Arial"/>
          <w:sz w:val="17"/>
          <w:szCs w:val="17"/>
          <w:color w:val="auto"/>
        </w:rPr>
        <w:t xml:space="preserve">The Company applies fair value accounting to all of its financial instruments in accordance with the 1940 Act and ASC Topic 820 - </w:t>
      </w:r>
      <w:r>
        <w:rPr>
          <w:rFonts w:ascii="Arial" w:cs="Arial" w:eastAsia="Arial" w:hAnsi="Arial"/>
          <w:sz w:val="17"/>
          <w:szCs w:val="17"/>
          <w:i w:val="1"/>
          <w:iCs w:val="1"/>
          <w:color w:val="auto"/>
        </w:rPr>
        <w:t>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Measurements and Disclosures</w:t>
      </w:r>
      <w:r>
        <w:rPr>
          <w:rFonts w:ascii="Arial" w:cs="Arial" w:eastAsia="Arial" w:hAnsi="Arial"/>
          <w:sz w:val="17"/>
          <w:szCs w:val="17"/>
          <w:color w:val="auto"/>
        </w:rPr>
        <w:t>. ASC 820 defines fair value, establishes a framework used to measure fair value and requires disclosures for fair value</w:t>
      </w:r>
      <w:r>
        <w:rPr>
          <w:rFonts w:ascii="Arial" w:cs="Arial" w:eastAsia="Arial" w:hAnsi="Arial"/>
          <w:sz w:val="17"/>
          <w:szCs w:val="17"/>
          <w:i w:val="1"/>
          <w:iCs w:val="1"/>
          <w:color w:val="auto"/>
        </w:rPr>
        <w:t xml:space="preserve"> </w:t>
      </w:r>
      <w:r>
        <w:rPr>
          <w:rFonts w:ascii="Arial" w:cs="Arial" w:eastAsia="Arial" w:hAnsi="Arial"/>
          <w:sz w:val="17"/>
          <w:szCs w:val="17"/>
          <w:color w:val="auto"/>
        </w:rPr>
        <w:t>measurements. In accordance with ASC 820, the Company has categorized its financial instruments carried at fair value, based on the priority of the valuation technique, into a three-level fair value hierarchy as discussed in Note 4 to our Consolidated Financial Statements.</w:t>
      </w:r>
    </w:p>
    <w:p>
      <w:pPr>
        <w:spacing w:after="0" w:line="171" w:lineRule="exact"/>
        <w:rPr>
          <w:sz w:val="20"/>
          <w:szCs w:val="20"/>
          <w:color w:val="auto"/>
        </w:rPr>
      </w:pPr>
    </w:p>
    <w:p>
      <w:pPr>
        <w:ind w:right="160" w:firstLine="881"/>
        <w:spacing w:after="0" w:line="259" w:lineRule="auto"/>
        <w:rPr>
          <w:sz w:val="20"/>
          <w:szCs w:val="20"/>
          <w:color w:val="auto"/>
        </w:rPr>
      </w:pPr>
      <w:r>
        <w:rPr>
          <w:rFonts w:ascii="Arial" w:cs="Arial" w:eastAsia="Arial" w:hAnsi="Arial"/>
          <w:sz w:val="18"/>
          <w:szCs w:val="18"/>
          <w:color w:val="auto"/>
        </w:rPr>
        <w:t>In determining fair value, our Board of Directors (the “Board”) uses various valuation approaches, and engages a third-party independent valuation firm, which provides positive assurance on the investments it reviews. In accordance with U.S. GAAP, a fair value hierarchy for inputs is used in measuring fair value that maximizes the use of observable inputs and minimizes the use of unobservable inputs by requiring that the most observable inputs be used when available.</w:t>
      </w:r>
    </w:p>
    <w:p>
      <w:pPr>
        <w:spacing w:after="0" w:line="187" w:lineRule="exact"/>
        <w:rPr>
          <w:sz w:val="20"/>
          <w:szCs w:val="20"/>
          <w:color w:val="auto"/>
        </w:rPr>
      </w:pPr>
    </w:p>
    <w:p>
      <w:pPr>
        <w:ind w:right="60" w:firstLine="881"/>
        <w:spacing w:after="0" w:line="259" w:lineRule="auto"/>
        <w:rPr>
          <w:sz w:val="20"/>
          <w:szCs w:val="20"/>
          <w:color w:val="auto"/>
        </w:rPr>
      </w:pPr>
      <w:r>
        <w:rPr>
          <w:rFonts w:ascii="Arial" w:cs="Arial" w:eastAsia="Arial" w:hAnsi="Arial"/>
          <w:sz w:val="18"/>
          <w:szCs w:val="18"/>
          <w:color w:val="auto"/>
        </w:rPr>
        <w:t>Observable inputs are those that market participants would use in pricing the asset or liability based on market data obtained from sources independent of the Board. Unobservable inputs reflect the Boards’ assumptions about the inputs market participants would use in pricing the asset or liability developed based upon the best information available in the circumstances. The fair value hierarchy is categorized into three levels based on the inputs as follows:</w:t>
      </w:r>
    </w:p>
    <w:p>
      <w:pPr>
        <w:spacing w:after="0" w:line="183" w:lineRule="exact"/>
        <w:rPr>
          <w:sz w:val="20"/>
          <w:szCs w:val="20"/>
          <w:color w:val="auto"/>
        </w:rPr>
      </w:pPr>
    </w:p>
    <w:p>
      <w:pPr>
        <w:ind w:left="880" w:right="360"/>
        <w:spacing w:after="0" w:line="314" w:lineRule="auto"/>
        <w:rPr>
          <w:sz w:val="20"/>
          <w:szCs w:val="20"/>
          <w:color w:val="auto"/>
        </w:rPr>
      </w:pPr>
      <w:r>
        <w:rPr>
          <w:rFonts w:ascii="Arial" w:cs="Arial" w:eastAsia="Arial" w:hAnsi="Arial"/>
          <w:sz w:val="16"/>
          <w:szCs w:val="16"/>
          <w:b w:val="1"/>
          <w:bCs w:val="1"/>
          <w:color w:val="auto"/>
        </w:rPr>
        <w:t xml:space="preserve">Level 1 </w:t>
      </w:r>
      <w:r>
        <w:rPr>
          <w:rFonts w:ascii="Arial" w:cs="Arial" w:eastAsia="Arial" w:hAnsi="Arial"/>
          <w:sz w:val="16"/>
          <w:szCs w:val="16"/>
          <w:color w:val="auto"/>
        </w:rPr>
        <w:t>– Valuations based on unadjusted quoted prices in active markets for identical assets or liabilities that the Company has the ability to</w:t>
      </w:r>
      <w:r>
        <w:rPr>
          <w:rFonts w:ascii="Arial" w:cs="Arial" w:eastAsia="Arial" w:hAnsi="Arial"/>
          <w:sz w:val="16"/>
          <w:szCs w:val="16"/>
          <w:b w:val="1"/>
          <w:bCs w:val="1"/>
          <w:color w:val="auto"/>
        </w:rPr>
        <w:t xml:space="preserve"> </w:t>
      </w:r>
      <w:r>
        <w:rPr>
          <w:rFonts w:ascii="Arial" w:cs="Arial" w:eastAsia="Arial" w:hAnsi="Arial"/>
          <w:sz w:val="16"/>
          <w:szCs w:val="16"/>
          <w:color w:val="auto"/>
        </w:rPr>
        <w:t>access. Valuation adjustments and block discounts are not applied to Level 1 securities. Since valuations are based on quoted prices that are readily and regularly available in an active market, valuation of these securities does not entail a significant degree of judgment.</w:t>
      </w: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44" w:name="page45"/>
    <w:bookmarkEnd w:id="44"/>
    <w:p>
      <w:pPr>
        <w:ind w:left="880" w:right="380"/>
        <w:spacing w:after="0" w:line="282"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Valuations based on quoted prices in markets that are not active or for which all significant inputs are observable, either directly or</w:t>
      </w:r>
      <w:r>
        <w:rPr>
          <w:rFonts w:ascii="Arial" w:cs="Arial" w:eastAsia="Arial" w:hAnsi="Arial"/>
          <w:sz w:val="18"/>
          <w:szCs w:val="18"/>
          <w:b w:val="1"/>
          <w:bCs w:val="1"/>
          <w:color w:val="auto"/>
        </w:rPr>
        <w:t xml:space="preserve"> </w:t>
      </w:r>
      <w:r>
        <w:rPr>
          <w:rFonts w:ascii="Arial" w:cs="Arial" w:eastAsia="Arial" w:hAnsi="Arial"/>
          <w:sz w:val="18"/>
          <w:szCs w:val="18"/>
          <w:color w:val="auto"/>
        </w:rPr>
        <w:t>indirectly.</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Valuations based on inputs that are unobservable and significant to the overall fair value measurement.</w:t>
      </w:r>
    </w:p>
    <w:p>
      <w:pPr>
        <w:spacing w:after="0" w:line="229" w:lineRule="exact"/>
        <w:rPr>
          <w:sz w:val="20"/>
          <w:szCs w:val="20"/>
          <w:color w:val="auto"/>
        </w:rPr>
      </w:pPr>
    </w:p>
    <w:p>
      <w:pPr>
        <w:ind w:right="40" w:firstLine="881"/>
        <w:spacing w:after="0" w:line="270" w:lineRule="auto"/>
        <w:rPr>
          <w:sz w:val="20"/>
          <w:szCs w:val="20"/>
          <w:color w:val="auto"/>
        </w:rPr>
      </w:pPr>
      <w:r>
        <w:rPr>
          <w:rFonts w:ascii="Arial" w:cs="Arial" w:eastAsia="Arial" w:hAnsi="Arial"/>
          <w:sz w:val="17"/>
          <w:szCs w:val="17"/>
          <w:color w:val="auto"/>
        </w:rPr>
        <w:t>The availability of valuation techniques and observable inputs can vary from security to security and is affected by a wide variety of factors including the type of security, whether the security is new and not yet established in the marketplace, and other characteristics particular to the transaction. To the extent that valuation is based on models or inputs that are less observable or unobservable in the market, the determination of fair value requires more judgment. Those estimated values do not necessarily represent the amounts that may be ultimately realized due to the occurrence of future circumstances that cannot be reasonably determined. Because of the inherent uncertainty of valuation, those estimated values may be materially higher or lower than the values that would have been used had a market for the securities existed. Accordingly, the degree of judgment exercised by the Company in determining fair value is greatest for securities categorized in Level 3. In certain cases, the inputs used to measure fair value may fall into different levels of the fair value hierarchy. In such cases, for disclosure purposes, the level in the fair value hierarchy within which the fair value measurement in its entirety falls, is determined based on the lowest level input that is significant to the fair value measurement.</w:t>
      </w:r>
    </w:p>
    <w:p>
      <w:pPr>
        <w:spacing w:after="0" w:line="182" w:lineRule="exact"/>
        <w:rPr>
          <w:sz w:val="20"/>
          <w:szCs w:val="20"/>
          <w:color w:val="auto"/>
        </w:rPr>
      </w:pPr>
    </w:p>
    <w:p>
      <w:pPr>
        <w:ind w:right="20" w:firstLine="881"/>
        <w:spacing w:after="0" w:line="257" w:lineRule="auto"/>
        <w:rPr>
          <w:sz w:val="20"/>
          <w:szCs w:val="20"/>
          <w:color w:val="auto"/>
        </w:rPr>
      </w:pPr>
      <w:r>
        <w:rPr>
          <w:rFonts w:ascii="Arial" w:cs="Arial" w:eastAsia="Arial" w:hAnsi="Arial"/>
          <w:sz w:val="18"/>
          <w:szCs w:val="18"/>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We use prices and inputs that are current as of the measurement date, including periods of market dislocation. In periods of market dislocation, the observability of prices and inputs may be reduced for many securities. This condition could cause a security to be reclassified to a lower level within the fair value hierarchy.</w:t>
      </w:r>
    </w:p>
    <w:p>
      <w:pPr>
        <w:spacing w:after="0" w:line="188" w:lineRule="exact"/>
        <w:rPr>
          <w:sz w:val="20"/>
          <w:szCs w:val="20"/>
          <w:color w:val="auto"/>
        </w:rPr>
      </w:pPr>
    </w:p>
    <w:p>
      <w:pPr>
        <w:ind w:right="60" w:firstLine="881"/>
        <w:spacing w:after="0" w:line="259" w:lineRule="auto"/>
        <w:rPr>
          <w:sz w:val="20"/>
          <w:szCs w:val="20"/>
          <w:color w:val="auto"/>
        </w:rPr>
      </w:pPr>
      <w:r>
        <w:rPr>
          <w:rFonts w:ascii="Arial" w:cs="Arial" w:eastAsia="Arial" w:hAnsi="Arial"/>
          <w:sz w:val="18"/>
          <w:szCs w:val="18"/>
          <w:color w:val="auto"/>
        </w:rPr>
        <w:t>As a practical expedient, the Company uses net asset value (“NAV”) as the fair value for CSLLF and CCSLLF. CSLLF and CCSLLF record their underlying investments at fair value on a daily basis utilizing pricing information from third-party sources. In the event pricing is not available or an investment is considered illiquid, management may perform model-based analytical valuations in instances where an investment is considered illiquid or for which pricing is not available from third-party sources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Techniques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Enterprise Value Waterfall Approach</w:t>
      </w:r>
    </w:p>
    <w:p>
      <w:pPr>
        <w:spacing w:after="0" w:line="225" w:lineRule="exact"/>
        <w:rPr>
          <w:sz w:val="20"/>
          <w:szCs w:val="20"/>
          <w:color w:val="auto"/>
        </w:rPr>
      </w:pPr>
    </w:p>
    <w:p>
      <w:pPr>
        <w:ind w:right="40" w:firstLine="881"/>
        <w:spacing w:after="0" w:line="270" w:lineRule="auto"/>
        <w:rPr>
          <w:sz w:val="20"/>
          <w:szCs w:val="20"/>
          <w:color w:val="auto"/>
        </w:rPr>
      </w:pPr>
      <w:r>
        <w:rPr>
          <w:rFonts w:ascii="Arial" w:cs="Arial" w:eastAsia="Arial" w:hAnsi="Arial"/>
          <w:sz w:val="17"/>
          <w:szCs w:val="17"/>
          <w:color w:val="auto"/>
        </w:rPr>
        <w:t>The enterprise value waterfall approach determines an enterprise value based on earnings before interest, tax, depreciation and amortization (“EBITDA”) multiples of publicly traded companies that are considered similar to the subject portfolio company. The Company considers a variety of items in determining a reasonable pricing multiple, including, but not limited to, operating results, budgeted projections, growth, size, risk, profitability, leverage, management depth, diversification, market position, supplier or customer dependence, asset utilization, liquidity metrics, and access to capital markets. EBITDA of the portfolio company is adjusted for non-recurring items in order to reflect a normalized level of earnings that is representative of future earnings. In certain instances, the Company may also utilize revenue multiples to determine enterprise value. When available, the Company may assign a pricing multiple or value its equity investments based on the value of recent investment transactions in the subject portfolio company or offers to purchase the portfolio company. The enterprise value is adjusted for financial instruments with seniority to the Company’s ownership and for the effect of any instrument which may dilute the Company’s investment in the portfolio company. The adjusted enterprise value is then apportioned based on the seniority and privileges of the Company’s investments within the portfolio company.</w:t>
      </w:r>
    </w:p>
    <w:p>
      <w:pPr>
        <w:spacing w:after="0" w:line="178" w:lineRule="exact"/>
        <w:rPr>
          <w:sz w:val="20"/>
          <w:szCs w:val="20"/>
          <w:color w:val="auto"/>
        </w:rPr>
      </w:pPr>
    </w:p>
    <w:p>
      <w:pPr>
        <w:ind w:firstLine="881"/>
        <w:spacing w:after="0" w:line="277" w:lineRule="auto"/>
        <w:rPr>
          <w:sz w:val="20"/>
          <w:szCs w:val="20"/>
          <w:color w:val="auto"/>
        </w:rPr>
      </w:pPr>
      <w:r>
        <w:rPr>
          <w:rFonts w:ascii="Arial" w:cs="Arial" w:eastAsia="Arial" w:hAnsi="Arial"/>
          <w:sz w:val="18"/>
          <w:szCs w:val="18"/>
          <w:color w:val="auto"/>
        </w:rPr>
        <w:t>The enterprise value waterfall approach is primarily utilized to value the Company’s equity securities, including warrants. However, the Company may utilize the enterprise value waterfall approach to value certain debt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Approach</w:t>
      </w:r>
    </w:p>
    <w:p>
      <w:pPr>
        <w:spacing w:after="0" w:line="225" w:lineRule="exact"/>
        <w:rPr>
          <w:sz w:val="20"/>
          <w:szCs w:val="20"/>
          <w:color w:val="auto"/>
        </w:rPr>
      </w:pPr>
    </w:p>
    <w:p>
      <w:pPr>
        <w:ind w:right="20" w:firstLine="881"/>
        <w:spacing w:after="0" w:line="271" w:lineRule="auto"/>
        <w:rPr>
          <w:sz w:val="20"/>
          <w:szCs w:val="20"/>
          <w:color w:val="auto"/>
        </w:rPr>
      </w:pPr>
      <w:r>
        <w:rPr>
          <w:rFonts w:ascii="Arial" w:cs="Arial" w:eastAsia="Arial" w:hAnsi="Arial"/>
          <w:sz w:val="17"/>
          <w:szCs w:val="17"/>
          <w:color w:val="auto"/>
        </w:rPr>
        <w:t>The income approach utilizes a discounted cash flow methodology in which the Company estimates fair value based on the present value of expected cash flows discounted at a market rate of interest. The determination of a discount rate, or required rate of return, takes into account the portfolio company’s fundamentals and perceived credit risk. Because the majority of the Company’s portfolio companies do not have a public credit rating, determining a discount rate often involves assigning an implied credit rating based on the portfolio company’s operating metrics compared to average metrics of similar publicly rated debt. Operating metrics include, but are not limited to, EBITDA interest coverage, leverage ratio, return on capital, and debt to equity ratios. The implied credit rating is used to assign a base discount rate range based on publicly available yields on similarly rated debt securities. The Company may apply a premium to the discount rate utilized in determining fair value when performance metrics and other qualitative information indicate that there is an additional level of uncertainty about collectability of cash flows.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Approach</w:t>
      </w:r>
    </w:p>
    <w:p>
      <w:pPr>
        <w:spacing w:after="0" w:line="225" w:lineRule="exact"/>
        <w:rPr>
          <w:sz w:val="20"/>
          <w:szCs w:val="20"/>
          <w:color w:val="auto"/>
        </w:rPr>
      </w:pPr>
    </w:p>
    <w:p>
      <w:pPr>
        <w:jc w:val="both"/>
        <w:ind w:right="300" w:firstLine="881"/>
        <w:spacing w:after="0" w:line="312" w:lineRule="auto"/>
        <w:rPr>
          <w:sz w:val="20"/>
          <w:szCs w:val="20"/>
          <w:color w:val="auto"/>
        </w:rPr>
      </w:pPr>
      <w:r>
        <w:rPr>
          <w:rFonts w:ascii="Arial" w:cs="Arial" w:eastAsia="Arial" w:hAnsi="Arial"/>
          <w:sz w:val="16"/>
          <w:szCs w:val="16"/>
          <w:color w:val="auto"/>
        </w:rPr>
        <w:t>The asset approach values an investment based on the greater of the enterprise value or the underlying collateral securing the investment. See discussion of determining enterprise value above. This approach is used when the investment is not performing in accordance with its contractual terms or when the Company has reason to believe that it will not collect all principal and interest in accordance with the contractual terms of the debt agreement.</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revenue recognition policies are as follows:</w:t>
      </w:r>
    </w:p>
    <w:p>
      <w:pPr>
        <w:spacing w:after="0" w:line="225" w:lineRule="exact"/>
        <w:rPr>
          <w:sz w:val="20"/>
          <w:szCs w:val="20"/>
          <w:color w:val="auto"/>
        </w:rPr>
      </w:pPr>
    </w:p>
    <w:p>
      <w:pPr>
        <w:ind w:right="80" w:firstLine="881"/>
        <w:spacing w:after="0" w:line="302" w:lineRule="auto"/>
        <w:rPr>
          <w:sz w:val="20"/>
          <w:szCs w:val="20"/>
          <w:color w:val="auto"/>
        </w:rPr>
      </w:pPr>
      <w:r>
        <w:rPr>
          <w:rFonts w:ascii="Arial" w:cs="Arial" w:eastAsia="Arial" w:hAnsi="Arial"/>
          <w:sz w:val="16"/>
          <w:szCs w:val="16"/>
          <w:i w:val="1"/>
          <w:iCs w:val="1"/>
          <w:color w:val="auto"/>
        </w:rPr>
        <w:t xml:space="preserve">Interest income and paid-in-kind interest income: </w:t>
      </w:r>
      <w:r>
        <w:rPr>
          <w:rFonts w:ascii="Arial" w:cs="Arial" w:eastAsia="Arial" w:hAnsi="Arial"/>
          <w:sz w:val="16"/>
          <w:szCs w:val="16"/>
          <w:color w:val="auto"/>
        </w:rPr>
        <w:t>Interest income is recorded on the accrual basis to the extent that such amounts are expected to</w:t>
      </w:r>
      <w:r>
        <w:rPr>
          <w:rFonts w:ascii="Arial" w:cs="Arial" w:eastAsia="Arial" w:hAnsi="Arial"/>
          <w:sz w:val="16"/>
          <w:szCs w:val="16"/>
          <w:i w:val="1"/>
          <w:iCs w:val="1"/>
          <w:color w:val="auto"/>
        </w:rPr>
        <w:t xml:space="preserve"> </w:t>
      </w:r>
      <w:r>
        <w:rPr>
          <w:rFonts w:ascii="Arial" w:cs="Arial" w:eastAsia="Arial" w:hAnsi="Arial"/>
          <w:sz w:val="16"/>
          <w:szCs w:val="16"/>
          <w:color w:val="auto"/>
        </w:rPr>
        <w:t>be collected. The Company has loans in the portfolio that contain a payment-in-kind (“PIK”) provision. The PIK interest, which represents contractually deferred interest added to the loan balance that is generally due at maturity, is recorded on the accrual basis to the extent that such amounts are expected to be collected. PIK interest is not accrued if the Company does not expect the issuer to be able to pay all principal and interest when due.</w:t>
      </w:r>
    </w:p>
    <w:p>
      <w:pPr>
        <w:spacing w:after="0" w:line="154" w:lineRule="exact"/>
        <w:rPr>
          <w:sz w:val="20"/>
          <w:szCs w:val="20"/>
          <w:color w:val="auto"/>
        </w:rPr>
      </w:pPr>
    </w:p>
    <w:p>
      <w:pPr>
        <w:ind w:right="140" w:firstLine="881"/>
        <w:spacing w:after="0" w:line="271" w:lineRule="auto"/>
        <w:rPr>
          <w:sz w:val="20"/>
          <w:szCs w:val="20"/>
          <w:color w:val="auto"/>
        </w:rPr>
      </w:pPr>
      <w:r>
        <w:rPr>
          <w:rFonts w:ascii="Arial" w:cs="Arial" w:eastAsia="Arial" w:hAnsi="Arial"/>
          <w:sz w:val="17"/>
          <w:szCs w:val="17"/>
          <w:i w:val="1"/>
          <w:iCs w:val="1"/>
          <w:color w:val="auto"/>
        </w:rPr>
        <w:t xml:space="preserve">Non-accrual investments: </w:t>
      </w:r>
      <w:r>
        <w:rPr>
          <w:rFonts w:ascii="Arial" w:cs="Arial" w:eastAsia="Arial" w:hAnsi="Arial"/>
          <w:sz w:val="17"/>
          <w:szCs w:val="17"/>
          <w:color w:val="auto"/>
        </w:rPr>
        <w:t>Generally, when interest and/or principal payments on a loan become 90 days or more past due, or if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otherwise does not expect the borrower to be able to service its debt and other obligations, the Company will place the loan on non-accrual status, and will generally cease recognizing interest income and PIK interest on that loan for financial reporting purposes. Interest payments received on non-accrual loans may be recognized as income or applied to principal depending upon management’s judgment. The Company writes off any previously accrued and uncollected interest when it is determined that interest is no longer considered collectible. The company may elect to cease accruing PIK and continue accruing interest income in cases where a loan is currently paying its interest income but, in management’s judgment, there is a reasonable likelihood of principal loss on the loan. Non-accrual loans are returned to accrual status when the borrower’s financial condition improves such that management believes current interest and principal payments are expected to be collected.</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 xml:space="preserve">Gains and losses on investment sales and paydowns: </w:t>
      </w:r>
      <w:r>
        <w:rPr>
          <w:rFonts w:ascii="Arial" w:cs="Arial" w:eastAsia="Arial" w:hAnsi="Arial"/>
          <w:sz w:val="16"/>
          <w:szCs w:val="16"/>
          <w:color w:val="auto"/>
        </w:rPr>
        <w:t>Realized gains and losses on investments are recognized using the specific identification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method.</w:t>
      </w:r>
    </w:p>
    <w:p>
      <w:pPr>
        <w:spacing w:after="0" w:line="211" w:lineRule="exact"/>
        <w:rPr>
          <w:sz w:val="20"/>
          <w:szCs w:val="20"/>
          <w:color w:val="auto"/>
        </w:rPr>
      </w:pPr>
    </w:p>
    <w:p>
      <w:pPr>
        <w:ind w:right="20" w:firstLine="881"/>
        <w:spacing w:after="0" w:line="272" w:lineRule="auto"/>
        <w:rPr>
          <w:sz w:val="20"/>
          <w:szCs w:val="20"/>
          <w:color w:val="auto"/>
        </w:rPr>
      </w:pPr>
      <w:r>
        <w:rPr>
          <w:rFonts w:ascii="Arial" w:cs="Arial" w:eastAsia="Arial" w:hAnsi="Arial"/>
          <w:sz w:val="17"/>
          <w:szCs w:val="17"/>
          <w:i w:val="1"/>
          <w:iCs w:val="1"/>
          <w:color w:val="auto"/>
        </w:rPr>
        <w:t xml:space="preserve">Dividend income and paid-in-kind dividends: </w:t>
      </w:r>
      <w:r>
        <w:rPr>
          <w:rFonts w:ascii="Arial" w:cs="Arial" w:eastAsia="Arial" w:hAnsi="Arial"/>
          <w:sz w:val="17"/>
          <w:szCs w:val="17"/>
          <w:color w:val="auto"/>
        </w:rPr>
        <w:t>Dividend income is recognized on the date dividends are declared. Dividend income may be</w:t>
      </w:r>
      <w:r>
        <w:rPr>
          <w:rFonts w:ascii="Arial" w:cs="Arial" w:eastAsia="Arial" w:hAnsi="Arial"/>
          <w:sz w:val="17"/>
          <w:szCs w:val="17"/>
          <w:i w:val="1"/>
          <w:iCs w:val="1"/>
          <w:color w:val="auto"/>
        </w:rPr>
        <w:t xml:space="preserve"> </w:t>
      </w:r>
      <w:r>
        <w:rPr>
          <w:rFonts w:ascii="Arial" w:cs="Arial" w:eastAsia="Arial" w:hAnsi="Arial"/>
          <w:sz w:val="17"/>
          <w:szCs w:val="17"/>
          <w:color w:val="auto"/>
        </w:rPr>
        <w:t>reversed in the event that a previously declared dividend is no longer expected to be paid by the portfolio company. The Company holds preferred equity investments in the portfolio that contain a payment-in-kind dividend (“PIK dividends”) provision. PIK dividends, which represent contractually deferred dividends added to the equity balance, are recorded on the accrual basis to the extent that such amounts are expected to be collected. The Company will typically cease accrual of PIK dividends when the fair value of the equity investment is less than the cost basis of the investment or when it is otherwise determined by management that collection of PIK dividends are unlikely to be collected. If management determines that a decline in fair value is temporary in nature and the PIK dividends are more likely than not to be collected, management may elect to continue accruing PIK dividends.</w:t>
      </w:r>
    </w:p>
    <w:p>
      <w:pPr>
        <w:spacing w:after="0" w:line="178" w:lineRule="exact"/>
        <w:rPr>
          <w:sz w:val="20"/>
          <w:szCs w:val="20"/>
          <w:color w:val="auto"/>
        </w:rPr>
      </w:pPr>
    </w:p>
    <w:p>
      <w:pPr>
        <w:ind w:right="120" w:firstLine="881"/>
        <w:spacing w:after="0" w:line="342" w:lineRule="auto"/>
        <w:rPr>
          <w:sz w:val="20"/>
          <w:szCs w:val="20"/>
          <w:color w:val="auto"/>
        </w:rPr>
      </w:pPr>
      <w:r>
        <w:rPr>
          <w:rFonts w:ascii="Arial" w:cs="Arial" w:eastAsia="Arial" w:hAnsi="Arial"/>
          <w:sz w:val="16"/>
          <w:szCs w:val="16"/>
          <w:i w:val="1"/>
          <w:iCs w:val="1"/>
          <w:color w:val="auto"/>
        </w:rPr>
        <w:t xml:space="preserve">Original issue discount/premiums: </w:t>
      </w:r>
      <w:r>
        <w:rPr>
          <w:rFonts w:ascii="Arial" w:cs="Arial" w:eastAsia="Arial" w:hAnsi="Arial"/>
          <w:sz w:val="16"/>
          <w:szCs w:val="16"/>
          <w:color w:val="auto"/>
        </w:rPr>
        <w:t>Discounts/premiums received to par on loans purchased on the secondary market are capitalized and accreted</w:t>
      </w:r>
      <w:r>
        <w:rPr>
          <w:rFonts w:ascii="Arial" w:cs="Arial" w:eastAsia="Arial" w:hAnsi="Arial"/>
          <w:sz w:val="16"/>
          <w:szCs w:val="16"/>
          <w:i w:val="1"/>
          <w:iCs w:val="1"/>
          <w:color w:val="auto"/>
        </w:rPr>
        <w:t xml:space="preserve"> </w:t>
      </w:r>
      <w:r>
        <w:rPr>
          <w:rFonts w:ascii="Arial" w:cs="Arial" w:eastAsia="Arial" w:hAnsi="Arial"/>
          <w:sz w:val="16"/>
          <w:szCs w:val="16"/>
          <w:color w:val="auto"/>
        </w:rPr>
        <w:t>or amortized into income over the life of the loan. Any remaining discount/premium is accreted or amortized into income upon prepayment of the loan.</w:t>
      </w:r>
    </w:p>
    <w:p>
      <w:pPr>
        <w:spacing w:after="0" w:line="124" w:lineRule="exact"/>
        <w:rPr>
          <w:sz w:val="20"/>
          <w:szCs w:val="20"/>
          <w:color w:val="auto"/>
        </w:rPr>
      </w:pPr>
    </w:p>
    <w:p>
      <w:pPr>
        <w:ind w:right="260" w:firstLine="881"/>
        <w:spacing w:after="0" w:line="264"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Origination, amendment, consent, closing and/or commitment fees associated with investments in portfolio companies are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as income when the investment transaction closes. Prepayment penalties received by the Company for debt instruments repaid prior to maturity date are recorded as income upon receipt.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160" w:firstLine="881"/>
        <w:spacing w:after="0" w:line="257" w:lineRule="auto"/>
        <w:rPr>
          <w:sz w:val="20"/>
          <w:szCs w:val="20"/>
          <w:color w:val="auto"/>
        </w:rPr>
      </w:pPr>
      <w:r>
        <w:rPr>
          <w:rFonts w:ascii="Arial" w:cs="Arial" w:eastAsia="Arial" w:hAnsi="Arial"/>
          <w:sz w:val="18"/>
          <w:szCs w:val="18"/>
          <w:color w:val="auto"/>
        </w:rPr>
        <w:t>Prior to the Formation Transactions, the Legacy Funds were treated as partnerships for U.S. federal, state and local income tax purposes and, therefore, no provision has been made in the accompanying consolidated financial statements for federal, state or local income taxes. In accordance with the partnership tax law requirements, each partner would include their respective components of the Legacy Funds' taxable profits or losses, as shown on their Schedule K-1s in their respective tax or information returns. The Legacy Funds are disregarded entities for tax purposes prior to and post the Formation Transactions.</w:t>
      </w:r>
    </w:p>
    <w:p>
      <w:pPr>
        <w:spacing w:after="0" w:line="188" w:lineRule="exact"/>
        <w:rPr>
          <w:sz w:val="20"/>
          <w:szCs w:val="20"/>
          <w:color w:val="auto"/>
        </w:rPr>
      </w:pPr>
    </w:p>
    <w:p>
      <w:pPr>
        <w:ind w:right="40" w:firstLine="881"/>
        <w:spacing w:after="0" w:line="286" w:lineRule="auto"/>
        <w:rPr>
          <w:sz w:val="20"/>
          <w:szCs w:val="20"/>
          <w:color w:val="auto"/>
        </w:rPr>
      </w:pPr>
      <w:r>
        <w:rPr>
          <w:rFonts w:ascii="Arial" w:cs="Arial" w:eastAsia="Arial" w:hAnsi="Arial"/>
          <w:sz w:val="17"/>
          <w:szCs w:val="17"/>
          <w:color w:val="auto"/>
        </w:rPr>
        <w:t>The Company has elected to be treated for U.S. federal income tax purposes, and intends to comply with the requirement to qualify annually thereafter, as a RIC under Subchapter M of the Code and, among other things, intends to make the requisite distributions to its stockholders which will relieve the Company from U.S. federal income taxes. Therefore, no provision has been recorded for federal income taxes.</w:t>
      </w:r>
    </w:p>
    <w:p>
      <w:pPr>
        <w:spacing w:after="0" w:line="166" w:lineRule="exact"/>
        <w:rPr>
          <w:sz w:val="20"/>
          <w:szCs w:val="20"/>
          <w:color w:val="auto"/>
        </w:rPr>
      </w:pPr>
    </w:p>
    <w:p>
      <w:pPr>
        <w:ind w:right="60" w:firstLine="881"/>
        <w:spacing w:after="0" w:line="259" w:lineRule="auto"/>
        <w:rPr>
          <w:sz w:val="20"/>
          <w:szCs w:val="20"/>
          <w:color w:val="auto"/>
        </w:rPr>
      </w:pPr>
      <w:r>
        <w:rPr>
          <w:rFonts w:ascii="Arial" w:cs="Arial" w:eastAsia="Arial" w:hAnsi="Arial"/>
          <w:sz w:val="18"/>
          <w:szCs w:val="18"/>
          <w:color w:val="auto"/>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spacing w:after="0" w:line="187" w:lineRule="exact"/>
        <w:rPr>
          <w:sz w:val="20"/>
          <w:szCs w:val="20"/>
          <w:color w:val="auto"/>
        </w:rPr>
      </w:pPr>
    </w:p>
    <w:p>
      <w:pPr>
        <w:ind w:right="120" w:firstLine="881"/>
        <w:spacing w:after="0" w:line="279" w:lineRule="auto"/>
        <w:rPr>
          <w:sz w:val="20"/>
          <w:szCs w:val="20"/>
          <w:color w:val="auto"/>
        </w:rPr>
      </w:pPr>
      <w:r>
        <w:rPr>
          <w:rFonts w:ascii="Arial" w:cs="Arial" w:eastAsia="Arial" w:hAnsi="Arial"/>
          <w:sz w:val="17"/>
          <w:szCs w:val="17"/>
          <w:color w:val="auto"/>
        </w:rPr>
        <w:t>Depending on the level of taxable income earned in a tax year, the Company may choose to carry forward taxable income in excess of current year dividend distributions into the next tax year and pay a 4.0% excise tax on such income, as required. To the extent that the Company determines that its estimated current year annual taxable income will be in excess of estimated current year dividend distributions for excise tax purposes, the Company accrues excise tax, if any, on estimated excess taxable income as taxable income is earned.</w:t>
      </w:r>
    </w:p>
    <w:p>
      <w:pPr>
        <w:spacing w:after="0" w:line="171" w:lineRule="exact"/>
        <w:rPr>
          <w:sz w:val="20"/>
          <w:szCs w:val="20"/>
          <w:color w:val="auto"/>
        </w:rPr>
      </w:pPr>
    </w:p>
    <w:p>
      <w:pPr>
        <w:ind w:firstLine="881"/>
        <w:spacing w:after="0" w:line="272" w:lineRule="auto"/>
        <w:rPr>
          <w:sz w:val="20"/>
          <w:szCs w:val="20"/>
          <w:color w:val="auto"/>
        </w:rPr>
      </w:pPr>
      <w:r>
        <w:rPr>
          <w:rFonts w:ascii="Arial" w:cs="Arial" w:eastAsia="Arial" w:hAnsi="Arial"/>
          <w:sz w:val="17"/>
          <w:szCs w:val="17"/>
          <w:color w:val="auto"/>
        </w:rPr>
        <w:t>In accordance with certain applicable treasury regulations and private letter rulings issued by the Internal Revenue Service, a RIC may treat a distribution of its own stock as fulfilling its RIC distribution requirements if each stockholder may elect to receive his or her entire distribution in either cash or stock of the RIC subject to a limitation on the aggregate amount of cash to be distributed to all stockholders, which limitation must be at least 20.0% of the aggregate declared distribution. If too many stockholders elect to receive cash, each stockholder electing to receive cash will receive a pro rata amount of cash (with the balance of the distribution paid in stock). In no event will any stockholder, electing to receive cash, receive less than 20.0% of his or her entire distribution in cash. If these and certain other requirements are met, for U.S federal income tax purposes, the amount of the dividend paid in stock will be equal to the amount of cash that could have been received instead of stock.</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641" w:gutter="0" w:footer="0" w:header="0"/>
        </w:sectPr>
      </w:pPr>
    </w:p>
    <w:bookmarkStart w:id="46" w:name="page47"/>
    <w:bookmarkEnd w:id="46"/>
    <w:p>
      <w:pPr>
        <w:ind w:right="40" w:firstLine="881"/>
        <w:spacing w:after="0" w:line="273" w:lineRule="auto"/>
        <w:rPr>
          <w:sz w:val="20"/>
          <w:szCs w:val="20"/>
          <w:color w:val="auto"/>
        </w:rPr>
      </w:pPr>
      <w:r>
        <w:rPr>
          <w:rFonts w:ascii="Arial" w:cs="Arial" w:eastAsia="Arial" w:hAnsi="Arial"/>
          <w:sz w:val="17"/>
          <w:szCs w:val="17"/>
          <w:color w:val="auto"/>
        </w:rPr>
        <w:t xml:space="preserve">ASC Topic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provides guidance for how uncertain tax positions should be recognized, measured, presented and disclosed in the consolidated financial statements. ASC 740 requires the evaluation of tax positions taken or expected to be taken in the course of preparing the Company’s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September 30, 2015 and December 31, 2014, there were no uncertain tax positions.</w:t>
      </w:r>
    </w:p>
    <w:p>
      <w:pPr>
        <w:spacing w:after="0" w:line="178" w:lineRule="exact"/>
        <w:rPr>
          <w:sz w:val="20"/>
          <w:szCs w:val="20"/>
          <w:color w:val="auto"/>
        </w:rPr>
      </w:pPr>
    </w:p>
    <w:p>
      <w:pPr>
        <w:ind w:right="40" w:firstLine="881"/>
        <w:spacing w:after="0" w:line="302" w:lineRule="auto"/>
        <w:rPr>
          <w:sz w:val="20"/>
          <w:szCs w:val="20"/>
          <w:color w:val="auto"/>
        </w:rPr>
      </w:pPr>
      <w:r>
        <w:rPr>
          <w:rFonts w:ascii="Arial" w:cs="Arial" w:eastAsia="Arial" w:hAnsi="Arial"/>
          <w:sz w:val="16"/>
          <w:szCs w:val="16"/>
          <w:color w:val="auto"/>
        </w:rPr>
        <w:t>The Company is required to determine whether a tax position of the Company is more likely-than-not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could have a negative impact the Company’s net assets.</w:t>
      </w:r>
    </w:p>
    <w:p>
      <w:pPr>
        <w:spacing w:after="0" w:line="154" w:lineRule="exact"/>
        <w:rPr>
          <w:sz w:val="20"/>
          <w:szCs w:val="20"/>
          <w:color w:val="auto"/>
        </w:rPr>
      </w:pPr>
    </w:p>
    <w:p>
      <w:pPr>
        <w:ind w:right="180" w:firstLine="881"/>
        <w:spacing w:after="0" w:line="277" w:lineRule="auto"/>
        <w:rPr>
          <w:sz w:val="20"/>
          <w:szCs w:val="20"/>
          <w:color w:val="auto"/>
        </w:rPr>
      </w:pPr>
      <w:r>
        <w:rPr>
          <w:rFonts w:ascii="Arial" w:cs="Arial" w:eastAsia="Arial" w:hAnsi="Arial"/>
          <w:sz w:val="18"/>
          <w:szCs w:val="18"/>
          <w:color w:val="auto"/>
        </w:rPr>
        <w:t>U.S. GAAP provides guidance on thresholds, measurement, de-recognition, classification, interest and penalties, accounting in interim periods, disclosure, and transition that is intended to provide better financial statement comparability among different entities.</w:t>
      </w:r>
    </w:p>
    <w:p>
      <w:pPr>
        <w:spacing w:after="0" w:line="170" w:lineRule="exact"/>
        <w:rPr>
          <w:sz w:val="20"/>
          <w:szCs w:val="20"/>
          <w:color w:val="auto"/>
        </w:rPr>
      </w:pPr>
    </w:p>
    <w:p>
      <w:pPr>
        <w:ind w:right="40" w:firstLine="881"/>
        <w:spacing w:after="0" w:line="264" w:lineRule="auto"/>
        <w:rPr>
          <w:sz w:val="20"/>
          <w:szCs w:val="20"/>
          <w:color w:val="auto"/>
        </w:rPr>
      </w:pPr>
      <w:r>
        <w:rPr>
          <w:rFonts w:ascii="Arial" w:cs="Arial" w:eastAsia="Arial" w:hAnsi="Arial"/>
          <w:sz w:val="18"/>
          <w:szCs w:val="18"/>
          <w:color w:val="auto"/>
        </w:rPr>
        <w:t>The Company has concluded that it was not necessary to record a liability for any such tax positions as of September 30, 2015 and December 31, 2014. However, the Company’s conclusions regarding this policy may be subject to review and adjustment at a later date based on factors including, but not limited to, ongoing analyses of, and changes to, tax laws, regulations and interpretations thereof.</w:t>
      </w:r>
    </w:p>
    <w:p>
      <w:pPr>
        <w:spacing w:after="0" w:line="181" w:lineRule="exact"/>
        <w:rPr>
          <w:sz w:val="20"/>
          <w:szCs w:val="20"/>
          <w:color w:val="auto"/>
        </w:rPr>
      </w:pPr>
    </w:p>
    <w:p>
      <w:pPr>
        <w:ind w:right="180" w:firstLine="881"/>
        <w:spacing w:after="0" w:line="259" w:lineRule="auto"/>
        <w:rPr>
          <w:sz w:val="20"/>
          <w:szCs w:val="20"/>
          <w:color w:val="auto"/>
        </w:rPr>
      </w:pPr>
      <w:r>
        <w:rPr>
          <w:rFonts w:ascii="Arial" w:cs="Arial" w:eastAsia="Arial" w:hAnsi="Arial"/>
          <w:sz w:val="18"/>
          <w:szCs w:val="18"/>
          <w:color w:val="auto"/>
        </w:rPr>
        <w:t>The Company’s activities from commencement of operations remain subject to examination by U.S. federal, state, and local tax authorities. No interest expense or penalties have been assessed for the nine month periods ended September 30, 2015 and September 30, 2014. If the Company were required to recognize interest and penalties, if any, related to unrecognized tax benefits this would be recognized as income tax expense in the consolidated statement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As of September 30, 2015, our portfolio consisted of investments in 58 portfolio companies with a fair value of approximately $588.2 million.</w:t>
      </w:r>
    </w:p>
    <w:p>
      <w:pPr>
        <w:spacing w:after="0" w:line="237" w:lineRule="exact"/>
        <w:rPr>
          <w:sz w:val="20"/>
          <w:szCs w:val="20"/>
          <w:color w:val="auto"/>
        </w:rPr>
      </w:pPr>
    </w:p>
    <w:p>
      <w:pPr>
        <w:ind w:right="120" w:firstLine="881"/>
        <w:spacing w:after="0" w:line="259" w:lineRule="auto"/>
        <w:rPr>
          <w:sz w:val="20"/>
          <w:szCs w:val="20"/>
          <w:color w:val="auto"/>
        </w:rPr>
      </w:pPr>
      <w:r>
        <w:rPr>
          <w:rFonts w:ascii="Arial" w:cs="Arial" w:eastAsia="Arial" w:hAnsi="Arial"/>
          <w:sz w:val="18"/>
          <w:szCs w:val="18"/>
          <w:color w:val="auto"/>
        </w:rPr>
        <w:t>During the three months ended September 30, 2015, we made approximately $55.6 million of investments and had approximately $34.7 million in repayments resulting in net investments of approximately $20.9 million for the period. During the three months ended September 30, 2014, we made approximately $86.7 million of investments and had approximately $44.7 million in repayments resulting in net investments of approximately $42.0 million for the period.</w:t>
      </w:r>
    </w:p>
    <w:p>
      <w:pPr>
        <w:spacing w:after="0" w:line="187" w:lineRule="exact"/>
        <w:rPr>
          <w:sz w:val="20"/>
          <w:szCs w:val="20"/>
          <w:color w:val="auto"/>
        </w:rPr>
      </w:pPr>
    </w:p>
    <w:p>
      <w:pPr>
        <w:ind w:firstLine="881"/>
        <w:spacing w:after="0" w:line="259" w:lineRule="auto"/>
        <w:rPr>
          <w:sz w:val="20"/>
          <w:szCs w:val="20"/>
          <w:color w:val="auto"/>
        </w:rPr>
      </w:pPr>
      <w:r>
        <w:rPr>
          <w:rFonts w:ascii="Arial" w:cs="Arial" w:eastAsia="Arial" w:hAnsi="Arial"/>
          <w:sz w:val="18"/>
          <w:szCs w:val="18"/>
          <w:color w:val="auto"/>
        </w:rPr>
        <w:t>During the nine months ended September 30, 2015, we made approximately $225.6 million of investments and had approximately $126.6 million in repayments resulting in net investments of approximately $99.0 million for the period. During the nine months ended September 30, 2014, we made approximately $150.3 million of investments and had approximately $64.8 million in repayments resulting in net investments of approximately $85.5 million for the period.</w:t>
      </w:r>
    </w:p>
    <w:p>
      <w:pPr>
        <w:spacing w:after="0" w:line="187" w:lineRule="exact"/>
        <w:rPr>
          <w:sz w:val="20"/>
          <w:szCs w:val="20"/>
          <w:color w:val="auto"/>
        </w:rPr>
      </w:pPr>
    </w:p>
    <w:p>
      <w:pPr>
        <w:ind w:right="140" w:firstLine="917"/>
        <w:spacing w:after="0" w:line="259" w:lineRule="auto"/>
        <w:rPr>
          <w:sz w:val="20"/>
          <w:szCs w:val="20"/>
          <w:color w:val="auto"/>
        </w:rPr>
      </w:pPr>
      <w:r>
        <w:rPr>
          <w:rFonts w:ascii="Arial" w:cs="Arial" w:eastAsia="Arial" w:hAnsi="Arial"/>
          <w:sz w:val="18"/>
          <w:szCs w:val="18"/>
          <w:color w:val="auto"/>
        </w:rPr>
        <w:t>As of September 30, 2015, our debt investment portfolio, which represented 80.9% of our total portfolio, had a weighted average yield of approximately 12.1%. As of September 30, 2015, 72.5% of our debt investment portfolio was bearing a fixed rate of interest. As of December 31, 2014, our debt investment portfolio, which represented 76.7% of our total portfolio, had a weighted average yield of approximately 12.5%. As of December 31, 2014, 79.0% of our debt investment portfolio was bearing a fixed rate of interest.</w:t>
      </w:r>
    </w:p>
    <w:p>
      <w:pPr>
        <w:spacing w:after="0" w:line="187" w:lineRule="exact"/>
        <w:rPr>
          <w:sz w:val="20"/>
          <w:szCs w:val="20"/>
          <w:color w:val="auto"/>
        </w:rPr>
      </w:pPr>
    </w:p>
    <w:p>
      <w:pPr>
        <w:ind w:right="320" w:firstLine="881"/>
        <w:spacing w:after="0" w:line="277" w:lineRule="auto"/>
        <w:rPr>
          <w:sz w:val="20"/>
          <w:szCs w:val="20"/>
          <w:color w:val="auto"/>
        </w:rPr>
      </w:pPr>
      <w:r>
        <w:rPr>
          <w:rFonts w:ascii="Arial" w:cs="Arial" w:eastAsia="Arial" w:hAnsi="Arial"/>
          <w:sz w:val="18"/>
          <w:szCs w:val="18"/>
          <w:color w:val="auto"/>
        </w:rPr>
        <w:t>The following table summarizes the amortized cost and the fair value of investments and cash and cash equivalents as of September 30, 2015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91"/>
              </w:rPr>
              <w:t>Amortized Cost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2"/>
              </w:rPr>
              <w:t>Fair Value</w:t>
            </w:r>
          </w:p>
        </w:tc>
      </w:tr>
      <w:tr>
        <w:trPr>
          <w:trHeight w:val="216"/>
        </w:trPr>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7"/>
              </w:rPr>
              <w:t>Investments at</w:t>
            </w:r>
          </w:p>
        </w:tc>
        <w:tc>
          <w:tcPr>
            <w:tcW w:w="152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87"/>
              </w:rPr>
              <w:t>Percentage of</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b w:val="1"/>
                <w:bCs w:val="1"/>
                <w:color w:val="auto"/>
              </w:rPr>
              <w:t>Investments at</w:t>
            </w:r>
          </w:p>
        </w:tc>
        <w:tc>
          <w:tcPr>
            <w:tcW w:w="150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7"/>
              </w:rPr>
              <w:t>Percentage of</w:t>
            </w:r>
          </w:p>
        </w:tc>
      </w:tr>
      <w:tr>
        <w:trPr>
          <w:trHeight w:val="234"/>
        </w:trPr>
        <w:tc>
          <w:tcPr>
            <w:tcW w:w="418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Amortized Cost</w:t>
            </w:r>
          </w:p>
        </w:tc>
        <w:tc>
          <w:tcPr>
            <w:tcW w:w="20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Portfolio</w:t>
            </w: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Fair Value</w:t>
            </w:r>
          </w:p>
        </w:tc>
        <w:tc>
          <w:tcPr>
            <w:tcW w:w="18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Portfolio</w:t>
            </w:r>
          </w:p>
        </w:tc>
        <w:tc>
          <w:tcPr>
            <w:tcW w:w="180" w:type="dxa"/>
            <w:vAlign w:val="bottom"/>
            <w:tcBorders>
              <w:bottom w:val="single" w:sz="8" w:color="CCEEFF"/>
            </w:tcBorders>
            <w:gridSpan w:val="2"/>
          </w:tcPr>
          <w:p>
            <w:pPr>
              <w:spacing w:after="0"/>
              <w:rPr>
                <w:sz w:val="20"/>
                <w:szCs w:val="20"/>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218,140</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215,633</w:t>
            </w:r>
          </w:p>
        </w:tc>
        <w:tc>
          <w:tcPr>
            <w:tcW w:w="18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34.5%</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Subordinated Debt</w:t>
            </w:r>
          </w:p>
        </w:tc>
        <w:tc>
          <w:tcPr>
            <w:tcW w:w="1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261,967</w:t>
            </w:r>
          </w:p>
        </w:tc>
        <w:tc>
          <w:tcPr>
            <w:tcW w:w="1520" w:type="dxa"/>
            <w:vAlign w:val="bottom"/>
            <w:gridSpan w:val="2"/>
          </w:tcPr>
          <w:p>
            <w:pPr>
              <w:jc w:val="right"/>
              <w:ind w:right="110"/>
              <w:spacing w:after="0"/>
              <w:rPr>
                <w:sz w:val="20"/>
                <w:szCs w:val="20"/>
                <w:color w:val="auto"/>
              </w:rPr>
            </w:pPr>
            <w:r>
              <w:rPr>
                <w:rFonts w:ascii="Arial" w:cs="Arial" w:eastAsia="Arial" w:hAnsi="Arial"/>
                <w:sz w:val="18"/>
                <w:szCs w:val="18"/>
                <w:color w:val="auto"/>
              </w:rPr>
              <w:t>44.3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260,303</w:t>
            </w: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41.6</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Equity and Warrants</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53,221</w:t>
            </w:r>
          </w:p>
        </w:tc>
        <w:tc>
          <w:tcPr>
            <w:tcW w:w="1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9.0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92,704</w:t>
            </w:r>
          </w:p>
        </w:tc>
        <w:tc>
          <w:tcPr>
            <w:tcW w:w="15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14.8</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Capitala Senior Liquid Loan Fund I, LLC</w:t>
            </w:r>
          </w:p>
        </w:tc>
        <w:tc>
          <w:tcPr>
            <w:tcW w:w="1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20,000</w:t>
            </w:r>
          </w:p>
        </w:tc>
        <w:tc>
          <w:tcPr>
            <w:tcW w:w="1520" w:type="dxa"/>
            <w:vAlign w:val="bottom"/>
            <w:gridSpan w:val="2"/>
          </w:tcPr>
          <w:p>
            <w:pPr>
              <w:jc w:val="right"/>
              <w:ind w:right="110"/>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19,577</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r>
      <w:tr>
        <w:trPr>
          <w:trHeight w:val="23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37,535</w:t>
            </w:r>
          </w:p>
        </w:tc>
        <w:tc>
          <w:tcPr>
            <w:tcW w:w="1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6.4</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37,535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9"/>
                <w:szCs w:val="19"/>
                <w:color w:val="auto"/>
              </w:rPr>
            </w:pPr>
          </w:p>
        </w:tc>
      </w:tr>
      <w:tr>
        <w:trPr>
          <w:trHeight w:val="223"/>
        </w:trPr>
        <w:tc>
          <w:tcPr>
            <w:tcW w:w="41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590,863</w:t>
            </w:r>
          </w:p>
        </w:tc>
        <w:tc>
          <w:tcPr>
            <w:tcW w:w="20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625,752</w:t>
            </w:r>
          </w:p>
        </w:tc>
        <w:tc>
          <w:tcPr>
            <w:tcW w:w="18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w:t>
            </w:r>
          </w:p>
        </w:tc>
      </w:tr>
      <w:tr>
        <w:trPr>
          <w:trHeight w:val="20"/>
        </w:trPr>
        <w:tc>
          <w:tcPr>
            <w:tcW w:w="4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47" w:name="page48"/>
    <w:bookmarkEnd w:id="47"/>
    <w:p>
      <w:pPr>
        <w:ind w:firstLine="881"/>
        <w:spacing w:after="0" w:line="277" w:lineRule="auto"/>
        <w:rPr>
          <w:sz w:val="20"/>
          <w:szCs w:val="20"/>
          <w:color w:val="auto"/>
        </w:rPr>
      </w:pPr>
      <w:r>
        <w:rPr>
          <w:rFonts w:ascii="Arial" w:cs="Arial" w:eastAsia="Arial" w:hAnsi="Arial"/>
          <w:sz w:val="18"/>
          <w:szCs w:val="18"/>
          <w:color w:val="auto"/>
        </w:rPr>
        <w:t>The following table summarizes the amortized cost and the fair value of investments and cash and cash equivalents as of December 31, 2014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91"/>
              </w:rPr>
              <w:t>Amortized Cost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gridSpan w:val="2"/>
          </w:tcPr>
          <w:p>
            <w:pPr>
              <w:jc w:val="center"/>
              <w:ind w:right="150"/>
              <w:spacing w:after="0"/>
              <w:rPr>
                <w:sz w:val="20"/>
                <w:szCs w:val="20"/>
                <w:color w:val="auto"/>
              </w:rPr>
            </w:pPr>
            <w:r>
              <w:rPr>
                <w:rFonts w:ascii="Arial" w:cs="Arial" w:eastAsia="Arial" w:hAnsi="Arial"/>
                <w:sz w:val="18"/>
                <w:szCs w:val="18"/>
                <w:b w:val="1"/>
                <w:bCs w:val="1"/>
                <w:color w:val="auto"/>
                <w:w w:val="92"/>
              </w:rPr>
              <w:t>Fair Value</w:t>
            </w:r>
          </w:p>
        </w:tc>
      </w:tr>
      <w:tr>
        <w:trPr>
          <w:trHeight w:val="216"/>
        </w:trPr>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Investments at</w:t>
            </w:r>
          </w:p>
        </w:tc>
        <w:tc>
          <w:tcPr>
            <w:tcW w:w="152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87"/>
              </w:rPr>
              <w:t>Percentage of</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8"/>
              </w:rPr>
              <w:t>Investments at</w:t>
            </w:r>
          </w:p>
        </w:tc>
        <w:tc>
          <w:tcPr>
            <w:tcW w:w="1440" w:type="dxa"/>
            <w:vAlign w:val="bottom"/>
            <w:gridSpan w:val="2"/>
          </w:tcPr>
          <w:p>
            <w:pPr>
              <w:jc w:val="center"/>
              <w:ind w:right="150"/>
              <w:spacing w:after="0"/>
              <w:rPr>
                <w:sz w:val="20"/>
                <w:szCs w:val="20"/>
                <w:color w:val="auto"/>
              </w:rPr>
            </w:pPr>
            <w:r>
              <w:rPr>
                <w:rFonts w:ascii="Arial" w:cs="Arial" w:eastAsia="Arial" w:hAnsi="Arial"/>
                <w:sz w:val="18"/>
                <w:szCs w:val="18"/>
                <w:b w:val="1"/>
                <w:bCs w:val="1"/>
                <w:color w:val="auto"/>
                <w:w w:val="87"/>
              </w:rPr>
              <w:t>Percentage of</w:t>
            </w:r>
          </w:p>
        </w:tc>
      </w:tr>
      <w:tr>
        <w:trPr>
          <w:trHeight w:val="234"/>
        </w:trPr>
        <w:tc>
          <w:tcPr>
            <w:tcW w:w="418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Amortized Cost</w:t>
            </w:r>
          </w:p>
        </w:tc>
        <w:tc>
          <w:tcPr>
            <w:tcW w:w="20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Portfolio</w:t>
            </w: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Fair Value</w:t>
            </w:r>
          </w:p>
        </w:tc>
        <w:tc>
          <w:tcPr>
            <w:tcW w:w="18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Portfolio</w:t>
            </w:r>
          </w:p>
        </w:tc>
        <w:tc>
          <w:tcPr>
            <w:tcW w:w="180" w:type="dxa"/>
            <w:vAlign w:val="bottom"/>
            <w:tcBorders>
              <w:bottom w:val="single" w:sz="8" w:color="CCEEFF"/>
            </w:tcBorders>
          </w:tcPr>
          <w:p>
            <w:pPr>
              <w:spacing w:after="0"/>
              <w:rPr>
                <w:sz w:val="20"/>
                <w:szCs w:val="20"/>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146,399</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146,314</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Subordinated Debt</w:t>
            </w:r>
          </w:p>
        </w:tc>
        <w:tc>
          <w:tcPr>
            <w:tcW w:w="1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231,901</w:t>
            </w:r>
          </w:p>
        </w:tc>
        <w:tc>
          <w:tcPr>
            <w:tcW w:w="1520" w:type="dxa"/>
            <w:vAlign w:val="bottom"/>
            <w:gridSpan w:val="2"/>
          </w:tcPr>
          <w:p>
            <w:pPr>
              <w:jc w:val="right"/>
              <w:ind w:right="110"/>
              <w:spacing w:after="0"/>
              <w:rPr>
                <w:sz w:val="20"/>
                <w:szCs w:val="20"/>
                <w:color w:val="auto"/>
              </w:rPr>
            </w:pPr>
            <w:r>
              <w:rPr>
                <w:rFonts w:ascii="Arial" w:cs="Arial" w:eastAsia="Arial" w:hAnsi="Arial"/>
                <w:sz w:val="18"/>
                <w:szCs w:val="18"/>
                <w:color w:val="auto"/>
              </w:rPr>
              <w:t>46.7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222,300</w:t>
            </w:r>
          </w:p>
        </w:tc>
        <w:tc>
          <w:tcPr>
            <w:tcW w:w="60" w:type="dxa"/>
            <w:vAlign w:val="bottom"/>
          </w:tcPr>
          <w:p>
            <w:pPr>
              <w:spacing w:after="0"/>
              <w:rPr>
                <w:sz w:val="18"/>
                <w:szCs w:val="18"/>
                <w:color w:val="auto"/>
              </w:rPr>
            </w:pPr>
          </w:p>
        </w:tc>
        <w:tc>
          <w:tcPr>
            <w:tcW w:w="1440" w:type="dxa"/>
            <w:vAlign w:val="bottom"/>
            <w:gridSpan w:val="2"/>
          </w:tcPr>
          <w:p>
            <w:pPr>
              <w:jc w:val="right"/>
              <w:ind w:right="70"/>
              <w:spacing w:after="0"/>
              <w:rPr>
                <w:sz w:val="20"/>
                <w:szCs w:val="20"/>
                <w:color w:val="auto"/>
              </w:rPr>
            </w:pPr>
            <w:r>
              <w:rPr>
                <w:rFonts w:ascii="Arial" w:cs="Arial" w:eastAsia="Arial" w:hAnsi="Arial"/>
                <w:sz w:val="18"/>
                <w:szCs w:val="18"/>
                <w:color w:val="auto"/>
              </w:rPr>
              <w:t>41.5</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Equity and Warrants</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62,855</w:t>
            </w:r>
          </w:p>
        </w:tc>
        <w:tc>
          <w:tcPr>
            <w:tcW w:w="1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12.7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111,723</w:t>
            </w:r>
          </w:p>
        </w:tc>
        <w:tc>
          <w:tcPr>
            <w:tcW w:w="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20.9</w:t>
            </w: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55,107</w:t>
            </w:r>
          </w:p>
        </w:tc>
        <w:tc>
          <w:tcPr>
            <w:tcW w:w="1320" w:type="dxa"/>
            <w:vAlign w:val="bottom"/>
          </w:tcPr>
          <w:p>
            <w:pPr>
              <w:jc w:val="right"/>
              <w:spacing w:after="0"/>
              <w:rPr>
                <w:sz w:val="20"/>
                <w:szCs w:val="20"/>
                <w:color w:val="auto"/>
              </w:rPr>
            </w:pPr>
            <w:r>
              <w:rPr>
                <w:rFonts w:ascii="Arial" w:cs="Arial" w:eastAsia="Arial" w:hAnsi="Arial"/>
                <w:sz w:val="18"/>
                <w:szCs w:val="18"/>
                <w:color w:val="auto"/>
              </w:rPr>
              <w:t>11.1</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55,107</w:t>
            </w:r>
          </w:p>
        </w:tc>
        <w:tc>
          <w:tcPr>
            <w:tcW w:w="60" w:type="dxa"/>
            <w:vAlign w:val="bottom"/>
          </w:tcPr>
          <w:p>
            <w:pPr>
              <w:spacing w:after="0"/>
              <w:rPr>
                <w:sz w:val="19"/>
                <w:szCs w:val="19"/>
                <w:color w:val="auto"/>
              </w:rPr>
            </w:pPr>
          </w:p>
        </w:tc>
        <w:tc>
          <w:tcPr>
            <w:tcW w:w="1440" w:type="dxa"/>
            <w:vAlign w:val="bottom"/>
            <w:gridSpan w:val="2"/>
          </w:tcPr>
          <w:p>
            <w:pPr>
              <w:jc w:val="right"/>
              <w:ind w:right="70"/>
              <w:spacing w:after="0"/>
              <w:rPr>
                <w:sz w:val="20"/>
                <w:szCs w:val="20"/>
                <w:color w:val="auto"/>
              </w:rPr>
            </w:pPr>
            <w:r>
              <w:rPr>
                <w:rFonts w:ascii="Arial" w:cs="Arial" w:eastAsia="Arial" w:hAnsi="Arial"/>
                <w:sz w:val="18"/>
                <w:szCs w:val="18"/>
                <w:color w:val="auto"/>
              </w:rPr>
              <w:t>10.3</w:t>
            </w:r>
          </w:p>
        </w:tc>
      </w:tr>
      <w:tr>
        <w:trPr>
          <w:trHeight w:val="223"/>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496,262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535,444</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418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13"/>
        </w:trPr>
        <w:tc>
          <w:tcPr>
            <w:tcW w:w="8840" w:type="dxa"/>
            <w:vAlign w:val="bottom"/>
            <w:gridSpan w:val="11"/>
          </w:tcPr>
          <w:p>
            <w:pPr>
              <w:jc w:val="center"/>
              <w:ind w:left="750"/>
              <w:spacing w:after="0"/>
              <w:rPr>
                <w:sz w:val="20"/>
                <w:szCs w:val="20"/>
                <w:color w:val="auto"/>
              </w:rPr>
            </w:pPr>
            <w:r>
              <w:rPr>
                <w:rFonts w:ascii="Arial" w:cs="Arial" w:eastAsia="Arial" w:hAnsi="Arial"/>
                <w:sz w:val="18"/>
                <w:szCs w:val="18"/>
                <w:color w:val="auto"/>
                <w:w w:val="92"/>
              </w:rPr>
              <w:t>The following table shows the portfolio composition by industry grouping at fair value (dollars in thousands):</w:t>
            </w: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4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4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September 30, 2015</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20" w:type="dxa"/>
            <w:vAlign w:val="bottom"/>
            <w:gridSpan w:val="5"/>
          </w:tcPr>
          <w:p>
            <w:pPr>
              <w:jc w:val="right"/>
              <w:ind w:right="770"/>
              <w:spacing w:after="0"/>
              <w:rPr>
                <w:sz w:val="20"/>
                <w:szCs w:val="20"/>
                <w:color w:val="auto"/>
              </w:rPr>
            </w:pPr>
            <w:r>
              <w:rPr>
                <w:rFonts w:ascii="Arial" w:cs="Arial" w:eastAsia="Arial" w:hAnsi="Arial"/>
                <w:sz w:val="18"/>
                <w:szCs w:val="18"/>
                <w:b w:val="1"/>
                <w:bCs w:val="1"/>
                <w:color w:val="auto"/>
              </w:rPr>
              <w:t>December 31, 2014</w:t>
            </w:r>
          </w:p>
        </w:tc>
      </w:tr>
      <w:tr>
        <w:trPr>
          <w:trHeight w:val="191"/>
        </w:trPr>
        <w:tc>
          <w:tcPr>
            <w:tcW w:w="4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6"/>
              </w:rPr>
              <w:t>Percentage</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8"/>
              </w:rPr>
              <w:t>Percentage</w:t>
            </w:r>
          </w:p>
        </w:tc>
        <w:tc>
          <w:tcPr>
            <w:tcW w:w="180" w:type="dxa"/>
            <w:vAlign w:val="bottom"/>
          </w:tcPr>
          <w:p>
            <w:pPr>
              <w:spacing w:after="0"/>
              <w:rPr>
                <w:sz w:val="16"/>
                <w:szCs w:val="16"/>
                <w:color w:val="auto"/>
              </w:rPr>
            </w:pPr>
          </w:p>
        </w:tc>
      </w:tr>
      <w:tr>
        <w:trPr>
          <w:trHeight w:val="216"/>
        </w:trPr>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Investments</w:t>
            </w:r>
          </w:p>
        </w:tc>
        <w:tc>
          <w:tcPr>
            <w:tcW w:w="152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93"/>
              </w:rPr>
              <w:t>of</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7"/>
              </w:rPr>
              <w:t>Investments</w:t>
            </w:r>
          </w:p>
        </w:tc>
        <w:tc>
          <w:tcPr>
            <w:tcW w:w="144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82"/>
              </w:rPr>
              <w:t>of</w:t>
            </w:r>
          </w:p>
        </w:tc>
      </w:tr>
      <w:tr>
        <w:trPr>
          <w:trHeight w:val="216"/>
        </w:trPr>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at</w:t>
            </w:r>
          </w:p>
        </w:tc>
        <w:tc>
          <w:tcPr>
            <w:tcW w:w="152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92"/>
              </w:rPr>
              <w:t>Total</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9"/>
              </w:rPr>
              <w:t>at</w:t>
            </w:r>
          </w:p>
        </w:tc>
        <w:tc>
          <w:tcPr>
            <w:tcW w:w="144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88"/>
              </w:rPr>
              <w:t>Total</w:t>
            </w:r>
          </w:p>
        </w:tc>
      </w:tr>
      <w:tr>
        <w:trPr>
          <w:trHeight w:val="234"/>
        </w:trPr>
        <w:tc>
          <w:tcPr>
            <w:tcW w:w="4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Fair Value</w:t>
            </w:r>
          </w:p>
        </w:tc>
        <w:tc>
          <w:tcPr>
            <w:tcW w:w="20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Portfolio</w:t>
            </w: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Fair Value</w:t>
            </w:r>
          </w:p>
        </w:tc>
        <w:tc>
          <w:tcPr>
            <w:tcW w:w="18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Portfolio</w:t>
            </w:r>
          </w:p>
        </w:tc>
        <w:tc>
          <w:tcPr>
            <w:tcW w:w="180" w:type="dxa"/>
            <w:vAlign w:val="bottom"/>
            <w:tcBorders>
              <w:bottom w:val="single" w:sz="8" w:color="CCEEFF"/>
            </w:tcBorders>
          </w:tcPr>
          <w:p>
            <w:pPr>
              <w:spacing w:after="0"/>
              <w:rPr>
                <w:sz w:val="20"/>
                <w:szCs w:val="20"/>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Oil &amp; Gas Services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41,547</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34,088</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Building Products</w:t>
            </w:r>
          </w:p>
        </w:tc>
        <w:tc>
          <w:tcPr>
            <w:tcW w:w="1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30,000</w:t>
            </w:r>
          </w:p>
        </w:tc>
        <w:tc>
          <w:tcPr>
            <w:tcW w:w="1520" w:type="dxa"/>
            <w:vAlign w:val="bottom"/>
            <w:gridSpan w:val="2"/>
          </w:tcPr>
          <w:p>
            <w:pPr>
              <w:jc w:val="right"/>
              <w:ind w:right="110"/>
              <w:spacing w:after="0"/>
              <w:rPr>
                <w:sz w:val="20"/>
                <w:szCs w:val="20"/>
                <w:color w:val="auto"/>
              </w:rPr>
            </w:pPr>
            <w:r>
              <w:rPr>
                <w:rFonts w:ascii="Arial" w:cs="Arial" w:eastAsia="Arial" w:hAnsi="Arial"/>
                <w:sz w:val="18"/>
                <w:szCs w:val="18"/>
                <w:color w:val="auto"/>
              </w:rPr>
              <w:t>5.1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4,895</w:t>
            </w:r>
          </w:p>
        </w:tc>
        <w:tc>
          <w:tcPr>
            <w:tcW w:w="60" w:type="dxa"/>
            <w:vAlign w:val="bottom"/>
          </w:tcPr>
          <w:p>
            <w:pPr>
              <w:spacing w:after="0"/>
              <w:rPr>
                <w:sz w:val="18"/>
                <w:szCs w:val="18"/>
                <w:color w:val="auto"/>
              </w:rPr>
            </w:pPr>
          </w:p>
        </w:tc>
        <w:tc>
          <w:tcPr>
            <w:tcW w:w="1440" w:type="dxa"/>
            <w:vAlign w:val="bottom"/>
            <w:gridSpan w:val="2"/>
          </w:tcPr>
          <w:p>
            <w:pPr>
              <w:jc w:val="right"/>
              <w:ind w:right="70"/>
              <w:spacing w:after="0"/>
              <w:rPr>
                <w:sz w:val="20"/>
                <w:szCs w:val="20"/>
                <w:color w:val="auto"/>
              </w:rPr>
            </w:pPr>
            <w:r>
              <w:rPr>
                <w:rFonts w:ascii="Arial" w:cs="Arial" w:eastAsia="Arial" w:hAnsi="Arial"/>
                <w:sz w:val="18"/>
                <w:szCs w:val="18"/>
                <w:color w:val="auto"/>
              </w:rPr>
              <w:t>1.0</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Consumer Electronics</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28,300</w:t>
            </w:r>
          </w:p>
        </w:tc>
        <w:tc>
          <w:tcPr>
            <w:tcW w:w="1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Transportation</w:t>
            </w:r>
          </w:p>
        </w:tc>
        <w:tc>
          <w:tcPr>
            <w:tcW w:w="1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28,299</w:t>
            </w:r>
          </w:p>
        </w:tc>
        <w:tc>
          <w:tcPr>
            <w:tcW w:w="1520" w:type="dxa"/>
            <w:vAlign w:val="bottom"/>
            <w:gridSpan w:val="2"/>
          </w:tcPr>
          <w:p>
            <w:pPr>
              <w:jc w:val="right"/>
              <w:ind w:right="110"/>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27,094</w:t>
            </w:r>
          </w:p>
        </w:tc>
        <w:tc>
          <w:tcPr>
            <w:tcW w:w="60" w:type="dxa"/>
            <w:vAlign w:val="bottom"/>
          </w:tcPr>
          <w:p>
            <w:pPr>
              <w:spacing w:after="0"/>
              <w:rPr>
                <w:sz w:val="18"/>
                <w:szCs w:val="18"/>
                <w:color w:val="auto"/>
              </w:rPr>
            </w:pPr>
          </w:p>
        </w:tc>
        <w:tc>
          <w:tcPr>
            <w:tcW w:w="1440" w:type="dxa"/>
            <w:vAlign w:val="bottom"/>
            <w:gridSpan w:val="2"/>
          </w:tcPr>
          <w:p>
            <w:pPr>
              <w:jc w:val="right"/>
              <w:ind w:right="70"/>
              <w:spacing w:after="0"/>
              <w:rPr>
                <w:sz w:val="20"/>
                <w:szCs w:val="20"/>
                <w:color w:val="auto"/>
              </w:rPr>
            </w:pPr>
            <w:r>
              <w:rPr>
                <w:rFonts w:ascii="Arial" w:cs="Arial" w:eastAsia="Arial" w:hAnsi="Arial"/>
                <w:sz w:val="18"/>
                <w:szCs w:val="18"/>
                <w:color w:val="auto"/>
              </w:rPr>
              <w:t>5.6</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Financial Services</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25,461</w:t>
            </w:r>
          </w:p>
        </w:tc>
        <w:tc>
          <w:tcPr>
            <w:tcW w:w="1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8,300</w:t>
            </w:r>
          </w:p>
        </w:tc>
        <w:tc>
          <w:tcPr>
            <w:tcW w:w="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1.7</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IT Government Contracting</w:t>
            </w:r>
          </w:p>
        </w:tc>
        <w:tc>
          <w:tcPr>
            <w:tcW w:w="1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20,000</w:t>
            </w:r>
          </w:p>
        </w:tc>
        <w:tc>
          <w:tcPr>
            <w:tcW w:w="1520" w:type="dxa"/>
            <w:vAlign w:val="bottom"/>
            <w:gridSpan w:val="2"/>
          </w:tcPr>
          <w:p>
            <w:pPr>
              <w:jc w:val="right"/>
              <w:ind w:right="110"/>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20,000</w:t>
            </w:r>
          </w:p>
        </w:tc>
        <w:tc>
          <w:tcPr>
            <w:tcW w:w="60" w:type="dxa"/>
            <w:vAlign w:val="bottom"/>
          </w:tcPr>
          <w:p>
            <w:pPr>
              <w:spacing w:after="0"/>
              <w:rPr>
                <w:sz w:val="18"/>
                <w:szCs w:val="18"/>
                <w:color w:val="auto"/>
              </w:rPr>
            </w:pPr>
          </w:p>
        </w:tc>
        <w:tc>
          <w:tcPr>
            <w:tcW w:w="1440" w:type="dxa"/>
            <w:vAlign w:val="bottom"/>
            <w:gridSpan w:val="2"/>
          </w:tcPr>
          <w:p>
            <w:pPr>
              <w:jc w:val="right"/>
              <w:ind w:right="70"/>
              <w:spacing w:after="0"/>
              <w:rPr>
                <w:sz w:val="20"/>
                <w:szCs w:val="20"/>
                <w:color w:val="auto"/>
              </w:rPr>
            </w:pPr>
            <w:r>
              <w:rPr>
                <w:rFonts w:ascii="Arial" w:cs="Arial" w:eastAsia="Arial" w:hAnsi="Arial"/>
                <w:sz w:val="18"/>
                <w:szCs w:val="18"/>
                <w:color w:val="auto"/>
              </w:rPr>
              <w:t>4.2</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Investment Fund</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19,577</w:t>
            </w:r>
          </w:p>
        </w:tc>
        <w:tc>
          <w:tcPr>
            <w:tcW w:w="1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Food Product Manufacturer</w:t>
            </w:r>
          </w:p>
        </w:tc>
        <w:tc>
          <w:tcPr>
            <w:tcW w:w="1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18,932</w:t>
            </w:r>
          </w:p>
        </w:tc>
        <w:tc>
          <w:tcPr>
            <w:tcW w:w="1520" w:type="dxa"/>
            <w:vAlign w:val="bottom"/>
            <w:gridSpan w:val="2"/>
          </w:tcPr>
          <w:p>
            <w:pPr>
              <w:jc w:val="right"/>
              <w:ind w:right="110"/>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19,126</w:t>
            </w:r>
          </w:p>
        </w:tc>
        <w:tc>
          <w:tcPr>
            <w:tcW w:w="60" w:type="dxa"/>
            <w:vAlign w:val="bottom"/>
          </w:tcPr>
          <w:p>
            <w:pPr>
              <w:spacing w:after="0"/>
              <w:rPr>
                <w:sz w:val="18"/>
                <w:szCs w:val="18"/>
                <w:color w:val="auto"/>
              </w:rPr>
            </w:pPr>
          </w:p>
        </w:tc>
        <w:tc>
          <w:tcPr>
            <w:tcW w:w="1440" w:type="dxa"/>
            <w:vAlign w:val="bottom"/>
            <w:gridSpan w:val="2"/>
          </w:tcPr>
          <w:p>
            <w:pPr>
              <w:jc w:val="right"/>
              <w:ind w:right="70"/>
              <w:spacing w:after="0"/>
              <w:rPr>
                <w:sz w:val="20"/>
                <w:szCs w:val="20"/>
                <w:color w:val="auto"/>
              </w:rPr>
            </w:pPr>
            <w:r>
              <w:rPr>
                <w:rFonts w:ascii="Arial" w:cs="Arial" w:eastAsia="Arial" w:hAnsi="Arial"/>
                <w:sz w:val="18"/>
                <w:szCs w:val="18"/>
                <w:color w:val="auto"/>
              </w:rPr>
              <w:t>4.0</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Sales &amp; Marketing Services</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18,023</w:t>
            </w:r>
          </w:p>
        </w:tc>
        <w:tc>
          <w:tcPr>
            <w:tcW w:w="1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23,632</w:t>
            </w:r>
          </w:p>
        </w:tc>
        <w:tc>
          <w:tcPr>
            <w:tcW w:w="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4.9</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Medical Device Distributor</w:t>
            </w:r>
          </w:p>
        </w:tc>
        <w:tc>
          <w:tcPr>
            <w:tcW w:w="1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17,553</w:t>
            </w:r>
          </w:p>
        </w:tc>
        <w:tc>
          <w:tcPr>
            <w:tcW w:w="1520" w:type="dxa"/>
            <w:vAlign w:val="bottom"/>
            <w:gridSpan w:val="2"/>
          </w:tcPr>
          <w:p>
            <w:pPr>
              <w:jc w:val="right"/>
              <w:ind w:right="110"/>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14,349</w:t>
            </w:r>
          </w:p>
        </w:tc>
        <w:tc>
          <w:tcPr>
            <w:tcW w:w="60" w:type="dxa"/>
            <w:vAlign w:val="bottom"/>
          </w:tcPr>
          <w:p>
            <w:pPr>
              <w:spacing w:after="0"/>
              <w:rPr>
                <w:sz w:val="18"/>
                <w:szCs w:val="18"/>
                <w:color w:val="auto"/>
              </w:rPr>
            </w:pPr>
          </w:p>
        </w:tc>
        <w:tc>
          <w:tcPr>
            <w:tcW w:w="1440" w:type="dxa"/>
            <w:vAlign w:val="bottom"/>
            <w:gridSpan w:val="2"/>
          </w:tcPr>
          <w:p>
            <w:pPr>
              <w:jc w:val="right"/>
              <w:ind w:right="70"/>
              <w:spacing w:after="0"/>
              <w:rPr>
                <w:sz w:val="20"/>
                <w:szCs w:val="20"/>
                <w:color w:val="auto"/>
              </w:rPr>
            </w:pPr>
            <w:r>
              <w:rPr>
                <w:rFonts w:ascii="Arial" w:cs="Arial" w:eastAsia="Arial" w:hAnsi="Arial"/>
                <w:sz w:val="18"/>
                <w:szCs w:val="18"/>
                <w:color w:val="auto"/>
              </w:rPr>
              <w:t>3.0</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Footwear Retail</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17,446</w:t>
            </w:r>
          </w:p>
        </w:tc>
        <w:tc>
          <w:tcPr>
            <w:tcW w:w="1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15,687</w:t>
            </w:r>
          </w:p>
        </w:tc>
        <w:tc>
          <w:tcPr>
            <w:tcW w:w="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3.3</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Printing Services</w:t>
            </w:r>
          </w:p>
        </w:tc>
        <w:tc>
          <w:tcPr>
            <w:tcW w:w="1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17,200</w:t>
            </w:r>
          </w:p>
        </w:tc>
        <w:tc>
          <w:tcPr>
            <w:tcW w:w="1520" w:type="dxa"/>
            <w:vAlign w:val="bottom"/>
            <w:gridSpan w:val="2"/>
          </w:tcPr>
          <w:p>
            <w:pPr>
              <w:jc w:val="right"/>
              <w:ind w:right="110"/>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18,324</w:t>
            </w:r>
          </w:p>
        </w:tc>
        <w:tc>
          <w:tcPr>
            <w:tcW w:w="60" w:type="dxa"/>
            <w:vAlign w:val="bottom"/>
          </w:tcPr>
          <w:p>
            <w:pPr>
              <w:spacing w:after="0"/>
              <w:rPr>
                <w:sz w:val="18"/>
                <w:szCs w:val="18"/>
                <w:color w:val="auto"/>
              </w:rPr>
            </w:pPr>
          </w:p>
        </w:tc>
        <w:tc>
          <w:tcPr>
            <w:tcW w:w="1440" w:type="dxa"/>
            <w:vAlign w:val="bottom"/>
            <w:gridSpan w:val="2"/>
          </w:tcPr>
          <w:p>
            <w:pPr>
              <w:jc w:val="right"/>
              <w:ind w:right="70"/>
              <w:spacing w:after="0"/>
              <w:rPr>
                <w:sz w:val="20"/>
                <w:szCs w:val="20"/>
                <w:color w:val="auto"/>
              </w:rPr>
            </w:pPr>
            <w:r>
              <w:rPr>
                <w:rFonts w:ascii="Arial" w:cs="Arial" w:eastAsia="Arial" w:hAnsi="Arial"/>
                <w:sz w:val="18"/>
                <w:szCs w:val="18"/>
                <w:color w:val="auto"/>
              </w:rPr>
              <w:t>3.8</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Bakery Supplies Distributor</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16,490</w:t>
            </w:r>
          </w:p>
        </w:tc>
        <w:tc>
          <w:tcPr>
            <w:tcW w:w="1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16,297</w:t>
            </w:r>
          </w:p>
        </w:tc>
        <w:tc>
          <w:tcPr>
            <w:tcW w:w="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3.4</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Retail Display &amp; Security Services</w:t>
            </w:r>
          </w:p>
        </w:tc>
        <w:tc>
          <w:tcPr>
            <w:tcW w:w="1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16,311</w:t>
            </w:r>
          </w:p>
        </w:tc>
        <w:tc>
          <w:tcPr>
            <w:tcW w:w="1520" w:type="dxa"/>
            <w:vAlign w:val="bottom"/>
            <w:gridSpan w:val="2"/>
          </w:tcPr>
          <w:p>
            <w:pPr>
              <w:jc w:val="right"/>
              <w:ind w:right="110"/>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12,958</w:t>
            </w:r>
          </w:p>
        </w:tc>
        <w:tc>
          <w:tcPr>
            <w:tcW w:w="60" w:type="dxa"/>
            <w:vAlign w:val="bottom"/>
          </w:tcPr>
          <w:p>
            <w:pPr>
              <w:spacing w:after="0"/>
              <w:rPr>
                <w:sz w:val="18"/>
                <w:szCs w:val="18"/>
                <w:color w:val="auto"/>
              </w:rPr>
            </w:pPr>
          </w:p>
        </w:tc>
        <w:tc>
          <w:tcPr>
            <w:tcW w:w="1440" w:type="dxa"/>
            <w:vAlign w:val="bottom"/>
            <w:gridSpan w:val="2"/>
          </w:tcPr>
          <w:p>
            <w:pPr>
              <w:jc w:val="right"/>
              <w:ind w:right="70"/>
              <w:spacing w:after="0"/>
              <w:rPr>
                <w:sz w:val="20"/>
                <w:szCs w:val="20"/>
                <w:color w:val="auto"/>
              </w:rPr>
            </w:pPr>
            <w:r>
              <w:rPr>
                <w:rFonts w:ascii="Arial" w:cs="Arial" w:eastAsia="Arial" w:hAnsi="Arial"/>
                <w:sz w:val="18"/>
                <w:szCs w:val="18"/>
                <w:color w:val="auto"/>
              </w:rPr>
              <w:t>2.7</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Farming</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15,594</w:t>
            </w:r>
          </w:p>
        </w:tc>
        <w:tc>
          <w:tcPr>
            <w:tcW w:w="1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Professional and Personal Digital Imaging</w:t>
            </w:r>
          </w:p>
        </w:tc>
        <w:tc>
          <w:tcPr>
            <w:tcW w:w="1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15,000</w:t>
            </w:r>
          </w:p>
        </w:tc>
        <w:tc>
          <w:tcPr>
            <w:tcW w:w="1520" w:type="dxa"/>
            <w:vAlign w:val="bottom"/>
            <w:gridSpan w:val="2"/>
          </w:tcPr>
          <w:p>
            <w:pPr>
              <w:jc w:val="right"/>
              <w:ind w:right="110"/>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Home Décor Manufacturer</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14,700</w:t>
            </w:r>
          </w:p>
        </w:tc>
        <w:tc>
          <w:tcPr>
            <w:tcW w:w="1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14,611</w:t>
            </w:r>
          </w:p>
        </w:tc>
        <w:tc>
          <w:tcPr>
            <w:tcW w:w="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3.0</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Industrial Equipment Rental</w:t>
            </w:r>
          </w:p>
        </w:tc>
        <w:tc>
          <w:tcPr>
            <w:tcW w:w="1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13,271</w:t>
            </w:r>
          </w:p>
        </w:tc>
        <w:tc>
          <w:tcPr>
            <w:tcW w:w="1520" w:type="dxa"/>
            <w:vAlign w:val="bottom"/>
            <w:gridSpan w:val="2"/>
          </w:tcPr>
          <w:p>
            <w:pPr>
              <w:jc w:val="right"/>
              <w:ind w:right="110"/>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13,212</w:t>
            </w:r>
          </w:p>
        </w:tc>
        <w:tc>
          <w:tcPr>
            <w:tcW w:w="60" w:type="dxa"/>
            <w:vAlign w:val="bottom"/>
          </w:tcPr>
          <w:p>
            <w:pPr>
              <w:spacing w:after="0"/>
              <w:rPr>
                <w:sz w:val="18"/>
                <w:szCs w:val="18"/>
                <w:color w:val="auto"/>
              </w:rPr>
            </w:pPr>
          </w:p>
        </w:tc>
        <w:tc>
          <w:tcPr>
            <w:tcW w:w="1440" w:type="dxa"/>
            <w:vAlign w:val="bottom"/>
            <w:gridSpan w:val="2"/>
          </w:tcPr>
          <w:p>
            <w:pPr>
              <w:jc w:val="right"/>
              <w:ind w:right="70"/>
              <w:spacing w:after="0"/>
              <w:rPr>
                <w:sz w:val="20"/>
                <w:szCs w:val="20"/>
                <w:color w:val="auto"/>
              </w:rPr>
            </w:pPr>
            <w:r>
              <w:rPr>
                <w:rFonts w:ascii="Arial" w:cs="Arial" w:eastAsia="Arial" w:hAnsi="Arial"/>
                <w:sz w:val="18"/>
                <w:szCs w:val="18"/>
                <w:color w:val="auto"/>
              </w:rPr>
              <w:t>2.8</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Automobile Part Manufacturer</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12,778</w:t>
            </w:r>
          </w:p>
        </w:tc>
        <w:tc>
          <w:tcPr>
            <w:tcW w:w="1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15,846</w:t>
            </w:r>
          </w:p>
        </w:tc>
        <w:tc>
          <w:tcPr>
            <w:tcW w:w="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3.3</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Oil &amp; Gas Engineering and Consulting Services</w:t>
            </w:r>
          </w:p>
        </w:tc>
        <w:tc>
          <w:tcPr>
            <w:tcW w:w="1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12,750</w:t>
            </w:r>
          </w:p>
        </w:tc>
        <w:tc>
          <w:tcPr>
            <w:tcW w:w="1520" w:type="dxa"/>
            <w:vAlign w:val="bottom"/>
            <w:gridSpan w:val="2"/>
          </w:tcPr>
          <w:p>
            <w:pPr>
              <w:jc w:val="right"/>
              <w:ind w:right="110"/>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14,547</w:t>
            </w:r>
          </w:p>
        </w:tc>
        <w:tc>
          <w:tcPr>
            <w:tcW w:w="60" w:type="dxa"/>
            <w:vAlign w:val="bottom"/>
          </w:tcPr>
          <w:p>
            <w:pPr>
              <w:spacing w:after="0"/>
              <w:rPr>
                <w:sz w:val="18"/>
                <w:szCs w:val="18"/>
                <w:color w:val="auto"/>
              </w:rPr>
            </w:pPr>
          </w:p>
        </w:tc>
        <w:tc>
          <w:tcPr>
            <w:tcW w:w="1440" w:type="dxa"/>
            <w:vAlign w:val="bottom"/>
            <w:gridSpan w:val="2"/>
          </w:tcPr>
          <w:p>
            <w:pPr>
              <w:jc w:val="right"/>
              <w:ind w:right="70"/>
              <w:spacing w:after="0"/>
              <w:rPr>
                <w:sz w:val="20"/>
                <w:szCs w:val="20"/>
                <w:color w:val="auto"/>
              </w:rPr>
            </w:pPr>
            <w:r>
              <w:rPr>
                <w:rFonts w:ascii="Arial" w:cs="Arial" w:eastAsia="Arial" w:hAnsi="Arial"/>
                <w:sz w:val="18"/>
                <w:szCs w:val="18"/>
                <w:color w:val="auto"/>
              </w:rPr>
              <w:t>3.0</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Textile Equipment Manufacturer</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12,718</w:t>
            </w:r>
          </w:p>
        </w:tc>
        <w:tc>
          <w:tcPr>
            <w:tcW w:w="1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10,577</w:t>
            </w:r>
          </w:p>
        </w:tc>
        <w:tc>
          <w:tcPr>
            <w:tcW w:w="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2.2</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Construction Services</w:t>
            </w:r>
          </w:p>
        </w:tc>
        <w:tc>
          <w:tcPr>
            <w:tcW w:w="1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12,500</w:t>
            </w:r>
          </w:p>
        </w:tc>
        <w:tc>
          <w:tcPr>
            <w:tcW w:w="1520" w:type="dxa"/>
            <w:vAlign w:val="bottom"/>
            <w:gridSpan w:val="2"/>
          </w:tcPr>
          <w:p>
            <w:pPr>
              <w:jc w:val="right"/>
              <w:ind w:right="110"/>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12,500</w:t>
            </w:r>
          </w:p>
        </w:tc>
        <w:tc>
          <w:tcPr>
            <w:tcW w:w="60" w:type="dxa"/>
            <w:vAlign w:val="bottom"/>
          </w:tcPr>
          <w:p>
            <w:pPr>
              <w:spacing w:after="0"/>
              <w:rPr>
                <w:sz w:val="18"/>
                <w:szCs w:val="18"/>
                <w:color w:val="auto"/>
              </w:rPr>
            </w:pPr>
          </w:p>
        </w:tc>
        <w:tc>
          <w:tcPr>
            <w:tcW w:w="1440" w:type="dxa"/>
            <w:vAlign w:val="bottom"/>
            <w:gridSpan w:val="2"/>
          </w:tcPr>
          <w:p>
            <w:pPr>
              <w:jc w:val="right"/>
              <w:ind w:right="70"/>
              <w:spacing w:after="0"/>
              <w:rPr>
                <w:sz w:val="20"/>
                <w:szCs w:val="20"/>
                <w:color w:val="auto"/>
              </w:rPr>
            </w:pPr>
            <w:r>
              <w:rPr>
                <w:rFonts w:ascii="Arial" w:cs="Arial" w:eastAsia="Arial" w:hAnsi="Arial"/>
                <w:sz w:val="18"/>
                <w:szCs w:val="18"/>
                <w:color w:val="auto"/>
              </w:rPr>
              <w:t>2.6</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Bowling Products</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12,038</w:t>
            </w:r>
          </w:p>
        </w:tc>
        <w:tc>
          <w:tcPr>
            <w:tcW w:w="1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Healthcare Management</w:t>
            </w:r>
          </w:p>
        </w:tc>
        <w:tc>
          <w:tcPr>
            <w:tcW w:w="1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12,005</w:t>
            </w:r>
          </w:p>
        </w:tc>
        <w:tc>
          <w:tcPr>
            <w:tcW w:w="1520" w:type="dxa"/>
            <w:vAlign w:val="bottom"/>
            <w:gridSpan w:val="2"/>
          </w:tcPr>
          <w:p>
            <w:pPr>
              <w:jc w:val="right"/>
              <w:ind w:right="110"/>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12,420</w:t>
            </w:r>
          </w:p>
        </w:tc>
        <w:tc>
          <w:tcPr>
            <w:tcW w:w="60" w:type="dxa"/>
            <w:vAlign w:val="bottom"/>
          </w:tcPr>
          <w:p>
            <w:pPr>
              <w:spacing w:after="0"/>
              <w:rPr>
                <w:sz w:val="18"/>
                <w:szCs w:val="18"/>
                <w:color w:val="auto"/>
              </w:rPr>
            </w:pPr>
          </w:p>
        </w:tc>
        <w:tc>
          <w:tcPr>
            <w:tcW w:w="1440" w:type="dxa"/>
            <w:vAlign w:val="bottom"/>
            <w:gridSpan w:val="2"/>
          </w:tcPr>
          <w:p>
            <w:pPr>
              <w:jc w:val="right"/>
              <w:ind w:right="70"/>
              <w:spacing w:after="0"/>
              <w:rPr>
                <w:sz w:val="20"/>
                <w:szCs w:val="20"/>
                <w:color w:val="auto"/>
              </w:rPr>
            </w:pPr>
            <w:r>
              <w:rPr>
                <w:rFonts w:ascii="Arial" w:cs="Arial" w:eastAsia="Arial" w:hAnsi="Arial"/>
                <w:sz w:val="18"/>
                <w:szCs w:val="18"/>
                <w:color w:val="auto"/>
              </w:rPr>
              <w:t>2.6</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Computer Supply Retail</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11,100</w:t>
            </w:r>
          </w:p>
        </w:tc>
        <w:tc>
          <w:tcPr>
            <w:tcW w:w="1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11,984</w:t>
            </w:r>
          </w:p>
        </w:tc>
        <w:tc>
          <w:tcPr>
            <w:tcW w:w="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2.5</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Energy Services</w:t>
            </w:r>
          </w:p>
        </w:tc>
        <w:tc>
          <w:tcPr>
            <w:tcW w:w="1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11,000</w:t>
            </w:r>
          </w:p>
        </w:tc>
        <w:tc>
          <w:tcPr>
            <w:tcW w:w="1520" w:type="dxa"/>
            <w:vAlign w:val="bottom"/>
            <w:gridSpan w:val="2"/>
          </w:tcPr>
          <w:p>
            <w:pPr>
              <w:jc w:val="right"/>
              <w:ind w:right="110"/>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10,573</w:t>
            </w:r>
          </w:p>
        </w:tc>
        <w:tc>
          <w:tcPr>
            <w:tcW w:w="60" w:type="dxa"/>
            <w:vAlign w:val="bottom"/>
          </w:tcPr>
          <w:p>
            <w:pPr>
              <w:spacing w:after="0"/>
              <w:rPr>
                <w:sz w:val="18"/>
                <w:szCs w:val="18"/>
                <w:color w:val="auto"/>
              </w:rPr>
            </w:pPr>
          </w:p>
        </w:tc>
        <w:tc>
          <w:tcPr>
            <w:tcW w:w="1440" w:type="dxa"/>
            <w:vAlign w:val="bottom"/>
            <w:gridSpan w:val="2"/>
          </w:tcPr>
          <w:p>
            <w:pPr>
              <w:jc w:val="right"/>
              <w:ind w:right="70"/>
              <w:spacing w:after="0"/>
              <w:rPr>
                <w:sz w:val="20"/>
                <w:szCs w:val="20"/>
                <w:color w:val="auto"/>
              </w:rPr>
            </w:pPr>
            <w:r>
              <w:rPr>
                <w:rFonts w:ascii="Arial" w:cs="Arial" w:eastAsia="Arial" w:hAnsi="Arial"/>
                <w:sz w:val="18"/>
                <w:szCs w:val="18"/>
                <w:color w:val="auto"/>
              </w:rPr>
              <w:t>2.2</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Healthcare</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9,875</w:t>
            </w:r>
          </w:p>
        </w:tc>
        <w:tc>
          <w:tcPr>
            <w:tcW w:w="1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Data Processing &amp; Digital Marketing</w:t>
            </w:r>
          </w:p>
        </w:tc>
        <w:tc>
          <w:tcPr>
            <w:tcW w:w="1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9,856</w:t>
            </w:r>
          </w:p>
        </w:tc>
        <w:tc>
          <w:tcPr>
            <w:tcW w:w="1520" w:type="dxa"/>
            <w:vAlign w:val="bottom"/>
            <w:gridSpan w:val="2"/>
          </w:tcPr>
          <w:p>
            <w:pPr>
              <w:jc w:val="right"/>
              <w:ind w:right="110"/>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8,005</w:t>
            </w:r>
          </w:p>
        </w:tc>
        <w:tc>
          <w:tcPr>
            <w:tcW w:w="60" w:type="dxa"/>
            <w:vAlign w:val="bottom"/>
          </w:tcPr>
          <w:p>
            <w:pPr>
              <w:spacing w:after="0"/>
              <w:rPr>
                <w:sz w:val="18"/>
                <w:szCs w:val="18"/>
                <w:color w:val="auto"/>
              </w:rPr>
            </w:pPr>
          </w:p>
        </w:tc>
        <w:tc>
          <w:tcPr>
            <w:tcW w:w="1440" w:type="dxa"/>
            <w:vAlign w:val="bottom"/>
            <w:gridSpan w:val="2"/>
          </w:tcPr>
          <w:p>
            <w:pPr>
              <w:jc w:val="right"/>
              <w:ind w:right="70"/>
              <w:spacing w:after="0"/>
              <w:rPr>
                <w:sz w:val="20"/>
                <w:szCs w:val="20"/>
                <w:color w:val="auto"/>
              </w:rPr>
            </w:pPr>
            <w:r>
              <w:rPr>
                <w:rFonts w:ascii="Arial" w:cs="Arial" w:eastAsia="Arial" w:hAnsi="Arial"/>
                <w:sz w:val="18"/>
                <w:szCs w:val="18"/>
                <w:color w:val="auto"/>
              </w:rPr>
              <w:t>1.7</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Dental Practice Management</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8,323</w:t>
            </w:r>
          </w:p>
        </w:tc>
        <w:tc>
          <w:tcPr>
            <w:tcW w:w="1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7,826</w:t>
            </w:r>
          </w:p>
        </w:tc>
        <w:tc>
          <w:tcPr>
            <w:tcW w:w="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1.6</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Information Technology</w:t>
            </w:r>
          </w:p>
        </w:tc>
        <w:tc>
          <w:tcPr>
            <w:tcW w:w="1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8,000</w:t>
            </w:r>
          </w:p>
        </w:tc>
        <w:tc>
          <w:tcPr>
            <w:tcW w:w="1520" w:type="dxa"/>
            <w:vAlign w:val="bottom"/>
            <w:gridSpan w:val="2"/>
          </w:tcPr>
          <w:p>
            <w:pPr>
              <w:jc w:val="right"/>
              <w:ind w:right="110"/>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Conglomerate</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7,282</w:t>
            </w:r>
          </w:p>
        </w:tc>
        <w:tc>
          <w:tcPr>
            <w:tcW w:w="1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7,179</w:t>
            </w:r>
          </w:p>
        </w:tc>
        <w:tc>
          <w:tcPr>
            <w:tcW w:w="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1.5</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Fuel Transportation Services</w:t>
            </w:r>
          </w:p>
        </w:tc>
        <w:tc>
          <w:tcPr>
            <w:tcW w:w="1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6,694</w:t>
            </w:r>
          </w:p>
        </w:tc>
        <w:tc>
          <w:tcPr>
            <w:tcW w:w="1520" w:type="dxa"/>
            <w:vAlign w:val="bottom"/>
            <w:gridSpan w:val="2"/>
          </w:tcPr>
          <w:p>
            <w:pPr>
              <w:jc w:val="right"/>
              <w:ind w:right="11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4,783</w:t>
            </w:r>
          </w:p>
        </w:tc>
        <w:tc>
          <w:tcPr>
            <w:tcW w:w="60" w:type="dxa"/>
            <w:vAlign w:val="bottom"/>
          </w:tcPr>
          <w:p>
            <w:pPr>
              <w:spacing w:after="0"/>
              <w:rPr>
                <w:sz w:val="18"/>
                <w:szCs w:val="18"/>
                <w:color w:val="auto"/>
              </w:rPr>
            </w:pPr>
          </w:p>
        </w:tc>
        <w:tc>
          <w:tcPr>
            <w:tcW w:w="1440" w:type="dxa"/>
            <w:vAlign w:val="bottom"/>
            <w:gridSpan w:val="2"/>
          </w:tcPr>
          <w:p>
            <w:pPr>
              <w:jc w:val="right"/>
              <w:ind w:right="70"/>
              <w:spacing w:after="0"/>
              <w:rPr>
                <w:sz w:val="20"/>
                <w:szCs w:val="20"/>
                <w:color w:val="auto"/>
              </w:rPr>
            </w:pPr>
            <w:r>
              <w:rPr>
                <w:rFonts w:ascii="Arial" w:cs="Arial" w:eastAsia="Arial" w:hAnsi="Arial"/>
                <w:sz w:val="18"/>
                <w:szCs w:val="18"/>
                <w:color w:val="auto"/>
              </w:rPr>
              <w:t>1.0</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Specialty Clothing</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5,990</w:t>
            </w:r>
          </w:p>
        </w:tc>
        <w:tc>
          <w:tcPr>
            <w:tcW w:w="1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5,723</w:t>
            </w:r>
          </w:p>
        </w:tc>
        <w:tc>
          <w:tcPr>
            <w:tcW w:w="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1.2</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Produce Distribution</w:t>
            </w:r>
          </w:p>
        </w:tc>
        <w:tc>
          <w:tcPr>
            <w:tcW w:w="1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5,557</w:t>
            </w:r>
          </w:p>
        </w:tc>
        <w:tc>
          <w:tcPr>
            <w:tcW w:w="1520" w:type="dxa"/>
            <w:vAlign w:val="bottom"/>
            <w:gridSpan w:val="2"/>
          </w:tcPr>
          <w:p>
            <w:pPr>
              <w:jc w:val="right"/>
              <w:ind w:right="110"/>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5,711</w:t>
            </w:r>
          </w:p>
        </w:tc>
        <w:tc>
          <w:tcPr>
            <w:tcW w:w="60" w:type="dxa"/>
            <w:vAlign w:val="bottom"/>
          </w:tcPr>
          <w:p>
            <w:pPr>
              <w:spacing w:after="0"/>
              <w:rPr>
                <w:sz w:val="18"/>
                <w:szCs w:val="18"/>
                <w:color w:val="auto"/>
              </w:rPr>
            </w:pPr>
          </w:p>
        </w:tc>
        <w:tc>
          <w:tcPr>
            <w:tcW w:w="1440" w:type="dxa"/>
            <w:vAlign w:val="bottom"/>
            <w:gridSpan w:val="2"/>
          </w:tcPr>
          <w:p>
            <w:pPr>
              <w:jc w:val="right"/>
              <w:ind w:right="70"/>
              <w:spacing w:after="0"/>
              <w:rPr>
                <w:sz w:val="20"/>
                <w:szCs w:val="20"/>
                <w:color w:val="auto"/>
              </w:rPr>
            </w:pPr>
            <w:r>
              <w:rPr>
                <w:rFonts w:ascii="Arial" w:cs="Arial" w:eastAsia="Arial" w:hAnsi="Arial"/>
                <w:sz w:val="18"/>
                <w:szCs w:val="18"/>
                <w:color w:val="auto"/>
              </w:rPr>
              <w:t>1.2</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Home Repair Parts Manufacturer</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5,216</w:t>
            </w:r>
          </w:p>
        </w:tc>
        <w:tc>
          <w:tcPr>
            <w:tcW w:w="1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Crane Rental and Sales</w:t>
            </w:r>
          </w:p>
        </w:tc>
        <w:tc>
          <w:tcPr>
            <w:tcW w:w="1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5,035</w:t>
            </w:r>
          </w:p>
        </w:tc>
        <w:tc>
          <w:tcPr>
            <w:tcW w:w="1520" w:type="dxa"/>
            <w:vAlign w:val="bottom"/>
            <w:gridSpan w:val="2"/>
          </w:tcPr>
          <w:p>
            <w:pPr>
              <w:jc w:val="right"/>
              <w:ind w:right="110"/>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Satellite Communications</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4,928</w:t>
            </w:r>
          </w:p>
        </w:tc>
        <w:tc>
          <w:tcPr>
            <w:tcW w:w="1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Industrial Specialty Services</w:t>
            </w:r>
          </w:p>
        </w:tc>
        <w:tc>
          <w:tcPr>
            <w:tcW w:w="1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4,868</w:t>
            </w:r>
          </w:p>
        </w:tc>
        <w:tc>
          <w:tcPr>
            <w:tcW w:w="1520" w:type="dxa"/>
            <w:vAlign w:val="bottom"/>
            <w:gridSpan w:val="2"/>
          </w:tcPr>
          <w:p>
            <w:pPr>
              <w:jc w:val="right"/>
              <w:ind w:right="110"/>
              <w:spacing w:after="0"/>
              <w:rPr>
                <w:sz w:val="20"/>
                <w:szCs w:val="20"/>
                <w:color w:val="auto"/>
              </w:rPr>
            </w:pPr>
            <w:r>
              <w:rPr>
                <w:rFonts w:ascii="Arial" w:cs="Arial" w:eastAsia="Arial" w:hAnsi="Arial"/>
                <w:sz w:val="18"/>
                <w:szCs w:val="18"/>
                <w:color w:val="auto"/>
              </w:rPr>
              <w:t>0.8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Online Merchandise Retailer</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4,435</w:t>
            </w:r>
          </w:p>
        </w:tc>
        <w:tc>
          <w:tcPr>
            <w:tcW w:w="1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4,804</w:t>
            </w:r>
          </w:p>
        </w:tc>
        <w:tc>
          <w:tcPr>
            <w:tcW w:w="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Replacement Window Manufacturer</w:t>
            </w:r>
          </w:p>
        </w:tc>
        <w:tc>
          <w:tcPr>
            <w:tcW w:w="1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4,391</w:t>
            </w:r>
          </w:p>
        </w:tc>
        <w:tc>
          <w:tcPr>
            <w:tcW w:w="1520" w:type="dxa"/>
            <w:vAlign w:val="bottom"/>
            <w:gridSpan w:val="2"/>
          </w:tcPr>
          <w:p>
            <w:pPr>
              <w:jc w:val="right"/>
              <w:ind w:right="110"/>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4,857</w:t>
            </w:r>
          </w:p>
        </w:tc>
        <w:tc>
          <w:tcPr>
            <w:tcW w:w="60" w:type="dxa"/>
            <w:vAlign w:val="bottom"/>
          </w:tcPr>
          <w:p>
            <w:pPr>
              <w:spacing w:after="0"/>
              <w:rPr>
                <w:sz w:val="18"/>
                <w:szCs w:val="18"/>
                <w:color w:val="auto"/>
              </w:rPr>
            </w:pPr>
          </w:p>
        </w:tc>
        <w:tc>
          <w:tcPr>
            <w:tcW w:w="1440" w:type="dxa"/>
            <w:vAlign w:val="bottom"/>
            <w:gridSpan w:val="2"/>
          </w:tcPr>
          <w:p>
            <w:pPr>
              <w:jc w:val="right"/>
              <w:ind w:right="70"/>
              <w:spacing w:after="0"/>
              <w:rPr>
                <w:sz w:val="20"/>
                <w:szCs w:val="20"/>
                <w:color w:val="auto"/>
              </w:rPr>
            </w:pPr>
            <w:r>
              <w:rPr>
                <w:rFonts w:ascii="Arial" w:cs="Arial" w:eastAsia="Arial" w:hAnsi="Arial"/>
                <w:sz w:val="18"/>
                <w:szCs w:val="18"/>
                <w:color w:val="auto"/>
              </w:rPr>
              <w:t>1.0</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Scrap Metal Recycler</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4,250</w:t>
            </w:r>
          </w:p>
        </w:tc>
        <w:tc>
          <w:tcPr>
            <w:tcW w:w="1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4,927</w:t>
            </w:r>
          </w:p>
        </w:tc>
        <w:tc>
          <w:tcPr>
            <w:tcW w:w="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Automotive Chemicals &amp; Lubricants</w:t>
            </w:r>
          </w:p>
        </w:tc>
        <w:tc>
          <w:tcPr>
            <w:tcW w:w="1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3,986</w:t>
            </w:r>
          </w:p>
        </w:tc>
        <w:tc>
          <w:tcPr>
            <w:tcW w:w="1520" w:type="dxa"/>
            <w:vAlign w:val="bottom"/>
            <w:gridSpan w:val="2"/>
          </w:tcPr>
          <w:p>
            <w:pPr>
              <w:jc w:val="right"/>
              <w:ind w:right="110"/>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3,891</w:t>
            </w:r>
          </w:p>
        </w:tc>
        <w:tc>
          <w:tcPr>
            <w:tcW w:w="60" w:type="dxa"/>
            <w:vAlign w:val="bottom"/>
          </w:tcPr>
          <w:p>
            <w:pPr>
              <w:spacing w:after="0"/>
              <w:rPr>
                <w:sz w:val="18"/>
                <w:szCs w:val="18"/>
                <w:color w:val="auto"/>
              </w:rPr>
            </w:pPr>
          </w:p>
        </w:tc>
        <w:tc>
          <w:tcPr>
            <w:tcW w:w="1440" w:type="dxa"/>
            <w:vAlign w:val="bottom"/>
            <w:gridSpan w:val="2"/>
          </w:tcPr>
          <w:p>
            <w:pPr>
              <w:jc w:val="right"/>
              <w:ind w:right="70"/>
              <w:spacing w:after="0"/>
              <w:rPr>
                <w:sz w:val="20"/>
                <w:szCs w:val="20"/>
                <w:color w:val="auto"/>
              </w:rPr>
            </w:pPr>
            <w:r>
              <w:rPr>
                <w:rFonts w:ascii="Arial" w:cs="Arial" w:eastAsia="Arial" w:hAnsi="Arial"/>
                <w:sz w:val="18"/>
                <w:szCs w:val="18"/>
                <w:color w:val="auto"/>
              </w:rPr>
              <w:t>0.8</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Advertising &amp; Marketing Services</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3,820</w:t>
            </w:r>
          </w:p>
        </w:tc>
        <w:tc>
          <w:tcPr>
            <w:tcW w:w="1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4,219</w:t>
            </w:r>
          </w:p>
        </w:tc>
        <w:tc>
          <w:tcPr>
            <w:tcW w:w="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0.9</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Industrial Manufacturing</w:t>
            </w:r>
          </w:p>
        </w:tc>
        <w:tc>
          <w:tcPr>
            <w:tcW w:w="1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3,564</w:t>
            </w:r>
          </w:p>
        </w:tc>
        <w:tc>
          <w:tcPr>
            <w:tcW w:w="1520" w:type="dxa"/>
            <w:vAlign w:val="bottom"/>
            <w:gridSpan w:val="2"/>
          </w:tcPr>
          <w:p>
            <w:pPr>
              <w:jc w:val="right"/>
              <w:ind w:right="110"/>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3,510</w:t>
            </w:r>
          </w:p>
        </w:tc>
        <w:tc>
          <w:tcPr>
            <w:tcW w:w="60" w:type="dxa"/>
            <w:vAlign w:val="bottom"/>
          </w:tcPr>
          <w:p>
            <w:pPr>
              <w:spacing w:after="0"/>
              <w:rPr>
                <w:sz w:val="18"/>
                <w:szCs w:val="18"/>
                <w:color w:val="auto"/>
              </w:rPr>
            </w:pPr>
          </w:p>
        </w:tc>
        <w:tc>
          <w:tcPr>
            <w:tcW w:w="1440" w:type="dxa"/>
            <w:vAlign w:val="bottom"/>
            <w:gridSpan w:val="2"/>
          </w:tcPr>
          <w:p>
            <w:pPr>
              <w:jc w:val="right"/>
              <w:ind w:right="70"/>
              <w:spacing w:after="0"/>
              <w:rPr>
                <w:sz w:val="20"/>
                <w:szCs w:val="20"/>
                <w:color w:val="auto"/>
              </w:rPr>
            </w:pPr>
            <w:r>
              <w:rPr>
                <w:rFonts w:ascii="Arial" w:cs="Arial" w:eastAsia="Arial" w:hAnsi="Arial"/>
                <w:sz w:val="18"/>
                <w:szCs w:val="18"/>
                <w:color w:val="auto"/>
              </w:rPr>
              <w:t>0.7</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QSR Franchisor</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3,248</w:t>
            </w:r>
          </w:p>
        </w:tc>
        <w:tc>
          <w:tcPr>
            <w:tcW w:w="1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2,506</w:t>
            </w:r>
          </w:p>
        </w:tc>
        <w:tc>
          <w:tcPr>
            <w:tcW w:w="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0.5</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Disaster Recovery Homebuilding</w:t>
            </w:r>
          </w:p>
        </w:tc>
        <w:tc>
          <w:tcPr>
            <w:tcW w:w="1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2,000</w:t>
            </w:r>
          </w:p>
        </w:tc>
        <w:tc>
          <w:tcPr>
            <w:tcW w:w="1520" w:type="dxa"/>
            <w:vAlign w:val="bottom"/>
            <w:gridSpan w:val="2"/>
          </w:tcPr>
          <w:p>
            <w:pPr>
              <w:jc w:val="right"/>
              <w:ind w:right="110"/>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Specialty Defense Contractor</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1,800</w:t>
            </w:r>
          </w:p>
        </w:tc>
        <w:tc>
          <w:tcPr>
            <w:tcW w:w="1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1,850</w:t>
            </w:r>
          </w:p>
        </w:tc>
        <w:tc>
          <w:tcPr>
            <w:tcW w:w="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0.4</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Western Wear Retail</w:t>
            </w:r>
          </w:p>
        </w:tc>
        <w:tc>
          <w:tcPr>
            <w:tcW w:w="1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1,755</w:t>
            </w:r>
          </w:p>
        </w:tc>
        <w:tc>
          <w:tcPr>
            <w:tcW w:w="1520" w:type="dxa"/>
            <w:vAlign w:val="bottom"/>
            <w:gridSpan w:val="2"/>
          </w:tcPr>
          <w:p>
            <w:pPr>
              <w:jc w:val="right"/>
              <w:ind w:right="110"/>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10,920</w:t>
            </w:r>
          </w:p>
        </w:tc>
        <w:tc>
          <w:tcPr>
            <w:tcW w:w="60" w:type="dxa"/>
            <w:vAlign w:val="bottom"/>
          </w:tcPr>
          <w:p>
            <w:pPr>
              <w:spacing w:after="0"/>
              <w:rPr>
                <w:sz w:val="18"/>
                <w:szCs w:val="18"/>
                <w:color w:val="auto"/>
              </w:rPr>
            </w:pPr>
          </w:p>
        </w:tc>
        <w:tc>
          <w:tcPr>
            <w:tcW w:w="1440" w:type="dxa"/>
            <w:vAlign w:val="bottom"/>
            <w:gridSpan w:val="2"/>
          </w:tcPr>
          <w:p>
            <w:pPr>
              <w:jc w:val="right"/>
              <w:ind w:right="70"/>
              <w:spacing w:after="0"/>
              <w:rPr>
                <w:sz w:val="20"/>
                <w:szCs w:val="20"/>
                <w:color w:val="auto"/>
              </w:rPr>
            </w:pPr>
            <w:r>
              <w:rPr>
                <w:rFonts w:ascii="Arial" w:cs="Arial" w:eastAsia="Arial" w:hAnsi="Arial"/>
                <w:sz w:val="18"/>
                <w:szCs w:val="18"/>
                <w:color w:val="auto"/>
              </w:rPr>
              <w:t>2.3</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In-Home Healthcare Services</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1,008</w:t>
            </w:r>
          </w:p>
        </w:tc>
        <w:tc>
          <w:tcPr>
            <w:tcW w:w="1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624</w:t>
            </w:r>
          </w:p>
        </w:tc>
        <w:tc>
          <w:tcPr>
            <w:tcW w:w="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0.1</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Entertainment</w:t>
            </w:r>
          </w:p>
        </w:tc>
        <w:tc>
          <w:tcPr>
            <w:tcW w:w="1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985</w:t>
            </w:r>
          </w:p>
        </w:tc>
        <w:tc>
          <w:tcPr>
            <w:tcW w:w="1520" w:type="dxa"/>
            <w:vAlign w:val="bottom"/>
            <w:gridSpan w:val="2"/>
          </w:tcPr>
          <w:p>
            <w:pPr>
              <w:jc w:val="right"/>
              <w:ind w:right="110"/>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Home product Manufacturer</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758</w:t>
            </w:r>
          </w:p>
        </w:tc>
        <w:tc>
          <w:tcPr>
            <w:tcW w:w="1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758</w:t>
            </w:r>
          </w:p>
        </w:tc>
        <w:tc>
          <w:tcPr>
            <w:tcW w:w="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0.2</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QSR Franchisee</w:t>
            </w:r>
          </w:p>
        </w:tc>
        <w:tc>
          <w:tcPr>
            <w:tcW w:w="1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17,465</w:t>
            </w:r>
          </w:p>
        </w:tc>
        <w:tc>
          <w:tcPr>
            <w:tcW w:w="60" w:type="dxa"/>
            <w:vAlign w:val="bottom"/>
          </w:tcPr>
          <w:p>
            <w:pPr>
              <w:spacing w:after="0"/>
              <w:rPr>
                <w:sz w:val="18"/>
                <w:szCs w:val="18"/>
                <w:color w:val="auto"/>
              </w:rPr>
            </w:pPr>
          </w:p>
        </w:tc>
        <w:tc>
          <w:tcPr>
            <w:tcW w:w="1440" w:type="dxa"/>
            <w:vAlign w:val="bottom"/>
            <w:gridSpan w:val="2"/>
          </w:tcPr>
          <w:p>
            <w:pPr>
              <w:jc w:val="right"/>
              <w:ind w:right="70"/>
              <w:spacing w:after="0"/>
              <w:rPr>
                <w:sz w:val="20"/>
                <w:szCs w:val="20"/>
                <w:color w:val="auto"/>
              </w:rPr>
            </w:pPr>
            <w:r>
              <w:rPr>
                <w:rFonts w:ascii="Arial" w:cs="Arial" w:eastAsia="Arial" w:hAnsi="Arial"/>
                <w:sz w:val="18"/>
                <w:szCs w:val="18"/>
                <w:color w:val="auto"/>
              </w:rPr>
              <w:t>3.6</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Personal Product Manufacturer</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16,241</w:t>
            </w:r>
          </w:p>
        </w:tc>
        <w:tc>
          <w:tcPr>
            <w:tcW w:w="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3.4</w:t>
            </w:r>
          </w:p>
        </w:tc>
      </w:tr>
    </w:tbl>
    <w:p>
      <w:pPr>
        <w:sectPr>
          <w:pgSz w:w="11900" w:h="16838" w:orient="portrait"/>
          <w:cols w:equalWidth="0" w:num="1">
            <w:col w:w="11040"/>
          </w:cols>
          <w:pgMar w:left="240" w:top="909" w:right="619" w:bottom="0" w:gutter="0" w:footer="0" w:header="0"/>
        </w:sectPr>
      </w:pPr>
    </w:p>
    <w:bookmarkStart w:id="48" w:name="page49"/>
    <w:bookmarkEnd w:id="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Wireless Communication Retailer</w:t>
            </w:r>
          </w:p>
        </w:tc>
        <w:tc>
          <w:tcPr>
            <w:tcW w:w="4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80" w:type="dxa"/>
            <w:vAlign w:val="bottom"/>
            <w:gridSpan w:val="3"/>
          </w:tcPr>
          <w:p>
            <w:pPr>
              <w:jc w:val="right"/>
              <w:ind w:right="5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12,000</w:t>
            </w:r>
          </w:p>
        </w:tc>
        <w:tc>
          <w:tcPr>
            <w:tcW w:w="1500" w:type="dxa"/>
            <w:vAlign w:val="bottom"/>
            <w:gridSpan w:val="2"/>
          </w:tcPr>
          <w:p>
            <w:pPr>
              <w:jc w:val="right"/>
              <w:ind w:right="70"/>
              <w:spacing w:after="0"/>
              <w:rPr>
                <w:sz w:val="20"/>
                <w:szCs w:val="20"/>
                <w:color w:val="auto"/>
              </w:rPr>
            </w:pPr>
            <w:r>
              <w:rPr>
                <w:rFonts w:ascii="Arial" w:cs="Arial" w:eastAsia="Arial" w:hAnsi="Arial"/>
                <w:sz w:val="18"/>
                <w:szCs w:val="18"/>
                <w:color w:val="auto"/>
              </w:rPr>
              <w:t>2.5</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Restaurant Chain</w:t>
            </w: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80" w:type="dxa"/>
            <w:vAlign w:val="bottom"/>
            <w:gridSpan w:val="3"/>
            <w:shd w:val="clear" w:color="auto" w:fill="CCEEFF"/>
          </w:tcPr>
          <w:p>
            <w:pPr>
              <w:jc w:val="right"/>
              <w:ind w:right="5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9,738</w:t>
            </w:r>
          </w:p>
        </w:tc>
        <w:tc>
          <w:tcPr>
            <w:tcW w:w="15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2.0</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Petroleum Equipment Supplier</w:t>
            </w:r>
          </w:p>
        </w:tc>
        <w:tc>
          <w:tcPr>
            <w:tcW w:w="4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80" w:type="dxa"/>
            <w:vAlign w:val="bottom"/>
            <w:gridSpan w:val="3"/>
          </w:tcPr>
          <w:p>
            <w:pPr>
              <w:jc w:val="right"/>
              <w:ind w:right="5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3,850</w:t>
            </w:r>
          </w:p>
        </w:tc>
        <w:tc>
          <w:tcPr>
            <w:tcW w:w="1500" w:type="dxa"/>
            <w:vAlign w:val="bottom"/>
            <w:gridSpan w:val="2"/>
          </w:tcPr>
          <w:p>
            <w:pPr>
              <w:jc w:val="right"/>
              <w:ind w:right="70"/>
              <w:spacing w:after="0"/>
              <w:rPr>
                <w:sz w:val="20"/>
                <w:szCs w:val="20"/>
                <w:color w:val="auto"/>
              </w:rPr>
            </w:pPr>
            <w:r>
              <w:rPr>
                <w:rFonts w:ascii="Arial" w:cs="Arial" w:eastAsia="Arial" w:hAnsi="Arial"/>
                <w:sz w:val="18"/>
                <w:szCs w:val="18"/>
                <w:color w:val="auto"/>
              </w:rPr>
              <w:t>0.8</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Education Services</w:t>
            </w: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80" w:type="dxa"/>
            <w:vAlign w:val="bottom"/>
            <w:gridSpan w:val="3"/>
            <w:shd w:val="clear" w:color="auto" w:fill="CCEEFF"/>
          </w:tcPr>
          <w:p>
            <w:pPr>
              <w:jc w:val="right"/>
              <w:ind w:right="5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3,000</w:t>
            </w:r>
          </w:p>
        </w:tc>
        <w:tc>
          <w:tcPr>
            <w:tcW w:w="15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0.6</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Professional Employer Organization</w:t>
            </w:r>
          </w:p>
        </w:tc>
        <w:tc>
          <w:tcPr>
            <w:tcW w:w="4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80" w:type="dxa"/>
            <w:vAlign w:val="bottom"/>
            <w:gridSpan w:val="3"/>
          </w:tcPr>
          <w:p>
            <w:pPr>
              <w:jc w:val="right"/>
              <w:ind w:right="5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2,700</w:t>
            </w:r>
          </w:p>
        </w:tc>
        <w:tc>
          <w:tcPr>
            <w:tcW w:w="1500" w:type="dxa"/>
            <w:vAlign w:val="bottom"/>
            <w:gridSpan w:val="2"/>
          </w:tcPr>
          <w:p>
            <w:pPr>
              <w:jc w:val="right"/>
              <w:ind w:right="70"/>
              <w:spacing w:after="0"/>
              <w:rPr>
                <w:sz w:val="20"/>
                <w:szCs w:val="20"/>
                <w:color w:val="auto"/>
              </w:rPr>
            </w:pPr>
            <w:r>
              <w:rPr>
                <w:rFonts w:ascii="Arial" w:cs="Arial" w:eastAsia="Arial" w:hAnsi="Arial"/>
                <w:sz w:val="18"/>
                <w:szCs w:val="18"/>
                <w:color w:val="auto"/>
              </w:rPr>
              <w:t>0.6</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Online Travel Sales &amp; Marketing</w:t>
            </w: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80" w:type="dxa"/>
            <w:vAlign w:val="bottom"/>
            <w:gridSpan w:val="3"/>
            <w:shd w:val="clear" w:color="auto" w:fill="CCEEFF"/>
          </w:tcPr>
          <w:p>
            <w:pPr>
              <w:jc w:val="right"/>
              <w:ind w:right="5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1,750</w:t>
            </w:r>
          </w:p>
        </w:tc>
        <w:tc>
          <w:tcPr>
            <w:tcW w:w="15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0.4</w:t>
            </w: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IT Hosting Services</w:t>
            </w:r>
          </w:p>
        </w:tc>
        <w:tc>
          <w:tcPr>
            <w:tcW w:w="42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80" w:type="dxa"/>
            <w:vAlign w:val="bottom"/>
            <w:gridSpan w:val="3"/>
          </w:tcPr>
          <w:p>
            <w:pPr>
              <w:jc w:val="right"/>
              <w:ind w:right="5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480</w:t>
            </w:r>
          </w:p>
        </w:tc>
        <w:tc>
          <w:tcPr>
            <w:tcW w:w="1500" w:type="dxa"/>
            <w:vAlign w:val="bottom"/>
            <w:gridSpan w:val="2"/>
          </w:tcPr>
          <w:p>
            <w:pPr>
              <w:jc w:val="right"/>
              <w:ind w:right="70"/>
              <w:spacing w:after="0"/>
              <w:rPr>
                <w:sz w:val="20"/>
                <w:szCs w:val="20"/>
                <w:color w:val="auto"/>
              </w:rPr>
            </w:pPr>
            <w:r>
              <w:rPr>
                <w:rFonts w:ascii="Arial" w:cs="Arial" w:eastAsia="Arial" w:hAnsi="Arial"/>
                <w:sz w:val="18"/>
                <w:szCs w:val="18"/>
                <w:color w:val="auto"/>
              </w:rPr>
              <w:t>0.1</w:t>
            </w:r>
          </w:p>
        </w:tc>
      </w:tr>
      <w:tr>
        <w:trPr>
          <w:trHeight w:val="223"/>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588,217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400" w:type="dxa"/>
            <w:vAlign w:val="bottom"/>
            <w:tcBorders>
              <w:top w:val="single" w:sz="8" w:color="auto"/>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480,337</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4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80"/>
          </w:cols>
          <w:pgMar w:left="240" w:top="125" w:right="1379" w:bottom="1440" w:gutter="0" w:footer="0" w:header="0"/>
        </w:sectPr>
      </w:pPr>
    </w:p>
    <w:bookmarkStart w:id="49" w:name="page50"/>
    <w:bookmarkEnd w:id="49"/>
    <w:p>
      <w:pPr>
        <w:ind w:right="420" w:firstLine="881"/>
        <w:spacing w:after="0" w:line="259" w:lineRule="auto"/>
        <w:rPr>
          <w:sz w:val="20"/>
          <w:szCs w:val="20"/>
          <w:color w:val="auto"/>
        </w:rPr>
      </w:pPr>
      <w:r>
        <w:rPr>
          <w:rFonts w:ascii="Arial" w:cs="Arial" w:eastAsia="Arial" w:hAnsi="Arial"/>
          <w:sz w:val="18"/>
          <w:szCs w:val="18"/>
          <w:color w:val="auto"/>
        </w:rPr>
        <w:t>As of September 30, 2015, we had 5 portfolio companies within the energy sector, representing approximately 11.1% of the total investment portfolio, based on fair values. The September 30, 2015 fair values were approximately 83.2% of cost, compared to 89.5% at December 31, 2014. Management continues to closely monitor each of these investments, maintaining frequent dialogue with company management and, where appropriate, sponsors.</w:t>
      </w:r>
    </w:p>
    <w:p>
      <w:pPr>
        <w:spacing w:after="0" w:line="187" w:lineRule="exact"/>
        <w:rPr>
          <w:sz w:val="20"/>
          <w:szCs w:val="20"/>
          <w:color w:val="auto"/>
        </w:rPr>
      </w:pPr>
    </w:p>
    <w:p>
      <w:pPr>
        <w:ind w:right="40" w:firstLine="881"/>
        <w:spacing w:after="0" w:line="257" w:lineRule="auto"/>
        <w:rPr>
          <w:sz w:val="20"/>
          <w:szCs w:val="20"/>
          <w:color w:val="auto"/>
        </w:rPr>
      </w:pPr>
      <w:r>
        <w:rPr>
          <w:rFonts w:ascii="Arial" w:cs="Arial" w:eastAsia="Arial" w:hAnsi="Arial"/>
          <w:sz w:val="18"/>
          <w:szCs w:val="18"/>
          <w:color w:val="auto"/>
        </w:rPr>
        <w:t>With the exception of an $8.3 million investment and a $1.0 million investment in internationally headquartered companies, all investments made by us as of September 30, 2015 and December 31, 2014, respectively, were made in portfolio companies located in the United States. The geographic composition is determined by the location of the corporate headquarters of the portfolio company, which may not be indicative of the primary source of the portfolio company’s business. The following table shows the portfolio composition by geographic region at fair value as of September 30, 2015 and December 31, 2014 (dollars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0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September 30, 2015</w:t>
            </w:r>
          </w:p>
        </w:tc>
        <w:tc>
          <w:tcPr>
            <w:tcW w:w="140" w:type="dxa"/>
            <w:vAlign w:val="bottom"/>
          </w:tcPr>
          <w:p>
            <w:pPr>
              <w:spacing w:after="0"/>
              <w:rPr>
                <w:sz w:val="20"/>
                <w:szCs w:val="20"/>
                <w:color w:val="auto"/>
              </w:rPr>
            </w:pPr>
          </w:p>
        </w:tc>
        <w:tc>
          <w:tcPr>
            <w:tcW w:w="242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December 31, 2014</w:t>
            </w:r>
          </w:p>
        </w:tc>
      </w:tr>
      <w:tr>
        <w:trPr>
          <w:trHeight w:val="191"/>
        </w:trPr>
        <w:tc>
          <w:tcPr>
            <w:tcW w:w="33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50"/>
              <w:spacing w:after="0" w:line="191" w:lineRule="exact"/>
              <w:rPr>
                <w:sz w:val="20"/>
                <w:szCs w:val="20"/>
                <w:color w:val="auto"/>
              </w:rPr>
            </w:pPr>
            <w:r>
              <w:rPr>
                <w:rFonts w:ascii="Arial" w:cs="Arial" w:eastAsia="Arial" w:hAnsi="Arial"/>
                <w:sz w:val="18"/>
                <w:szCs w:val="18"/>
                <w:b w:val="1"/>
                <w:bCs w:val="1"/>
                <w:color w:val="auto"/>
                <w:w w:val="96"/>
              </w:rPr>
              <w:t>Percentage</w:t>
            </w: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6"/>
              </w:rPr>
              <w:t>Percentage</w:t>
            </w:r>
          </w:p>
        </w:tc>
        <w:tc>
          <w:tcPr>
            <w:tcW w:w="160" w:type="dxa"/>
            <w:vAlign w:val="bottom"/>
            <w:gridSpan w:val="2"/>
          </w:tcPr>
          <w:p>
            <w:pPr>
              <w:spacing w:after="0"/>
              <w:rPr>
                <w:sz w:val="16"/>
                <w:szCs w:val="16"/>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of</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3"/>
          </w:tcPr>
          <w:p>
            <w:pPr>
              <w:jc w:val="right"/>
              <w:ind w:right="640"/>
              <w:spacing w:after="0"/>
              <w:rPr>
                <w:sz w:val="20"/>
                <w:szCs w:val="20"/>
                <w:color w:val="auto"/>
              </w:rPr>
            </w:pPr>
            <w:r>
              <w:rPr>
                <w:rFonts w:ascii="Arial" w:cs="Arial" w:eastAsia="Arial" w:hAnsi="Arial"/>
                <w:sz w:val="18"/>
                <w:szCs w:val="18"/>
                <w:b w:val="1"/>
                <w:bCs w:val="1"/>
                <w:color w:val="auto"/>
              </w:rPr>
              <w:t>of</w:t>
            </w:r>
          </w:p>
        </w:tc>
      </w:tr>
      <w:tr>
        <w:trPr>
          <w:trHeight w:val="216"/>
        </w:trPr>
        <w:tc>
          <w:tcPr>
            <w:tcW w:w="338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Arial" w:cs="Arial" w:eastAsia="Arial" w:hAnsi="Arial"/>
                <w:sz w:val="18"/>
                <w:szCs w:val="18"/>
                <w:b w:val="1"/>
                <w:bCs w:val="1"/>
                <w:color w:val="auto"/>
                <w:w w:val="99"/>
              </w:rPr>
              <w:t>Investments at</w:t>
            </w:r>
          </w:p>
        </w:tc>
        <w:tc>
          <w:tcPr>
            <w:tcW w:w="134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Total</w:t>
            </w: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Investments at</w:t>
            </w:r>
          </w:p>
        </w:tc>
        <w:tc>
          <w:tcPr>
            <w:tcW w:w="12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Total</w:t>
            </w:r>
          </w:p>
        </w:tc>
      </w:tr>
      <w:tr>
        <w:trPr>
          <w:trHeight w:val="234"/>
        </w:trPr>
        <w:tc>
          <w:tcPr>
            <w:tcW w:w="33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16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Portfolio</w:t>
            </w:r>
          </w:p>
        </w:tc>
        <w:tc>
          <w:tcPr>
            <w:tcW w:w="2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16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Portfolio</w:t>
            </w:r>
          </w:p>
        </w:tc>
        <w:tc>
          <w:tcPr>
            <w:tcW w:w="160" w:type="dxa"/>
            <w:vAlign w:val="bottom"/>
            <w:tcBorders>
              <w:bottom w:val="single" w:sz="8" w:color="CCEEFF"/>
            </w:tcBorders>
            <w:gridSpan w:val="2"/>
          </w:tcPr>
          <w:p>
            <w:pPr>
              <w:spacing w:after="0"/>
              <w:rPr>
                <w:sz w:val="20"/>
                <w:szCs w:val="20"/>
                <w:color w:val="auto"/>
              </w:rPr>
            </w:pPr>
          </w:p>
        </w:tc>
      </w:tr>
      <w:tr>
        <w:trPr>
          <w:trHeight w:val="210"/>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South</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299,864</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272,457</w:t>
            </w:r>
          </w:p>
        </w:tc>
        <w:tc>
          <w:tcPr>
            <w:tcW w:w="1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56.7%</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Northeast</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94,737</w:t>
            </w:r>
          </w:p>
        </w:tc>
        <w:tc>
          <w:tcPr>
            <w:tcW w:w="1340" w:type="dxa"/>
            <w:vAlign w:val="bottom"/>
            <w:gridSpan w:val="2"/>
          </w:tcPr>
          <w:p>
            <w:pPr>
              <w:jc w:val="right"/>
              <w:ind w:right="150"/>
              <w:spacing w:after="0"/>
              <w:rPr>
                <w:sz w:val="20"/>
                <w:szCs w:val="20"/>
                <w:color w:val="auto"/>
              </w:rPr>
            </w:pPr>
            <w:r>
              <w:rPr>
                <w:rFonts w:ascii="Arial" w:cs="Arial" w:eastAsia="Arial" w:hAnsi="Arial"/>
                <w:sz w:val="18"/>
                <w:szCs w:val="18"/>
                <w:color w:val="auto"/>
              </w:rPr>
              <w:t>16.1</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86,411</w:t>
            </w:r>
          </w:p>
        </w:tc>
        <w:tc>
          <w:tcPr>
            <w:tcW w:w="160" w:type="dxa"/>
            <w:vAlign w:val="bottom"/>
          </w:tcPr>
          <w:p>
            <w:pPr>
              <w:spacing w:after="0"/>
              <w:rPr>
                <w:sz w:val="18"/>
                <w:szCs w:val="18"/>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18.0</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West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94,540</w:t>
            </w:r>
          </w:p>
        </w:tc>
        <w:tc>
          <w:tcPr>
            <w:tcW w:w="13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16.1</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75,066</w:t>
            </w: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15.7</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Midwest</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89,791</w:t>
            </w:r>
          </w:p>
        </w:tc>
        <w:tc>
          <w:tcPr>
            <w:tcW w:w="1340" w:type="dxa"/>
            <w:vAlign w:val="bottom"/>
            <w:gridSpan w:val="2"/>
          </w:tcPr>
          <w:p>
            <w:pPr>
              <w:jc w:val="right"/>
              <w:ind w:right="150"/>
              <w:spacing w:after="0"/>
              <w:rPr>
                <w:sz w:val="20"/>
                <w:szCs w:val="20"/>
                <w:color w:val="auto"/>
              </w:rPr>
            </w:pPr>
            <w:r>
              <w:rPr>
                <w:rFonts w:ascii="Arial" w:cs="Arial" w:eastAsia="Arial" w:hAnsi="Arial"/>
                <w:sz w:val="18"/>
                <w:szCs w:val="18"/>
                <w:color w:val="auto"/>
              </w:rPr>
              <w:t>15.2</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38,103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18"/>
                <w:szCs w:val="18"/>
                <w:color w:val="auto"/>
              </w:rPr>
            </w:pPr>
          </w:p>
        </w:tc>
      </w:tr>
      <w:tr>
        <w:trPr>
          <w:trHeight w:val="230"/>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9,285</w:t>
            </w:r>
          </w:p>
        </w:tc>
        <w:tc>
          <w:tcPr>
            <w:tcW w:w="13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8,300</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9"/>
                <w:szCs w:val="19"/>
                <w:color w:val="auto"/>
              </w:rPr>
            </w:pPr>
          </w:p>
        </w:tc>
      </w:tr>
      <w:tr>
        <w:trPr>
          <w:trHeight w:val="223"/>
        </w:trPr>
        <w:tc>
          <w:tcPr>
            <w:tcW w:w="338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588,217</w:t>
            </w:r>
          </w:p>
        </w:tc>
        <w:tc>
          <w:tcPr>
            <w:tcW w:w="16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480,337</w:t>
            </w:r>
          </w:p>
        </w:tc>
        <w:tc>
          <w:tcPr>
            <w:tcW w:w="16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3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20" w:firstLine="881"/>
        <w:spacing w:after="0" w:line="277" w:lineRule="auto"/>
        <w:rPr>
          <w:sz w:val="20"/>
          <w:szCs w:val="20"/>
          <w:color w:val="auto"/>
        </w:rPr>
      </w:pPr>
      <w:r>
        <w:rPr>
          <w:rFonts w:ascii="Arial" w:cs="Arial" w:eastAsia="Arial" w:hAnsi="Arial"/>
          <w:sz w:val="18"/>
          <w:szCs w:val="18"/>
          <w:color w:val="auto"/>
        </w:rPr>
        <w:t>In addition to various risk management tools, our investment adviser also uses an investment rating system to characterize and monitor our expected level of return on each investment in our portfolio.</w:t>
      </w:r>
    </w:p>
    <w:p>
      <w:pPr>
        <w:spacing w:after="0" w:line="170" w:lineRule="exact"/>
        <w:rPr>
          <w:sz w:val="20"/>
          <w:szCs w:val="20"/>
          <w:color w:val="auto"/>
        </w:rPr>
      </w:pPr>
    </w:p>
    <w:p>
      <w:pPr>
        <w:ind w:right="160" w:firstLine="881"/>
        <w:spacing w:after="0" w:line="257" w:lineRule="auto"/>
        <w:rPr>
          <w:sz w:val="20"/>
          <w:szCs w:val="20"/>
          <w:color w:val="auto"/>
        </w:rPr>
      </w:pPr>
      <w:r>
        <w:rPr>
          <w:rFonts w:ascii="Arial" w:cs="Arial" w:eastAsia="Arial" w:hAnsi="Arial"/>
          <w:sz w:val="18"/>
          <w:szCs w:val="18"/>
          <w:color w:val="auto"/>
        </w:rPr>
        <w:t>As part of our valuation procedures, we risk rate all of our investments. In general, our investment rating system uses a scale of 1 to 5, with 1 being the lowest probability of default and principal loss. Our internal rating is not an exact system, but it is used internally to estimate the probability of: (i) default on our debt securities and (ii) loss of our debt principal, in the event of a default. In general, our internal rating system may also assist our valuation team in its determination of the estimated fair value of equity securities or equity-like securities. Our internal risk rating system generally encompasses both qualitative and quantitative aspects of our portfolio companies.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internal investment rating system incorporates the following five categories: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40" w:type="dxa"/>
            <w:vAlign w:val="bottom"/>
            <w:gridSpan w:val="3"/>
          </w:tcPr>
          <w:p>
            <w:pPr>
              <w:ind w:left="660"/>
              <w:spacing w:after="0"/>
              <w:rPr>
                <w:sz w:val="20"/>
                <w:szCs w:val="20"/>
                <w:color w:val="auto"/>
              </w:rPr>
            </w:pPr>
            <w:r>
              <w:rPr>
                <w:rFonts w:ascii="Arial" w:cs="Arial" w:eastAsia="Arial" w:hAnsi="Arial"/>
                <w:sz w:val="18"/>
                <w:szCs w:val="18"/>
                <w:b w:val="1"/>
                <w:bCs w:val="1"/>
                <w:color w:val="auto"/>
              </w:rPr>
              <w:t>Investment</w:t>
            </w:r>
          </w:p>
        </w:tc>
        <w:tc>
          <w:tcPr>
            <w:tcW w:w="88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34"/>
        </w:trPr>
        <w:tc>
          <w:tcPr>
            <w:tcW w:w="2340" w:type="dxa"/>
            <w:vAlign w:val="bottom"/>
            <w:gridSpan w:val="3"/>
          </w:tcPr>
          <w:p>
            <w:pPr>
              <w:ind w:left="660"/>
              <w:spacing w:after="0"/>
              <w:rPr>
                <w:sz w:val="20"/>
                <w:szCs w:val="20"/>
                <w:color w:val="auto"/>
              </w:rPr>
            </w:pPr>
            <w:r>
              <w:rPr>
                <w:rFonts w:ascii="Arial" w:cs="Arial" w:eastAsia="Arial" w:hAnsi="Arial"/>
                <w:sz w:val="18"/>
                <w:szCs w:val="18"/>
                <w:b w:val="1"/>
                <w:bCs w:val="1"/>
                <w:color w:val="auto"/>
              </w:rPr>
              <w:t>Rating</w:t>
            </w:r>
          </w:p>
        </w:tc>
        <w:tc>
          <w:tcPr>
            <w:tcW w:w="8800" w:type="dxa"/>
            <w:vAlign w:val="bottom"/>
          </w:tcPr>
          <w:p>
            <w:pPr>
              <w:spacing w:after="0"/>
              <w:rPr>
                <w:sz w:val="20"/>
                <w:szCs w:val="20"/>
                <w:color w:val="auto"/>
              </w:rPr>
            </w:pPr>
            <w:r>
              <w:rPr>
                <w:rFonts w:ascii="Arial" w:cs="Arial" w:eastAsia="Arial" w:hAnsi="Arial"/>
                <w:sz w:val="18"/>
                <w:szCs w:val="18"/>
                <w:b w:val="1"/>
                <w:bCs w:val="1"/>
                <w:color w:val="auto"/>
              </w:rPr>
              <w:t>Definition</w:t>
            </w:r>
          </w:p>
        </w:tc>
        <w:tc>
          <w:tcPr>
            <w:tcW w:w="28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11"/>
        </w:trPr>
        <w:tc>
          <w:tcPr>
            <w:tcW w:w="2240" w:type="dxa"/>
            <w:vAlign w:val="bottom"/>
            <w:gridSpan w:val="2"/>
          </w:tcPr>
          <w:p>
            <w:pPr>
              <w:ind w:left="6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8800" w:type="dxa"/>
            <w:vAlign w:val="bottom"/>
          </w:tcPr>
          <w:p>
            <w:pPr>
              <w:spacing w:after="0"/>
              <w:rPr>
                <w:sz w:val="20"/>
                <w:szCs w:val="20"/>
                <w:color w:val="auto"/>
              </w:rPr>
            </w:pPr>
            <w:r>
              <w:rPr>
                <w:rFonts w:ascii="Arial" w:cs="Arial" w:eastAsia="Arial" w:hAnsi="Arial"/>
                <w:sz w:val="18"/>
                <w:szCs w:val="18"/>
                <w:color w:val="auto"/>
                <w:w w:val="95"/>
              </w:rPr>
              <w:t>In general, the investment may be performing above our internal expectations. Full return of principal and interest is</w:t>
            </w:r>
          </w:p>
        </w:tc>
        <w:tc>
          <w:tcPr>
            <w:tcW w:w="280" w:type="dxa"/>
            <w:vAlign w:val="bottom"/>
          </w:tcPr>
          <w:p>
            <w:pPr>
              <w:spacing w:after="0"/>
              <w:rPr>
                <w:sz w:val="24"/>
                <w:szCs w:val="24"/>
                <w:color w:val="auto"/>
              </w:rPr>
            </w:pPr>
          </w:p>
        </w:tc>
      </w:tr>
      <w:tr>
        <w:trPr>
          <w:trHeight w:val="230"/>
        </w:trPr>
        <w:tc>
          <w:tcPr>
            <w:tcW w:w="6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expected. Capital gain is expected.</w:t>
            </w:r>
          </w:p>
        </w:tc>
        <w:tc>
          <w:tcPr>
            <w:tcW w:w="280" w:type="dxa"/>
            <w:vAlign w:val="bottom"/>
          </w:tcPr>
          <w:p>
            <w:pPr>
              <w:spacing w:after="0"/>
              <w:rPr>
                <w:sz w:val="20"/>
                <w:szCs w:val="20"/>
                <w:color w:val="auto"/>
              </w:rPr>
            </w:pPr>
          </w:p>
        </w:tc>
      </w:tr>
      <w:tr>
        <w:trPr>
          <w:trHeight w:val="418"/>
        </w:trPr>
        <w:tc>
          <w:tcPr>
            <w:tcW w:w="2240" w:type="dxa"/>
            <w:vAlign w:val="bottom"/>
            <w:gridSpan w:val="2"/>
          </w:tcPr>
          <w:p>
            <w:pPr>
              <w:ind w:left="6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8800" w:type="dxa"/>
            <w:vAlign w:val="bottom"/>
          </w:tcPr>
          <w:p>
            <w:pPr>
              <w:spacing w:after="0"/>
              <w:rPr>
                <w:sz w:val="20"/>
                <w:szCs w:val="20"/>
                <w:color w:val="auto"/>
              </w:rPr>
            </w:pPr>
            <w:r>
              <w:rPr>
                <w:rFonts w:ascii="Arial" w:cs="Arial" w:eastAsia="Arial" w:hAnsi="Arial"/>
                <w:sz w:val="18"/>
                <w:szCs w:val="18"/>
                <w:color w:val="auto"/>
                <w:w w:val="96"/>
              </w:rPr>
              <w:t>In general, the investment may be performing within our internal expectations, and potential risks to the applicable</w:t>
            </w:r>
          </w:p>
        </w:tc>
        <w:tc>
          <w:tcPr>
            <w:tcW w:w="280" w:type="dxa"/>
            <w:vAlign w:val="bottom"/>
          </w:tcPr>
          <w:p>
            <w:pPr>
              <w:spacing w:after="0"/>
              <w:rPr>
                <w:sz w:val="24"/>
                <w:szCs w:val="24"/>
                <w:color w:val="auto"/>
              </w:rPr>
            </w:pPr>
          </w:p>
        </w:tc>
      </w:tr>
      <w:tr>
        <w:trPr>
          <w:trHeight w:val="216"/>
        </w:trPr>
        <w:tc>
          <w:tcPr>
            <w:tcW w:w="6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investment are considered to be neutral or favorable compared to any potential risks at the time of the original</w:t>
            </w:r>
          </w:p>
        </w:tc>
        <w:tc>
          <w:tcPr>
            <w:tcW w:w="28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investment. All new investments are initially given this rating.</w:t>
            </w:r>
          </w:p>
        </w:tc>
        <w:tc>
          <w:tcPr>
            <w:tcW w:w="280" w:type="dxa"/>
            <w:vAlign w:val="bottom"/>
          </w:tcPr>
          <w:p>
            <w:pPr>
              <w:spacing w:after="0"/>
              <w:rPr>
                <w:sz w:val="20"/>
                <w:szCs w:val="20"/>
                <w:color w:val="auto"/>
              </w:rPr>
            </w:pPr>
          </w:p>
        </w:tc>
      </w:tr>
      <w:tr>
        <w:trPr>
          <w:trHeight w:val="418"/>
        </w:trPr>
        <w:tc>
          <w:tcPr>
            <w:tcW w:w="2240" w:type="dxa"/>
            <w:vAlign w:val="bottom"/>
            <w:gridSpan w:val="2"/>
          </w:tcPr>
          <w:p>
            <w:pPr>
              <w:ind w:left="6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8800" w:type="dxa"/>
            <w:vAlign w:val="bottom"/>
          </w:tcPr>
          <w:p>
            <w:pPr>
              <w:spacing w:after="0"/>
              <w:rPr>
                <w:sz w:val="20"/>
                <w:szCs w:val="20"/>
                <w:color w:val="auto"/>
              </w:rPr>
            </w:pPr>
            <w:r>
              <w:rPr>
                <w:rFonts w:ascii="Arial" w:cs="Arial" w:eastAsia="Arial" w:hAnsi="Arial"/>
                <w:sz w:val="18"/>
                <w:szCs w:val="18"/>
                <w:color w:val="auto"/>
                <w:w w:val="91"/>
              </w:rPr>
              <w:t>In general, the investment may be performing below our internal expectations and therefore, investments in this category</w:t>
            </w:r>
          </w:p>
        </w:tc>
        <w:tc>
          <w:tcPr>
            <w:tcW w:w="280" w:type="dxa"/>
            <w:vAlign w:val="bottom"/>
          </w:tcPr>
          <w:p>
            <w:pPr>
              <w:spacing w:after="0"/>
              <w:rPr>
                <w:sz w:val="24"/>
                <w:szCs w:val="24"/>
                <w:color w:val="auto"/>
              </w:rPr>
            </w:pPr>
          </w:p>
        </w:tc>
      </w:tr>
      <w:tr>
        <w:trPr>
          <w:trHeight w:val="216"/>
        </w:trPr>
        <w:tc>
          <w:tcPr>
            <w:tcW w:w="6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w w:val="93"/>
              </w:rPr>
              <w:t>may require closer internal monitoring; however, the valuation team believes that no loss of investment return (interest</w:t>
            </w:r>
          </w:p>
        </w:tc>
        <w:tc>
          <w:tcPr>
            <w:tcW w:w="2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w w:val="94"/>
              </w:rPr>
              <w:t>and/or dividends) or principal is expected. The investment also may be out of compliance with certain senior or senior</w:t>
            </w:r>
          </w:p>
        </w:tc>
        <w:tc>
          <w:tcPr>
            <w:tcW w:w="28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subordinated debt financial covenants.</w:t>
            </w:r>
          </w:p>
        </w:tc>
        <w:tc>
          <w:tcPr>
            <w:tcW w:w="280" w:type="dxa"/>
            <w:vAlign w:val="bottom"/>
          </w:tcPr>
          <w:p>
            <w:pPr>
              <w:spacing w:after="0"/>
              <w:rPr>
                <w:sz w:val="20"/>
                <w:szCs w:val="20"/>
                <w:color w:val="auto"/>
              </w:rPr>
            </w:pPr>
          </w:p>
        </w:tc>
      </w:tr>
      <w:tr>
        <w:trPr>
          <w:trHeight w:val="418"/>
        </w:trPr>
        <w:tc>
          <w:tcPr>
            <w:tcW w:w="2240" w:type="dxa"/>
            <w:vAlign w:val="bottom"/>
            <w:gridSpan w:val="2"/>
          </w:tcPr>
          <w:p>
            <w:pPr>
              <w:ind w:left="66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8800" w:type="dxa"/>
            <w:vAlign w:val="bottom"/>
          </w:tcPr>
          <w:p>
            <w:pPr>
              <w:spacing w:after="0"/>
              <w:rPr>
                <w:sz w:val="20"/>
                <w:szCs w:val="20"/>
                <w:color w:val="auto"/>
              </w:rPr>
            </w:pPr>
            <w:r>
              <w:rPr>
                <w:rFonts w:ascii="Arial" w:cs="Arial" w:eastAsia="Arial" w:hAnsi="Arial"/>
                <w:sz w:val="18"/>
                <w:szCs w:val="18"/>
                <w:color w:val="auto"/>
                <w:w w:val="92"/>
              </w:rPr>
              <w:t>In general, the investment may be performing below internal expectations and quantitative or qualitative risks may have</w:t>
            </w:r>
          </w:p>
        </w:tc>
        <w:tc>
          <w:tcPr>
            <w:tcW w:w="280" w:type="dxa"/>
            <w:vAlign w:val="bottom"/>
          </w:tcPr>
          <w:p>
            <w:pPr>
              <w:spacing w:after="0"/>
              <w:rPr>
                <w:sz w:val="24"/>
                <w:szCs w:val="24"/>
                <w:color w:val="auto"/>
              </w:rPr>
            </w:pPr>
          </w:p>
        </w:tc>
      </w:tr>
      <w:tr>
        <w:trPr>
          <w:trHeight w:val="230"/>
        </w:trPr>
        <w:tc>
          <w:tcPr>
            <w:tcW w:w="6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increased substantially since the original investment. Loss of some or all principal is expected.</w:t>
            </w:r>
          </w:p>
        </w:tc>
        <w:tc>
          <w:tcPr>
            <w:tcW w:w="280" w:type="dxa"/>
            <w:vAlign w:val="bottom"/>
          </w:tcPr>
          <w:p>
            <w:pPr>
              <w:spacing w:after="0"/>
              <w:rPr>
                <w:sz w:val="20"/>
                <w:szCs w:val="20"/>
                <w:color w:val="auto"/>
              </w:rPr>
            </w:pPr>
          </w:p>
        </w:tc>
      </w:tr>
      <w:tr>
        <w:trPr>
          <w:trHeight w:val="418"/>
        </w:trPr>
        <w:tc>
          <w:tcPr>
            <w:tcW w:w="2240" w:type="dxa"/>
            <w:vAlign w:val="bottom"/>
            <w:gridSpan w:val="2"/>
          </w:tcPr>
          <w:p>
            <w:pPr>
              <w:ind w:left="66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8800" w:type="dxa"/>
            <w:vAlign w:val="bottom"/>
          </w:tcPr>
          <w:p>
            <w:pPr>
              <w:ind w:left="40"/>
              <w:spacing w:after="0"/>
              <w:rPr>
                <w:sz w:val="20"/>
                <w:szCs w:val="20"/>
                <w:color w:val="auto"/>
              </w:rPr>
            </w:pPr>
            <w:r>
              <w:rPr>
                <w:rFonts w:ascii="Arial" w:cs="Arial" w:eastAsia="Arial" w:hAnsi="Arial"/>
                <w:sz w:val="18"/>
                <w:szCs w:val="18"/>
                <w:color w:val="auto"/>
                <w:w w:val="91"/>
              </w:rPr>
              <w:t>In general, the investment may be performing substantially below our internal expectations and a number of quantitative</w:t>
            </w:r>
          </w:p>
        </w:tc>
        <w:tc>
          <w:tcPr>
            <w:tcW w:w="280" w:type="dxa"/>
            <w:vAlign w:val="bottom"/>
          </w:tcPr>
          <w:p>
            <w:pPr>
              <w:spacing w:after="0"/>
              <w:rPr>
                <w:sz w:val="24"/>
                <w:szCs w:val="24"/>
                <w:color w:val="auto"/>
              </w:rPr>
            </w:pPr>
          </w:p>
        </w:tc>
      </w:tr>
      <w:tr>
        <w:trPr>
          <w:trHeight w:val="216"/>
        </w:trPr>
        <w:tc>
          <w:tcPr>
            <w:tcW w:w="6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w w:val="97"/>
              </w:rPr>
              <w:t>or qualitative risks may have increased substantially since the original investment. Loss of some or all principal is</w:t>
            </w:r>
          </w:p>
        </w:tc>
        <w:tc>
          <w:tcPr>
            <w:tcW w:w="28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expected.</w:t>
            </w:r>
          </w:p>
        </w:tc>
        <w:tc>
          <w:tcPr>
            <w:tcW w:w="280" w:type="dxa"/>
            <w:vAlign w:val="bottom"/>
          </w:tcPr>
          <w:p>
            <w:pPr>
              <w:spacing w:after="0"/>
              <w:rPr>
                <w:sz w:val="20"/>
                <w:szCs w:val="20"/>
                <w:color w:val="auto"/>
              </w:rPr>
            </w:pPr>
          </w:p>
        </w:tc>
      </w:tr>
      <w:tr>
        <w:trPr>
          <w:trHeight w:val="675"/>
        </w:trPr>
        <w:tc>
          <w:tcPr>
            <w:tcW w:w="6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0" w:type="dxa"/>
            <w:vAlign w:val="bottom"/>
            <w:tcBorders>
              <w:bottom w:val="single" w:sz="8" w:color="auto"/>
            </w:tcBorders>
          </w:tcPr>
          <w:p>
            <w:pPr>
              <w:ind w:left="3260"/>
              <w:spacing w:after="0"/>
              <w:rPr>
                <w:sz w:val="20"/>
                <w:szCs w:val="20"/>
                <w:color w:val="auto"/>
              </w:rPr>
            </w:pPr>
            <w:r>
              <w:rPr>
                <w:rFonts w:ascii="Arial" w:cs="Arial" w:eastAsia="Arial" w:hAnsi="Arial"/>
                <w:sz w:val="22"/>
                <w:szCs w:val="22"/>
                <w:color w:val="auto"/>
              </w:rPr>
              <w:t>40</w:t>
            </w: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50" w:name="page51"/>
    <w:bookmarkEnd w:id="50"/>
    <w:p>
      <w:pPr>
        <w:jc w:val="both"/>
        <w:ind w:right="400" w:firstLine="881"/>
        <w:spacing w:after="0" w:line="312" w:lineRule="auto"/>
        <w:rPr>
          <w:sz w:val="20"/>
          <w:szCs w:val="20"/>
          <w:color w:val="auto"/>
        </w:rPr>
      </w:pPr>
      <w:r>
        <w:rPr>
          <w:rFonts w:ascii="Arial" w:cs="Arial" w:eastAsia="Arial" w:hAnsi="Arial"/>
          <w:sz w:val="16"/>
          <w:szCs w:val="16"/>
          <w:color w:val="auto"/>
        </w:rPr>
        <w:t>Our Investment Advisor will monitor and, when appropriate, change the investment ratings assigned to each investment in our portfolio. In connection with our valuation process, our Investment Advisor will review these investment ratings on a quarterly basis, and our Board will affirm such ratings. The investment rating of a particular investment should not, however, be deemed to be a guarantee of the investment’s future performance.</w:t>
      </w:r>
    </w:p>
    <w:p>
      <w:pPr>
        <w:spacing w:after="0" w:line="147" w:lineRule="exact"/>
        <w:rPr>
          <w:sz w:val="20"/>
          <w:szCs w:val="20"/>
          <w:color w:val="auto"/>
        </w:rPr>
      </w:pPr>
    </w:p>
    <w:p>
      <w:pPr>
        <w:ind w:right="40" w:firstLine="881"/>
        <w:spacing w:after="0" w:line="277" w:lineRule="auto"/>
        <w:rPr>
          <w:sz w:val="20"/>
          <w:szCs w:val="20"/>
          <w:color w:val="auto"/>
        </w:rPr>
      </w:pPr>
      <w:r>
        <w:rPr>
          <w:rFonts w:ascii="Arial" w:cs="Arial" w:eastAsia="Arial" w:hAnsi="Arial"/>
          <w:sz w:val="18"/>
          <w:szCs w:val="18"/>
          <w:color w:val="auto"/>
        </w:rPr>
        <w:t>The following table shows the distribution of our investments on the 1 to 5 investment performance rating scale at fair value as of September 30, 2015 and December 31, 2014 (dollars in thousands):</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4"/>
              </w:rPr>
              <w:t>As of September 30, 2015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5"/>
          </w:tcPr>
          <w:p>
            <w:pPr>
              <w:jc w:val="right"/>
              <w:ind w:right="350"/>
              <w:spacing w:after="0"/>
              <w:rPr>
                <w:sz w:val="20"/>
                <w:szCs w:val="20"/>
                <w:color w:val="auto"/>
              </w:rPr>
            </w:pPr>
            <w:r>
              <w:rPr>
                <w:rFonts w:ascii="Arial" w:cs="Arial" w:eastAsia="Arial" w:hAnsi="Arial"/>
                <w:sz w:val="18"/>
                <w:szCs w:val="18"/>
                <w:b w:val="1"/>
                <w:bCs w:val="1"/>
                <w:color w:val="auto"/>
                <w:w w:val="95"/>
              </w:rPr>
              <w:t>As of December 31, 2014</w:t>
            </w:r>
          </w:p>
        </w:tc>
      </w:tr>
      <w:tr>
        <w:trPr>
          <w:trHeight w:val="191"/>
        </w:trPr>
        <w:tc>
          <w:tcPr>
            <w:tcW w:w="4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Percentage of</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ind w:right="20"/>
              <w:spacing w:after="0" w:line="191" w:lineRule="exact"/>
              <w:rPr>
                <w:sz w:val="20"/>
                <w:szCs w:val="20"/>
                <w:color w:val="auto"/>
              </w:rPr>
            </w:pPr>
            <w:r>
              <w:rPr>
                <w:rFonts w:ascii="Arial" w:cs="Arial" w:eastAsia="Arial" w:hAnsi="Arial"/>
                <w:sz w:val="18"/>
                <w:szCs w:val="18"/>
                <w:b w:val="1"/>
                <w:bCs w:val="1"/>
                <w:color w:val="auto"/>
                <w:w w:val="87"/>
              </w:rPr>
              <w:t>Percentage of</w:t>
            </w:r>
          </w:p>
        </w:tc>
        <w:tc>
          <w:tcPr>
            <w:tcW w:w="160" w:type="dxa"/>
            <w:vAlign w:val="bottom"/>
          </w:tcPr>
          <w:p>
            <w:pPr>
              <w:spacing w:after="0"/>
              <w:rPr>
                <w:sz w:val="16"/>
                <w:szCs w:val="16"/>
                <w:color w:val="auto"/>
              </w:rPr>
            </w:pPr>
          </w:p>
        </w:tc>
      </w:tr>
      <w:tr>
        <w:trPr>
          <w:trHeight w:val="216"/>
        </w:trPr>
        <w:tc>
          <w:tcPr>
            <w:tcW w:w="4900" w:type="dxa"/>
            <w:vAlign w:val="bottom"/>
          </w:tcPr>
          <w:p>
            <w:pPr>
              <w:spacing w:after="0"/>
              <w:rPr>
                <w:sz w:val="18"/>
                <w:szCs w:val="18"/>
                <w:color w:val="auto"/>
              </w:rPr>
            </w:pPr>
          </w:p>
        </w:tc>
        <w:tc>
          <w:tcPr>
            <w:tcW w:w="1400" w:type="dxa"/>
            <w:vAlign w:val="bottom"/>
            <w:gridSpan w:val="4"/>
          </w:tcPr>
          <w:p>
            <w:pPr>
              <w:ind w:left="80"/>
              <w:spacing w:after="0"/>
              <w:rPr>
                <w:sz w:val="20"/>
                <w:szCs w:val="20"/>
                <w:color w:val="auto"/>
              </w:rPr>
            </w:pPr>
            <w:r>
              <w:rPr>
                <w:rFonts w:ascii="Arial" w:cs="Arial" w:eastAsia="Arial" w:hAnsi="Arial"/>
                <w:sz w:val="18"/>
                <w:szCs w:val="18"/>
                <w:b w:val="1"/>
                <w:bCs w:val="1"/>
                <w:color w:val="auto"/>
              </w:rPr>
              <w:t>Investments at</w:t>
            </w:r>
          </w:p>
        </w:tc>
        <w:tc>
          <w:tcPr>
            <w:tcW w:w="132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92"/>
              </w:rPr>
              <w:t>Total</w:t>
            </w:r>
          </w:p>
        </w:tc>
        <w:tc>
          <w:tcPr>
            <w:tcW w:w="1360" w:type="dxa"/>
            <w:vAlign w:val="bottom"/>
            <w:gridSpan w:val="4"/>
          </w:tcPr>
          <w:p>
            <w:pPr>
              <w:ind w:left="60"/>
              <w:spacing w:after="0"/>
              <w:rPr>
                <w:sz w:val="20"/>
                <w:szCs w:val="20"/>
                <w:color w:val="auto"/>
              </w:rPr>
            </w:pPr>
            <w:r>
              <w:rPr>
                <w:rFonts w:ascii="Arial" w:cs="Arial" w:eastAsia="Arial" w:hAnsi="Arial"/>
                <w:sz w:val="18"/>
                <w:szCs w:val="18"/>
                <w:b w:val="1"/>
                <w:bCs w:val="1"/>
                <w:color w:val="auto"/>
              </w:rPr>
              <w:t>Investments at</w:t>
            </w:r>
          </w:p>
        </w:tc>
        <w:tc>
          <w:tcPr>
            <w:tcW w:w="1300" w:type="dxa"/>
            <w:vAlign w:val="bottom"/>
            <w:gridSpan w:val="3"/>
          </w:tcPr>
          <w:p>
            <w:pPr>
              <w:jc w:val="center"/>
              <w:ind w:right="90"/>
              <w:spacing w:after="0"/>
              <w:rPr>
                <w:sz w:val="20"/>
                <w:szCs w:val="20"/>
                <w:color w:val="auto"/>
              </w:rPr>
            </w:pPr>
            <w:r>
              <w:rPr>
                <w:rFonts w:ascii="Arial" w:cs="Arial" w:eastAsia="Arial" w:hAnsi="Arial"/>
                <w:sz w:val="18"/>
                <w:szCs w:val="18"/>
                <w:b w:val="1"/>
                <w:bCs w:val="1"/>
                <w:color w:val="auto"/>
                <w:w w:val="92"/>
              </w:rPr>
              <w:t>Total</w:t>
            </w:r>
          </w:p>
        </w:tc>
      </w:tr>
      <w:tr>
        <w:trPr>
          <w:trHeight w:val="234"/>
        </w:trPr>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Investment Performance Rating</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7"/>
              </w:rPr>
              <w:t>Fair Value</w:t>
            </w:r>
          </w:p>
        </w:tc>
        <w:tc>
          <w:tcPr>
            <w:tcW w:w="1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Investments</w:t>
            </w: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18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b w:val="1"/>
                <w:bCs w:val="1"/>
                <w:color w:val="auto"/>
                <w:w w:val="87"/>
              </w:rPr>
              <w:t>Investments</w:t>
            </w:r>
          </w:p>
        </w:tc>
        <w:tc>
          <w:tcPr>
            <w:tcW w:w="160" w:type="dxa"/>
            <w:vAlign w:val="bottom"/>
            <w:tcBorders>
              <w:bottom w:val="single" w:sz="8" w:color="CCEEFF"/>
            </w:tcBorders>
          </w:tcPr>
          <w:p>
            <w:pPr>
              <w:spacing w:after="0"/>
              <w:rPr>
                <w:sz w:val="20"/>
                <w:szCs w:val="20"/>
                <w:color w:val="auto"/>
              </w:rPr>
            </w:pP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160,212</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146,471</w:t>
            </w:r>
          </w:p>
        </w:tc>
        <w:tc>
          <w:tcPr>
            <w:tcW w:w="1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30.5%</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335,022</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271,864</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73,807</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55,325</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19,176</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6,677</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23"/>
        </w:trPr>
        <w:tc>
          <w:tcPr>
            <w:tcW w:w="490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588,217</w:t>
            </w:r>
          </w:p>
        </w:tc>
        <w:tc>
          <w:tcPr>
            <w:tcW w:w="18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480,337</w:t>
            </w:r>
          </w:p>
        </w:tc>
        <w:tc>
          <w:tcPr>
            <w:tcW w:w="180" w:type="dxa"/>
            <w:vAlign w:val="bottom"/>
          </w:tcPr>
          <w:p>
            <w:pPr>
              <w:spacing w:after="0"/>
              <w:rPr>
                <w:sz w:val="19"/>
                <w:szCs w:val="19"/>
                <w:color w:val="auto"/>
              </w:rPr>
            </w:pPr>
          </w:p>
        </w:tc>
        <w:tc>
          <w:tcPr>
            <w:tcW w:w="11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4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881"/>
        <w:spacing w:after="0" w:line="259" w:lineRule="auto"/>
        <w:rPr>
          <w:sz w:val="20"/>
          <w:szCs w:val="20"/>
          <w:color w:val="auto"/>
        </w:rPr>
      </w:pPr>
      <w:r>
        <w:rPr>
          <w:rFonts w:ascii="Arial" w:cs="Arial" w:eastAsia="Arial" w:hAnsi="Arial"/>
          <w:sz w:val="18"/>
          <w:szCs w:val="18"/>
          <w:color w:val="auto"/>
        </w:rPr>
        <w:t>As of September 30, 2015, the Company had three debt investments on cash non-accrual status with an amortized cost of $13.6 million and a fair value of $10.9 million representing 2.5% and 1.9% of the investment portfolio, respectively. As of December 31, 2014, the Company had debt investments in one portfolio company on cash non-accrual status with an amortized cost of $3.4 million and a fair value of $0.0 million representing 0.8% and 0.0% of the investment portfolio, respectively.</w:t>
      </w:r>
    </w:p>
    <w:p>
      <w:pPr>
        <w:spacing w:after="0" w:line="187" w:lineRule="exact"/>
        <w:rPr>
          <w:sz w:val="20"/>
          <w:szCs w:val="20"/>
          <w:color w:val="auto"/>
        </w:rPr>
      </w:pPr>
    </w:p>
    <w:p>
      <w:pPr>
        <w:ind w:firstLine="881"/>
        <w:spacing w:after="0" w:line="259" w:lineRule="auto"/>
        <w:rPr>
          <w:sz w:val="20"/>
          <w:szCs w:val="20"/>
          <w:color w:val="auto"/>
        </w:rPr>
      </w:pPr>
      <w:r>
        <w:rPr>
          <w:rFonts w:ascii="Arial" w:cs="Arial" w:eastAsia="Arial" w:hAnsi="Arial"/>
          <w:sz w:val="18"/>
          <w:szCs w:val="18"/>
          <w:color w:val="auto"/>
        </w:rPr>
        <w:t>As of September 30, 2015, the Company had two debt investments on PIK non-accrual status with an amortized cost of $13.5 million, and a fair value of $9.7 million, representing 2.4%, and 1.7% of the investment portfolio, respectively. As of December 31, 2014, the Company had debt investments in one portfolio company on PIK non-accrual status with an amortized cost of $13.1 million, and a fair value of $10.6 million, representing 3.0%, and 2.2% of the investment portfolio,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Operating results for the three and nine months ended September 30, 2015 and 2014 are as follows (dollars in thousands):</w:t>
      </w:r>
    </w:p>
    <w:p>
      <w:pPr>
        <w:sectPr>
          <w:pgSz w:w="11900" w:h="16838" w:orient="portrait"/>
          <w:cols w:equalWidth="0" w:num="1">
            <w:col w:w="11360"/>
          </w:cols>
          <w:pgMar w:left="240" w:top="909"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Total investment income</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Total expenses, net</w:t>
      </w:r>
    </w:p>
    <w:p>
      <w:pPr>
        <w:spacing w:after="0" w:line="2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Net investment income</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Net realized gain (loss) from investments</w:t>
      </w:r>
    </w:p>
    <w:p>
      <w:pPr>
        <w:spacing w:after="0" w:line="9" w:lineRule="exact"/>
        <w:rPr>
          <w:sz w:val="20"/>
          <w:szCs w:val="20"/>
          <w:color w:val="auto"/>
        </w:rPr>
      </w:pPr>
    </w:p>
    <w:p>
      <w:pPr>
        <w:ind w:left="580" w:right="140"/>
        <w:spacing w:after="0" w:line="341" w:lineRule="auto"/>
        <w:rPr>
          <w:sz w:val="20"/>
          <w:szCs w:val="20"/>
          <w:color w:val="auto"/>
        </w:rPr>
      </w:pPr>
      <w:r>
        <w:rPr>
          <w:rFonts w:ascii="Arial" w:cs="Arial" w:eastAsia="Arial" w:hAnsi="Arial"/>
          <w:sz w:val="16"/>
          <w:szCs w:val="16"/>
          <w:color w:val="auto"/>
        </w:rPr>
        <w:t>Net unrealized appreciation/(depreciation) on investments Net increase in net assets resulting from operations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6"/>
          </w:tcPr>
          <w:p>
            <w:pPr>
              <w:jc w:val="right"/>
              <w:ind w:right="260"/>
              <w:spacing w:after="0"/>
              <w:rPr>
                <w:sz w:val="20"/>
                <w:szCs w:val="20"/>
                <w:color w:val="auto"/>
              </w:rPr>
            </w:pPr>
            <w:r>
              <w:rPr>
                <w:rFonts w:ascii="Arial" w:cs="Arial" w:eastAsia="Arial" w:hAnsi="Arial"/>
                <w:sz w:val="18"/>
                <w:szCs w:val="18"/>
                <w:b w:val="1"/>
                <w:bCs w:val="1"/>
                <w:color w:val="auto"/>
                <w:w w:val="91"/>
              </w:rPr>
              <w:t>For the Three Months Ended</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gridSpan w:val="6"/>
          </w:tcPr>
          <w:p>
            <w:pPr>
              <w:jc w:val="right"/>
              <w:ind w:right="220"/>
              <w:spacing w:after="0"/>
              <w:rPr>
                <w:sz w:val="20"/>
                <w:szCs w:val="20"/>
                <w:color w:val="auto"/>
              </w:rPr>
            </w:pPr>
            <w:r>
              <w:rPr>
                <w:rFonts w:ascii="Arial" w:cs="Arial" w:eastAsia="Arial" w:hAnsi="Arial"/>
                <w:sz w:val="18"/>
                <w:szCs w:val="18"/>
                <w:b w:val="1"/>
                <w:bCs w:val="1"/>
                <w:color w:val="auto"/>
                <w:w w:val="91"/>
              </w:rPr>
              <w:t>For the Nine Months Ended</w:t>
            </w:r>
          </w:p>
        </w:tc>
      </w:tr>
      <w:tr>
        <w:trPr>
          <w:trHeight w:val="191"/>
        </w:trPr>
        <w:tc>
          <w:tcPr>
            <w:tcW w:w="20" w:type="dxa"/>
            <w:vAlign w:val="bottom"/>
          </w:tcPr>
          <w:p>
            <w:pPr>
              <w:spacing w:after="0"/>
              <w:rPr>
                <w:sz w:val="16"/>
                <w:szCs w:val="16"/>
                <w:color w:val="auto"/>
              </w:rPr>
            </w:pPr>
          </w:p>
        </w:tc>
        <w:tc>
          <w:tcPr>
            <w:tcW w:w="1260" w:type="dxa"/>
            <w:vAlign w:val="bottom"/>
            <w:tcBorders>
              <w:top w:val="single" w:sz="8" w:color="auto"/>
            </w:tcBorders>
            <w:gridSpan w:val="3"/>
          </w:tcPr>
          <w:p>
            <w:pPr>
              <w:jc w:val="right"/>
              <w:ind w:right="160"/>
              <w:spacing w:after="0" w:line="191" w:lineRule="exact"/>
              <w:rPr>
                <w:sz w:val="20"/>
                <w:szCs w:val="20"/>
                <w:color w:val="auto"/>
              </w:rPr>
            </w:pPr>
            <w:r>
              <w:rPr>
                <w:rFonts w:ascii="Arial" w:cs="Arial" w:eastAsia="Arial" w:hAnsi="Arial"/>
                <w:sz w:val="18"/>
                <w:szCs w:val="18"/>
                <w:b w:val="1"/>
                <w:bCs w:val="1"/>
                <w:color w:val="auto"/>
                <w:w w:val="87"/>
              </w:rPr>
              <w:t>September 30,</w:t>
            </w: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90"/>
              </w:rPr>
              <w:t>September 30,</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20" w:type="dxa"/>
            <w:vAlign w:val="bottom"/>
            <w:tcBorders>
              <w:top w:val="single" w:sz="8" w:color="auto"/>
            </w:tcBorders>
            <w:gridSpan w:val="3"/>
          </w:tcPr>
          <w:p>
            <w:pPr>
              <w:ind w:left="20"/>
              <w:spacing w:after="0" w:line="191" w:lineRule="exact"/>
              <w:rPr>
                <w:sz w:val="20"/>
                <w:szCs w:val="20"/>
                <w:color w:val="auto"/>
              </w:rPr>
            </w:pPr>
            <w:r>
              <w:rPr>
                <w:rFonts w:ascii="Arial" w:cs="Arial" w:eastAsia="Arial" w:hAnsi="Arial"/>
                <w:sz w:val="18"/>
                <w:szCs w:val="18"/>
                <w:b w:val="1"/>
                <w:bCs w:val="1"/>
                <w:color w:val="auto"/>
              </w:rPr>
              <w:t>September 30,</w:t>
            </w:r>
          </w:p>
        </w:tc>
        <w:tc>
          <w:tcPr>
            <w:tcW w:w="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87"/>
              </w:rPr>
              <w:t>September 30,</w:t>
            </w:r>
          </w:p>
        </w:tc>
        <w:tc>
          <w:tcPr>
            <w:tcW w:w="6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6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18,304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11,167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47,429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36,067</w:t>
            </w:r>
          </w:p>
        </w:tc>
        <w:tc>
          <w:tcPr>
            <w:tcW w:w="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7,623</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29,509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21,170</w:t>
            </w:r>
          </w:p>
        </w:tc>
        <w:tc>
          <w:tcPr>
            <w:tcW w:w="60" w:type="dxa"/>
            <w:vAlign w:val="bottom"/>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line="195" w:lineRule="exact"/>
              <w:rPr>
                <w:sz w:val="20"/>
                <w:szCs w:val="20"/>
                <w:color w:val="auto"/>
              </w:rPr>
            </w:pPr>
            <w:r>
              <w:rPr>
                <w:rFonts w:ascii="Arial" w:cs="Arial" w:eastAsia="Arial" w:hAnsi="Arial"/>
                <w:sz w:val="18"/>
                <w:szCs w:val="18"/>
                <w:color w:val="auto"/>
              </w:rPr>
              <w:t>7,787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line="195" w:lineRule="exact"/>
              <w:rPr>
                <w:sz w:val="20"/>
                <w:szCs w:val="20"/>
                <w:color w:val="auto"/>
              </w:rPr>
            </w:pPr>
            <w:r>
              <w:rPr>
                <w:rFonts w:ascii="Arial" w:cs="Arial" w:eastAsia="Arial" w:hAnsi="Arial"/>
                <w:sz w:val="18"/>
                <w:szCs w:val="18"/>
                <w:color w:val="auto"/>
              </w:rPr>
              <w:t>3,544</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line="195" w:lineRule="exact"/>
              <w:rPr>
                <w:sz w:val="20"/>
                <w:szCs w:val="20"/>
                <w:color w:val="auto"/>
              </w:rPr>
            </w:pPr>
            <w:r>
              <w:rPr>
                <w:rFonts w:ascii="Arial" w:cs="Arial" w:eastAsia="Arial" w:hAnsi="Arial"/>
                <w:sz w:val="18"/>
                <w:szCs w:val="18"/>
                <w:color w:val="auto"/>
              </w:rPr>
              <w:t>17,920</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14,897</w:t>
            </w:r>
          </w:p>
        </w:tc>
        <w:tc>
          <w:tcPr>
            <w:tcW w:w="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(16,037)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(3,055)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9,140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(1,373)</w:t>
            </w:r>
          </w:p>
        </w:tc>
      </w:tr>
      <w:tr>
        <w:trPr>
          <w:trHeight w:val="244"/>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16,208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(178)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(4,293)</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(5,784)</w:t>
            </w:r>
          </w:p>
        </w:tc>
      </w:tr>
      <w:tr>
        <w:trPr>
          <w:trHeight w:val="223"/>
        </w:trPr>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7,958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22,767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7,740</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-899795</wp:posOffset>
            </wp:positionV>
            <wp:extent cx="6517640" cy="146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517640" cy="14605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-608330</wp:posOffset>
            </wp:positionV>
            <wp:extent cx="6517640" cy="146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517640" cy="14605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-325120</wp:posOffset>
            </wp:positionV>
            <wp:extent cx="6517640" cy="146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209" w:lineRule="exact"/>
        <w:rPr>
          <w:sz w:val="20"/>
          <w:szCs w:val="20"/>
          <w:color w:val="auto"/>
        </w:rPr>
      </w:pPr>
    </w:p>
    <w:p>
      <w:pPr>
        <w:sectPr>
          <w:pgSz w:w="11900" w:h="16838" w:orient="portrait"/>
          <w:cols w:equalWidth="0" w:num="2">
            <w:col w:w="4900" w:space="720"/>
            <w:col w:w="5740"/>
          </w:cols>
          <w:pgMar w:left="240" w:top="909" w:right="299" w:bottom="1440" w:gutter="0" w:footer="0" w:header="0"/>
          <w:type w:val="continuous"/>
        </w:sect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9" w:right="299" w:bottom="1440" w:gutter="0" w:footer="0" w:header="0"/>
          <w:type w:val="continuous"/>
        </w:sectPr>
      </w:pPr>
    </w:p>
    <w:bookmarkStart w:id="51" w:name="page52"/>
    <w:bookmarkEnd w:id="51"/>
    <w:p>
      <w:pPr>
        <w:ind w:left="88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composition of our investment income for the three and nine months ended September 30, 2015 and 2014 was as follows (dollars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2520" w:type="dxa"/>
            <w:vAlign w:val="bottom"/>
            <w:gridSpan w:val="6"/>
          </w:tcPr>
          <w:p>
            <w:pPr>
              <w:jc w:val="right"/>
              <w:ind w:right="220"/>
              <w:spacing w:after="0"/>
              <w:rPr>
                <w:sz w:val="20"/>
                <w:szCs w:val="20"/>
                <w:color w:val="auto"/>
              </w:rPr>
            </w:pPr>
            <w:r>
              <w:rPr>
                <w:rFonts w:ascii="Arial" w:cs="Arial" w:eastAsia="Arial" w:hAnsi="Arial"/>
                <w:sz w:val="18"/>
                <w:szCs w:val="18"/>
                <w:b w:val="1"/>
                <w:bCs w:val="1"/>
                <w:color w:val="auto"/>
                <w:w w:val="93"/>
              </w:rPr>
              <w:t>For the Three Months Ended</w:t>
            </w:r>
          </w:p>
        </w:tc>
        <w:tc>
          <w:tcPr>
            <w:tcW w:w="80" w:type="dxa"/>
            <w:vAlign w:val="bottom"/>
          </w:tcPr>
          <w:p>
            <w:pPr>
              <w:spacing w:after="0"/>
              <w:rPr>
                <w:sz w:val="20"/>
                <w:szCs w:val="20"/>
                <w:color w:val="auto"/>
              </w:rPr>
            </w:pPr>
          </w:p>
        </w:tc>
        <w:tc>
          <w:tcPr>
            <w:tcW w:w="2340" w:type="dxa"/>
            <w:vAlign w:val="bottom"/>
            <w:gridSpan w:val="6"/>
          </w:tcPr>
          <w:p>
            <w:pPr>
              <w:ind w:left="20"/>
              <w:spacing w:after="0"/>
              <w:rPr>
                <w:sz w:val="20"/>
                <w:szCs w:val="20"/>
                <w:color w:val="auto"/>
              </w:rPr>
            </w:pPr>
            <w:r>
              <w:rPr>
                <w:rFonts w:ascii="Arial" w:cs="Arial" w:eastAsia="Arial" w:hAnsi="Arial"/>
                <w:sz w:val="18"/>
                <w:szCs w:val="18"/>
                <w:b w:val="1"/>
                <w:bCs w:val="1"/>
                <w:color w:val="auto"/>
                <w:w w:val="98"/>
              </w:rPr>
              <w:t>For the Nine Months Ended</w:t>
            </w:r>
          </w:p>
        </w:tc>
      </w:tr>
      <w:tr>
        <w:trPr>
          <w:trHeight w:val="191"/>
        </w:trPr>
        <w:tc>
          <w:tcPr>
            <w:tcW w:w="4180" w:type="dxa"/>
            <w:vAlign w:val="bottom"/>
          </w:tcPr>
          <w:p>
            <w:pPr>
              <w:spacing w:after="0"/>
              <w:rPr>
                <w:sz w:val="16"/>
                <w:szCs w:val="16"/>
                <w:color w:val="auto"/>
              </w:rPr>
            </w:pPr>
          </w:p>
        </w:tc>
        <w:tc>
          <w:tcPr>
            <w:tcW w:w="126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rPr>
              <w:t>September 30,</w:t>
            </w:r>
          </w:p>
        </w:tc>
        <w:tc>
          <w:tcPr>
            <w:tcW w:w="108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86"/>
              </w:rPr>
              <w:t>September 30,</w:t>
            </w:r>
          </w:p>
        </w:tc>
        <w:tc>
          <w:tcPr>
            <w:tcW w:w="180" w:type="dxa"/>
            <w:vAlign w:val="bottom"/>
          </w:tcPr>
          <w:p>
            <w:pPr>
              <w:spacing w:after="0"/>
              <w:rPr>
                <w:sz w:val="16"/>
                <w:szCs w:val="16"/>
                <w:color w:val="auto"/>
              </w:rPr>
            </w:pPr>
          </w:p>
        </w:tc>
        <w:tc>
          <w:tcPr>
            <w:tcW w:w="124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w w:val="99"/>
              </w:rPr>
              <w:t>September 30,</w:t>
            </w:r>
          </w:p>
        </w:tc>
        <w:tc>
          <w:tcPr>
            <w:tcW w:w="110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87"/>
              </w:rPr>
              <w:t>September 30,</w:t>
            </w:r>
          </w:p>
        </w:tc>
        <w:tc>
          <w:tcPr>
            <w:tcW w:w="80" w:type="dxa"/>
            <w:vAlign w:val="bottom"/>
            <w:gridSpan w:val="2"/>
          </w:tcPr>
          <w:p>
            <w:pPr>
              <w:spacing w:after="0"/>
              <w:rPr>
                <w:sz w:val="16"/>
                <w:szCs w:val="16"/>
                <w:color w:val="auto"/>
              </w:rPr>
            </w:pPr>
          </w:p>
        </w:tc>
      </w:tr>
      <w:tr>
        <w:trPr>
          <w:trHeight w:val="234"/>
        </w:trPr>
        <w:tc>
          <w:tcPr>
            <w:tcW w:w="41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Fee income</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1,762</w:t>
            </w:r>
          </w:p>
        </w:tc>
        <w:tc>
          <w:tcPr>
            <w:tcW w:w="2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1,169</w:t>
            </w:r>
          </w:p>
        </w:tc>
        <w:tc>
          <w:tcPr>
            <w:tcW w:w="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4,852</w:t>
            </w:r>
          </w:p>
        </w:tc>
        <w:tc>
          <w:tcPr>
            <w:tcW w:w="2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1,935</w:t>
            </w:r>
          </w:p>
        </w:tc>
        <w:tc>
          <w:tcPr>
            <w:tcW w:w="6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Payment-in-kind interest and dividend income</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1,597</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728</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3,558</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2,061</w:t>
            </w:r>
          </w:p>
        </w:tc>
        <w:tc>
          <w:tcPr>
            <w:tcW w:w="6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Dividend income</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798</w:t>
            </w:r>
          </w:p>
        </w:tc>
        <w:tc>
          <w:tcPr>
            <w:tcW w:w="2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1,371</w:t>
            </w:r>
          </w:p>
        </w:tc>
        <w:tc>
          <w:tcPr>
            <w:tcW w:w="2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7,145</w:t>
            </w:r>
          </w:p>
        </w:tc>
        <w:tc>
          <w:tcPr>
            <w:tcW w:w="60" w:type="dxa"/>
            <w:vAlign w:val="bottom"/>
          </w:tcPr>
          <w:p>
            <w:pPr>
              <w:spacing w:after="0"/>
              <w:rPr>
                <w:sz w:val="18"/>
                <w:szCs w:val="18"/>
                <w:color w:val="auto"/>
              </w:rPr>
            </w:pPr>
          </w:p>
        </w:tc>
      </w:tr>
      <w:tr>
        <w:trPr>
          <w:trHeight w:val="23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Interest from cash and cash equivalents</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23"/>
        </w:trPr>
        <w:tc>
          <w:tcPr>
            <w:tcW w:w="4180" w:type="dxa"/>
            <w:vAlign w:val="bottom"/>
          </w:tcPr>
          <w:p>
            <w:pPr>
              <w:spacing w:after="0"/>
              <w:rPr>
                <w:sz w:val="20"/>
                <w:szCs w:val="20"/>
                <w:color w:val="auto"/>
              </w:rPr>
            </w:pPr>
            <w:r>
              <w:rPr>
                <w:rFonts w:ascii="Arial" w:cs="Arial" w:eastAsia="Arial" w:hAnsi="Arial"/>
                <w:sz w:val="18"/>
                <w:szCs w:val="18"/>
                <w:color w:val="auto"/>
              </w:rPr>
              <w:t>Total investment income</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18,304</w:t>
            </w: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11,167</w:t>
            </w: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47,429</w:t>
            </w:r>
          </w:p>
        </w:tc>
        <w:tc>
          <w:tcPr>
            <w:tcW w:w="1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36,067</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4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881"/>
        <w:spacing w:after="0" w:line="312" w:lineRule="auto"/>
        <w:rPr>
          <w:sz w:val="20"/>
          <w:szCs w:val="20"/>
          <w:color w:val="auto"/>
        </w:rPr>
      </w:pPr>
      <w:r>
        <w:rPr>
          <w:rFonts w:ascii="Arial" w:cs="Arial" w:eastAsia="Arial" w:hAnsi="Arial"/>
          <w:sz w:val="16"/>
          <w:szCs w:val="16"/>
          <w:color w:val="auto"/>
        </w:rPr>
        <w:t>The income reported as interest income and payment-in-kind interest and dividend income is generally based on the stated rates as disclosed in the Company’s Schedule of Investments. Accretion/(Amortization) of discounts and premiums paid for purchased loans are included in interest income as an adjustment to yield. As a general rule, the Company’s interest income and payment-in-kind interest and dividend income is recurring in nature.</w:t>
      </w:r>
    </w:p>
    <w:p>
      <w:pPr>
        <w:spacing w:after="0" w:line="147" w:lineRule="exact"/>
        <w:rPr>
          <w:sz w:val="20"/>
          <w:szCs w:val="20"/>
          <w:color w:val="auto"/>
        </w:rPr>
      </w:pPr>
    </w:p>
    <w:p>
      <w:pPr>
        <w:ind w:right="60" w:firstLine="881"/>
        <w:spacing w:after="0" w:line="259" w:lineRule="auto"/>
        <w:rPr>
          <w:sz w:val="20"/>
          <w:szCs w:val="20"/>
          <w:color w:val="auto"/>
        </w:rPr>
      </w:pPr>
      <w:r>
        <w:rPr>
          <w:rFonts w:ascii="Arial" w:cs="Arial" w:eastAsia="Arial" w:hAnsi="Arial"/>
          <w:sz w:val="18"/>
          <w:szCs w:val="18"/>
          <w:color w:val="auto"/>
        </w:rPr>
        <w:t>The Company also generates fee income primarily through origination fees charged for new investments, and secondarily via amendment fees, consent fees, prepayment penalties, and other fees. While the fee income is typically non-recurring for each investment, most of the Company’s new investments include an origination fee; as such, fee income is dependent upon the Company’s volume of deployments and to the fee structure associated with those deployments.</w:t>
      </w:r>
    </w:p>
    <w:p>
      <w:pPr>
        <w:spacing w:after="0" w:line="187" w:lineRule="exact"/>
        <w:rPr>
          <w:sz w:val="20"/>
          <w:szCs w:val="20"/>
          <w:color w:val="auto"/>
        </w:rPr>
      </w:pPr>
    </w:p>
    <w:p>
      <w:pPr>
        <w:ind w:right="20" w:firstLine="881"/>
        <w:spacing w:after="0" w:line="312" w:lineRule="auto"/>
        <w:rPr>
          <w:sz w:val="20"/>
          <w:szCs w:val="20"/>
          <w:color w:val="auto"/>
        </w:rPr>
      </w:pPr>
      <w:r>
        <w:rPr>
          <w:rFonts w:ascii="Arial" w:cs="Arial" w:eastAsia="Arial" w:hAnsi="Arial"/>
          <w:sz w:val="16"/>
          <w:szCs w:val="16"/>
          <w:color w:val="auto"/>
        </w:rPr>
        <w:t>The Company earns dividends on certain equity investments within its investment portfolio. As noted in the Company’s Schedule of Investments, some investments are scheduled to pay a periodic dividend though these recurring dividends do not make up a significant portion of the Company’s total investment income. The Company may and has received more substantial one-time dividends from its equity investment as part of dividend recapitalizations.</w:t>
      </w:r>
    </w:p>
    <w:p>
      <w:pPr>
        <w:spacing w:after="0" w:line="147" w:lineRule="exact"/>
        <w:rPr>
          <w:sz w:val="20"/>
          <w:szCs w:val="20"/>
          <w:color w:val="auto"/>
        </w:rPr>
      </w:pPr>
    </w:p>
    <w:p>
      <w:pPr>
        <w:ind w:firstLine="881"/>
        <w:spacing w:after="0" w:line="297" w:lineRule="auto"/>
        <w:rPr>
          <w:sz w:val="20"/>
          <w:szCs w:val="20"/>
          <w:color w:val="auto"/>
        </w:rPr>
      </w:pPr>
      <w:r>
        <w:rPr>
          <w:rFonts w:ascii="Arial" w:cs="Arial" w:eastAsia="Arial" w:hAnsi="Arial"/>
          <w:sz w:val="16"/>
          <w:szCs w:val="16"/>
          <w:color w:val="auto"/>
        </w:rPr>
        <w:t>For the three months ended September 30, 2015, total investment income increased $7.1 million, or 63.9% compared to the three months ended September 30, 2014. The increase from the prior period relates primarily to higher interest and PIK income from a growing investment portfolio. In addition, the increase from the prior period was aided by amendment, prepayment, and other non-origination fees of $0.9 million for the three months ended September 30, 2015, compared to $0.2 in non-origination fees for the three months ended September 30, 2014. The increase in dividend income from the prior period was due to a $0.4 million dividend declared by CSLLF and a one time dividend of $0.2 million received from Navis Holdings, Inc.</w:t>
      </w:r>
    </w:p>
    <w:p>
      <w:pPr>
        <w:spacing w:after="0" w:line="158" w:lineRule="exact"/>
        <w:rPr>
          <w:sz w:val="20"/>
          <w:szCs w:val="20"/>
          <w:color w:val="auto"/>
        </w:rPr>
      </w:pPr>
    </w:p>
    <w:p>
      <w:pPr>
        <w:ind w:right="60" w:firstLine="881"/>
        <w:spacing w:after="0" w:line="264" w:lineRule="auto"/>
        <w:rPr>
          <w:sz w:val="20"/>
          <w:szCs w:val="20"/>
          <w:color w:val="auto"/>
        </w:rPr>
      </w:pPr>
      <w:r>
        <w:rPr>
          <w:rFonts w:ascii="Arial" w:cs="Arial" w:eastAsia="Arial" w:hAnsi="Arial"/>
          <w:sz w:val="18"/>
          <w:szCs w:val="18"/>
          <w:color w:val="auto"/>
        </w:rPr>
        <w:t>For the nine months ended September 30, 2015, total investment income increased $11.4 million, or 31.5% compared to the nine months ended September 30, 2014. The increase from the prior period relates primarily to higher interest and PIK income from a growing investment portfolio and increase in fee income due to increase in deployments, offset by a decline in non-recurring dividend income.</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composition of our expenses for the three and nine months ended September 30, 2015 and September 30, 2014 was as follows (dollars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ectPr>
          <w:pgSz w:w="11900" w:h="16838" w:orient="portrait"/>
          <w:cols w:equalWidth="0" w:num="1">
            <w:col w:w="11400"/>
          </w:cols>
          <w:pgMar w:left="240" w:top="908"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and financing expenses</w:t>
      </w:r>
    </w:p>
    <w:p>
      <w:pPr>
        <w:spacing w:after="0" w:line="23" w:lineRule="exact"/>
        <w:rPr>
          <w:sz w:val="20"/>
          <w:szCs w:val="20"/>
          <w:color w:val="auto"/>
        </w:rPr>
      </w:pPr>
    </w:p>
    <w:p>
      <w:pPr>
        <w:ind w:left="340" w:right="400"/>
        <w:spacing w:after="0" w:line="250" w:lineRule="auto"/>
        <w:rPr>
          <w:sz w:val="20"/>
          <w:szCs w:val="20"/>
          <w:color w:val="auto"/>
        </w:rPr>
      </w:pPr>
      <w:r>
        <w:rPr>
          <w:rFonts w:ascii="Arial" w:cs="Arial" w:eastAsia="Arial" w:hAnsi="Arial"/>
          <w:sz w:val="18"/>
          <w:szCs w:val="18"/>
          <w:color w:val="auto"/>
        </w:rPr>
        <w:t>Management fees, net of management fee waiver Incentive fees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General and administrative expenses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Total expenses, net of management fee waiver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540" w:type="dxa"/>
            <w:vAlign w:val="bottom"/>
            <w:gridSpan w:val="7"/>
          </w:tcPr>
          <w:p>
            <w:pPr>
              <w:jc w:val="right"/>
              <w:ind w:right="260"/>
              <w:spacing w:after="0"/>
              <w:rPr>
                <w:sz w:val="20"/>
                <w:szCs w:val="20"/>
                <w:color w:val="auto"/>
              </w:rPr>
            </w:pPr>
            <w:r>
              <w:rPr>
                <w:rFonts w:ascii="Arial" w:cs="Arial" w:eastAsia="Arial" w:hAnsi="Arial"/>
                <w:sz w:val="18"/>
                <w:szCs w:val="18"/>
                <w:b w:val="1"/>
                <w:bCs w:val="1"/>
                <w:color w:val="auto"/>
                <w:w w:val="92"/>
              </w:rPr>
              <w:t>For the Three Months Ended</w:t>
            </w:r>
          </w:p>
        </w:tc>
        <w:tc>
          <w:tcPr>
            <w:tcW w:w="100" w:type="dxa"/>
            <w:vAlign w:val="bottom"/>
          </w:tcPr>
          <w:p>
            <w:pPr>
              <w:spacing w:after="0"/>
              <w:rPr>
                <w:sz w:val="20"/>
                <w:szCs w:val="20"/>
                <w:color w:val="auto"/>
              </w:rPr>
            </w:pPr>
          </w:p>
        </w:tc>
        <w:tc>
          <w:tcPr>
            <w:tcW w:w="2280" w:type="dxa"/>
            <w:vAlign w:val="bottom"/>
            <w:gridSpan w:val="6"/>
          </w:tcPr>
          <w:p>
            <w:pPr>
              <w:ind w:left="20"/>
              <w:spacing w:after="0"/>
              <w:rPr>
                <w:sz w:val="20"/>
                <w:szCs w:val="20"/>
                <w:color w:val="auto"/>
              </w:rPr>
            </w:pPr>
            <w:r>
              <w:rPr>
                <w:rFonts w:ascii="Arial" w:cs="Arial" w:eastAsia="Arial" w:hAnsi="Arial"/>
                <w:sz w:val="18"/>
                <w:szCs w:val="18"/>
                <w:b w:val="1"/>
                <w:bCs w:val="1"/>
                <w:color w:val="auto"/>
                <w:w w:val="95"/>
              </w:rPr>
              <w:t>For the Nine Months Ended</w:t>
            </w:r>
          </w:p>
        </w:tc>
      </w:tr>
      <w:tr>
        <w:trPr>
          <w:trHeight w:val="191"/>
        </w:trPr>
        <w:tc>
          <w:tcPr>
            <w:tcW w:w="20" w:type="dxa"/>
            <w:vAlign w:val="bottom"/>
          </w:tcPr>
          <w:p>
            <w:pPr>
              <w:spacing w:after="0"/>
              <w:rPr>
                <w:sz w:val="16"/>
                <w:szCs w:val="16"/>
                <w:color w:val="auto"/>
              </w:rPr>
            </w:pPr>
          </w:p>
        </w:tc>
        <w:tc>
          <w:tcPr>
            <w:tcW w:w="116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w w:val="92"/>
              </w:rPr>
              <w:t>September 30,</w:t>
            </w:r>
          </w:p>
        </w:tc>
        <w:tc>
          <w:tcPr>
            <w:tcW w:w="1180" w:type="dxa"/>
            <w:vAlign w:val="bottom"/>
            <w:tcBorders>
              <w:top w:val="single" w:sz="8" w:color="auto"/>
            </w:tcBorders>
            <w:gridSpan w:val="3"/>
          </w:tcPr>
          <w:p>
            <w:pPr>
              <w:ind w:left="100"/>
              <w:spacing w:after="0" w:line="191" w:lineRule="exact"/>
              <w:rPr>
                <w:sz w:val="20"/>
                <w:szCs w:val="20"/>
                <w:color w:val="auto"/>
              </w:rPr>
            </w:pPr>
            <w:r>
              <w:rPr>
                <w:rFonts w:ascii="Arial" w:cs="Arial" w:eastAsia="Arial" w:hAnsi="Arial"/>
                <w:sz w:val="18"/>
                <w:szCs w:val="18"/>
                <w:b w:val="1"/>
                <w:bCs w:val="1"/>
                <w:color w:val="auto"/>
                <w:w w:val="86"/>
              </w:rPr>
              <w:t>September 30,</w:t>
            </w:r>
          </w:p>
        </w:tc>
        <w:tc>
          <w:tcPr>
            <w:tcW w:w="200" w:type="dxa"/>
            <w:vAlign w:val="bottom"/>
          </w:tcPr>
          <w:p>
            <w:pPr>
              <w:spacing w:after="0"/>
              <w:rPr>
                <w:sz w:val="16"/>
                <w:szCs w:val="16"/>
                <w:color w:val="auto"/>
              </w:rPr>
            </w:pPr>
          </w:p>
        </w:tc>
        <w:tc>
          <w:tcPr>
            <w:tcW w:w="128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rPr>
              <w:t>September 30,</w:t>
            </w:r>
          </w:p>
        </w:tc>
        <w:tc>
          <w:tcPr>
            <w:tcW w:w="110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w w:val="87"/>
              </w:rPr>
              <w:t>September 30,</w:t>
            </w:r>
          </w:p>
        </w:tc>
        <w:tc>
          <w:tcPr>
            <w:tcW w:w="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20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95" w:lineRule="exact"/>
              <w:rPr>
                <w:sz w:val="20"/>
                <w:szCs w:val="20"/>
                <w:color w:val="auto"/>
              </w:rPr>
            </w:pPr>
            <w:r>
              <w:rPr>
                <w:rFonts w:ascii="Arial" w:cs="Arial" w:eastAsia="Arial" w:hAnsi="Arial"/>
                <w:sz w:val="18"/>
                <w:szCs w:val="18"/>
                <w:color w:val="auto"/>
              </w:rPr>
              <w:t>4,809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95" w:lineRule="exact"/>
              <w:rPr>
                <w:sz w:val="20"/>
                <w:szCs w:val="20"/>
                <w:color w:val="auto"/>
              </w:rPr>
            </w:pPr>
            <w:r>
              <w:rPr>
                <w:rFonts w:ascii="Arial" w:cs="Arial" w:eastAsia="Arial" w:hAnsi="Arial"/>
                <w:sz w:val="18"/>
                <w:szCs w:val="18"/>
                <w:color w:val="auto"/>
              </w:rPr>
              <w:t>4,268</w:t>
            </w:r>
          </w:p>
        </w:tc>
        <w:tc>
          <w:tcPr>
            <w:tcW w:w="200" w:type="dxa"/>
            <w:vAlign w:val="bottom"/>
          </w:tcPr>
          <w:p>
            <w:pPr>
              <w:spacing w:after="0"/>
              <w:rPr>
                <w:sz w:val="16"/>
                <w:szCs w:val="16"/>
                <w:color w:val="auto"/>
              </w:rPr>
            </w:pPr>
          </w:p>
        </w:tc>
        <w:tc>
          <w:tcPr>
            <w:tcW w:w="100" w:type="dxa"/>
            <w:vAlign w:val="bottom"/>
          </w:tcPr>
          <w:p>
            <w:pPr>
              <w:spacing w:after="0" w:line="195"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95" w:lineRule="exact"/>
              <w:rPr>
                <w:sz w:val="20"/>
                <w:szCs w:val="20"/>
                <w:color w:val="auto"/>
              </w:rPr>
            </w:pPr>
            <w:r>
              <w:rPr>
                <w:rFonts w:ascii="Arial" w:cs="Arial" w:eastAsia="Arial" w:hAnsi="Arial"/>
                <w:sz w:val="18"/>
                <w:szCs w:val="18"/>
                <w:color w:val="auto"/>
              </w:rPr>
              <w:t>14,126</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8,870</w:t>
            </w:r>
          </w:p>
        </w:tc>
        <w:tc>
          <w:tcPr>
            <w:tcW w:w="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2,781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2,498</w:t>
            </w: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7,778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6,592</w:t>
            </w:r>
          </w:p>
        </w:tc>
      </w:tr>
      <w:tr>
        <w:trPr>
          <w:trHeight w:val="230"/>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4,457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2,838</w:t>
            </w:r>
          </w:p>
        </w:tc>
      </w:tr>
      <w:tr>
        <w:trPr>
          <w:trHeight w:val="230"/>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981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3,148</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2,870</w:t>
            </w:r>
          </w:p>
        </w:tc>
      </w:tr>
      <w:tr>
        <w:trPr>
          <w:trHeight w:val="223"/>
        </w:trPr>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10,517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7,623</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29,509</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21,170</w:t>
            </w: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-745490</wp:posOffset>
            </wp:positionV>
            <wp:extent cx="6157595" cy="146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157595" cy="146050"/>
                    </a:xfrm>
                    <a:prstGeom prst="rect">
                      <a:avLst/>
                    </a:prstGeom>
                    <a:noFill/>
                  </pic:spPr>
                </pic:pic>
              </a:graphicData>
            </a:graphic>
          </wp:anchor>
        </w:drawing>
        <w:drawing>
          <wp:anchor simplePos="0" relativeHeight="251657728" behindDoc="1" locked="0" layoutInCell="0" allowOverlap="1">
            <wp:simplePos x="0" y="0"/>
            <wp:positionH relativeFrom="column">
              <wp:posOffset>-2963545</wp:posOffset>
            </wp:positionH>
            <wp:positionV relativeFrom="paragraph">
              <wp:posOffset>-462280</wp:posOffset>
            </wp:positionV>
            <wp:extent cx="6157595"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157595" cy="137160"/>
                    </a:xfrm>
                    <a:prstGeom prst="rect">
                      <a:avLst/>
                    </a:prstGeom>
                    <a:noFill/>
                  </pic:spPr>
                </pic:pic>
              </a:graphicData>
            </a:graphic>
          </wp:anchor>
        </w:drawing>
        <w:drawing>
          <wp:anchor simplePos="0" relativeHeight="251657728" behindDoc="1" locked="0" layoutInCell="0" allowOverlap="1">
            <wp:simplePos x="0" y="0"/>
            <wp:positionH relativeFrom="column">
              <wp:posOffset>-2963545</wp:posOffset>
            </wp:positionH>
            <wp:positionV relativeFrom="paragraph">
              <wp:posOffset>-179705</wp:posOffset>
            </wp:positionV>
            <wp:extent cx="6157595" cy="1631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157595"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80" w:space="720"/>
            <w:col w:w="6400"/>
          </w:cols>
          <w:pgMar w:left="240" w:top="908" w:right="259" w:bottom="1440" w:gutter="0" w:footer="0" w:header="0"/>
          <w:type w:val="continuous"/>
        </w:sectPr>
      </w:pPr>
    </w:p>
    <w:p>
      <w:pPr>
        <w:spacing w:after="0" w:line="2" w:lineRule="exact"/>
        <w:rPr>
          <w:sz w:val="20"/>
          <w:szCs w:val="20"/>
          <w:color w:val="auto"/>
        </w:rPr>
      </w:pPr>
    </w:p>
    <w:p>
      <w:pPr>
        <w:ind w:right="80" w:firstLine="881"/>
        <w:spacing w:after="0" w:line="264" w:lineRule="auto"/>
        <w:rPr>
          <w:sz w:val="20"/>
          <w:szCs w:val="20"/>
          <w:color w:val="auto"/>
        </w:rPr>
      </w:pPr>
      <w:r>
        <w:rPr>
          <w:rFonts w:ascii="Arial" w:cs="Arial" w:eastAsia="Arial" w:hAnsi="Arial"/>
          <w:sz w:val="18"/>
          <w:szCs w:val="18"/>
          <w:color w:val="auto"/>
        </w:rPr>
        <w:t>For the three months ended September 30, 2015, operating expenses increased $2.9 million, or 38.0%, compared to the three months ended September 30, 2014. The increase from the prior period was primarily due to $0.6 million in interest and financing expenses on the Credit Facility originated in October of 2014 and $1.9 million in incentive fees earned for the three months ended September 30, 2015.</w:t>
      </w:r>
    </w:p>
    <w:p>
      <w:pPr>
        <w:spacing w:after="0" w:line="181" w:lineRule="exact"/>
        <w:rPr>
          <w:sz w:val="20"/>
          <w:szCs w:val="20"/>
          <w:color w:val="auto"/>
        </w:rPr>
      </w:pPr>
    </w:p>
    <w:p>
      <w:pPr>
        <w:ind w:right="100" w:firstLine="881"/>
        <w:spacing w:after="0" w:line="259" w:lineRule="auto"/>
        <w:rPr>
          <w:sz w:val="20"/>
          <w:szCs w:val="20"/>
          <w:color w:val="auto"/>
        </w:rPr>
      </w:pPr>
      <w:r>
        <w:rPr>
          <w:rFonts w:ascii="Arial" w:cs="Arial" w:eastAsia="Arial" w:hAnsi="Arial"/>
          <w:sz w:val="18"/>
          <w:szCs w:val="18"/>
          <w:color w:val="auto"/>
        </w:rPr>
        <w:t>For the nine months ended September 30, 2015, operating expenses increased $8.3 million, or 39.4%, compared to the nine months ended September 30, 2014. The increase from the prior period was primarily due to increase in interest and financing expenses due to the issuance of Notes in June of 2014 and the Credit Facility in October 2014. Management fees increased over prior period due to growth in assets under management. Incentive fees increased from prior period due to increase in pre-incentive fee net investment income.</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type w:val="continuous"/>
        </w:sectPr>
      </w:pPr>
    </w:p>
    <w:bookmarkStart w:id="52" w:name="page53"/>
    <w:bookmarkEnd w:id="52"/>
    <w:p>
      <w:pPr>
        <w:ind w:left="880"/>
        <w:spacing w:after="0"/>
        <w:rPr>
          <w:sz w:val="20"/>
          <w:szCs w:val="20"/>
          <w:color w:val="auto"/>
        </w:rPr>
      </w:pPr>
      <w:r>
        <w:rPr>
          <w:rFonts w:ascii="Arial" w:cs="Arial" w:eastAsia="Arial" w:hAnsi="Arial"/>
          <w:sz w:val="18"/>
          <w:szCs w:val="18"/>
          <w:b w:val="1"/>
          <w:bCs w:val="1"/>
          <w:i w:val="1"/>
          <w:iCs w:val="1"/>
          <w:color w:val="auto"/>
        </w:rPr>
        <w:t>Net realized gains/losses on sales of investments</w:t>
      </w:r>
    </w:p>
    <w:p>
      <w:pPr>
        <w:spacing w:after="0" w:line="225" w:lineRule="exact"/>
        <w:rPr>
          <w:sz w:val="20"/>
          <w:szCs w:val="20"/>
          <w:color w:val="auto"/>
        </w:rPr>
      </w:pPr>
    </w:p>
    <w:p>
      <w:pPr>
        <w:ind w:right="20" w:firstLine="881"/>
        <w:spacing w:after="0" w:line="312" w:lineRule="auto"/>
        <w:rPr>
          <w:sz w:val="20"/>
          <w:szCs w:val="20"/>
          <w:color w:val="auto"/>
        </w:rPr>
      </w:pPr>
      <w:r>
        <w:rPr>
          <w:rFonts w:ascii="Arial" w:cs="Arial" w:eastAsia="Arial" w:hAnsi="Arial"/>
          <w:sz w:val="16"/>
          <w:szCs w:val="16"/>
          <w:color w:val="auto"/>
        </w:rPr>
        <w:t>During the three months ended September 30, 2015, we recognized $(16.0) million of net realized losses on our portfolio investments. During the nine months ended September 30, 2015, we recognized $9.1 million of net realized gains on our portfolio investments. During the three and nine months ended September 30, 2014, we recognized $(3.1) million and $(1.4) million, respectively, of net realized losses on our portfolio investments.</w:t>
      </w:r>
    </w:p>
    <w:p>
      <w:pPr>
        <w:spacing w:after="0" w:line="147" w:lineRule="exact"/>
        <w:rPr>
          <w:sz w:val="20"/>
          <w:szCs w:val="20"/>
          <w:color w:val="auto"/>
        </w:rPr>
      </w:pPr>
    </w:p>
    <w:p>
      <w:pPr>
        <w:ind w:right="140" w:firstLine="881"/>
        <w:spacing w:after="0" w:line="302" w:lineRule="auto"/>
        <w:rPr>
          <w:sz w:val="20"/>
          <w:szCs w:val="20"/>
          <w:color w:val="auto"/>
        </w:rPr>
      </w:pPr>
      <w:r>
        <w:rPr>
          <w:rFonts w:ascii="Arial" w:cs="Arial" w:eastAsia="Arial" w:hAnsi="Arial"/>
          <w:sz w:val="16"/>
          <w:szCs w:val="16"/>
          <w:color w:val="auto"/>
        </w:rPr>
        <w:t>For the three months ended September 30, 2015, realized losses were driven primarily by an $(11.3) million realized loss on the Company’s investment in Source Capital SSCR, LLC and a $(5.1) million realized loss on the Company’s investment in Market E’s, LLC. For the nine months ended September 30, 2015, losses on Source Capital SSCR, LLC and Market E’s, LLC were offset primarily by recognized gains of $11.0, $10.3 million, and $7.1 million on the Company’s investments in Bootbarn Holdings, Inc, KBP Investments, LLC, and Corporate Visions, Inc, respectively.</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Net unrealized appreciation/depreciation on investments</w:t>
      </w:r>
    </w:p>
    <w:p>
      <w:pPr>
        <w:spacing w:after="0" w:line="225" w:lineRule="exact"/>
        <w:rPr>
          <w:sz w:val="20"/>
          <w:szCs w:val="20"/>
          <w:color w:val="auto"/>
        </w:rPr>
      </w:pPr>
    </w:p>
    <w:p>
      <w:pPr>
        <w:ind w:firstLine="881"/>
        <w:spacing w:after="0" w:line="255" w:lineRule="auto"/>
        <w:rPr>
          <w:sz w:val="20"/>
          <w:szCs w:val="20"/>
          <w:color w:val="auto"/>
        </w:rPr>
      </w:pPr>
      <w:r>
        <w:rPr>
          <w:rFonts w:ascii="Arial" w:cs="Arial" w:eastAsia="Arial" w:hAnsi="Arial"/>
          <w:sz w:val="18"/>
          <w:szCs w:val="18"/>
          <w:color w:val="auto"/>
        </w:rPr>
        <w:t>Net change in unrealized appreciation on investments reflects the net change in the fair value of our investment portfolio. For the three months ended September 30, 2015, we had net unrealized appreciation of $16.2 million on portfolio investments. During the three months ended September 30, 2015, we had $12.1 million in net unrealized appreciation related to reversal of net unrealized depreciation on investments with net realized losses recognized during the period. For the nine months ended September 30, 2015, we had net unrealized depreciation of $(4.3) million on portfolio investments. During the nine months ended September 30, 2015, we had $(11.0) million in net unrealized depreciation related to reversal of net unrealized appreciation on investments with net realized gains recognized during the period.</w:t>
      </w:r>
    </w:p>
    <w:p>
      <w:pPr>
        <w:spacing w:after="0" w:line="193" w:lineRule="exact"/>
        <w:rPr>
          <w:sz w:val="20"/>
          <w:szCs w:val="20"/>
          <w:color w:val="auto"/>
        </w:rPr>
      </w:pPr>
    </w:p>
    <w:p>
      <w:pPr>
        <w:ind w:right="20" w:firstLine="881"/>
        <w:spacing w:after="0" w:line="277" w:lineRule="auto"/>
        <w:rPr>
          <w:sz w:val="20"/>
          <w:szCs w:val="20"/>
          <w:color w:val="auto"/>
        </w:rPr>
      </w:pPr>
      <w:r>
        <w:rPr>
          <w:rFonts w:ascii="Arial" w:cs="Arial" w:eastAsia="Arial" w:hAnsi="Arial"/>
          <w:sz w:val="18"/>
          <w:szCs w:val="18"/>
          <w:color w:val="auto"/>
        </w:rPr>
        <w:t>For the three months ended September 30, 2014, we had a $(0.2) million in unrealized depreciation on portfolio investments. For the nine months ended September 30, 2014, we had $(5.8) million in unrealized depreciation on portfolio investments.</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Changes in net assets resulting from operations</w:t>
      </w:r>
    </w:p>
    <w:p>
      <w:pPr>
        <w:spacing w:after="0" w:line="225" w:lineRule="exact"/>
        <w:rPr>
          <w:sz w:val="20"/>
          <w:szCs w:val="20"/>
          <w:color w:val="auto"/>
        </w:rPr>
      </w:pPr>
    </w:p>
    <w:p>
      <w:pPr>
        <w:ind w:right="20" w:firstLine="881"/>
        <w:spacing w:after="0" w:line="255" w:lineRule="auto"/>
        <w:rPr>
          <w:sz w:val="20"/>
          <w:szCs w:val="20"/>
          <w:color w:val="auto"/>
        </w:rPr>
      </w:pPr>
      <w:r>
        <w:rPr>
          <w:rFonts w:ascii="Arial" w:cs="Arial" w:eastAsia="Arial" w:hAnsi="Arial"/>
          <w:sz w:val="18"/>
          <w:szCs w:val="18"/>
          <w:color w:val="auto"/>
        </w:rPr>
        <w:t>For the three and nine months ended September 30, 2015, we recorded a net increase in net assets resulting from operations of $8.0 million and $22.8 million, respectively. Based on the weighted average shares of common stock outstanding for the three and nine months ended September 30, 2015, our per share net increase in net assets resulting from operations was $0.49 and $1.52, respectively. For the three and nine months ended September 30, 2014, we recorded a net increase in net assets resulting from operations of $0.3 million and $7.7 million, respectively. Based on the weighted average shares of common stock outstanding for the three and nine months ended September 30, 2014 our per share net increase in net assets resulting from operations was $0.02 and $0.60,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ind w:right="100" w:firstLine="881"/>
        <w:spacing w:after="0" w:line="277" w:lineRule="auto"/>
        <w:rPr>
          <w:sz w:val="20"/>
          <w:szCs w:val="20"/>
          <w:color w:val="auto"/>
        </w:rPr>
      </w:pPr>
      <w:r>
        <w:rPr>
          <w:rFonts w:ascii="Arial" w:cs="Arial" w:eastAsia="Arial" w:hAnsi="Arial"/>
          <w:sz w:val="18"/>
          <w:szCs w:val="18"/>
          <w:color w:val="auto"/>
        </w:rPr>
        <w:t>The Company uses and intends to use existing cash primarily to originate investments in new and existing portfolio companies, pay dividends to our shareholders, and repay indebtedness.</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On September 30, 2013, the Company issued 4,000,000 shares at $20.00 per share in its IPO, yielding net proceeds of $74.25 million.</w:t>
      </w:r>
    </w:p>
    <w:p>
      <w:pPr>
        <w:spacing w:after="0" w:line="237" w:lineRule="exact"/>
        <w:rPr>
          <w:sz w:val="20"/>
          <w:szCs w:val="20"/>
          <w:color w:val="auto"/>
        </w:rPr>
      </w:pPr>
    </w:p>
    <w:p>
      <w:pPr>
        <w:ind w:right="580" w:firstLine="881"/>
        <w:spacing w:after="0" w:line="342" w:lineRule="auto"/>
        <w:rPr>
          <w:sz w:val="20"/>
          <w:szCs w:val="20"/>
          <w:color w:val="auto"/>
        </w:rPr>
      </w:pPr>
      <w:r>
        <w:rPr>
          <w:rFonts w:ascii="Arial" w:cs="Arial" w:eastAsia="Arial" w:hAnsi="Arial"/>
          <w:sz w:val="16"/>
          <w:szCs w:val="16"/>
          <w:color w:val="auto"/>
        </w:rPr>
        <w:t>Including the net proceeds from the Company’s IPO on September 30, 2013, the Company has raised approximately $245.0 million in net proceeds in debt and equity offerings and obtained credit availability through our Credit Facility of $120.0 million through September 30, 2015.</w:t>
      </w:r>
    </w:p>
    <w:p>
      <w:pPr>
        <w:spacing w:after="0" w:line="124" w:lineRule="exact"/>
        <w:rPr>
          <w:sz w:val="20"/>
          <w:szCs w:val="20"/>
          <w:color w:val="auto"/>
        </w:rPr>
      </w:pPr>
    </w:p>
    <w:p>
      <w:pPr>
        <w:ind w:right="20" w:firstLine="881"/>
        <w:spacing w:after="0" w:line="297" w:lineRule="auto"/>
        <w:rPr>
          <w:sz w:val="20"/>
          <w:szCs w:val="20"/>
          <w:color w:val="auto"/>
        </w:rPr>
      </w:pPr>
      <w:r>
        <w:rPr>
          <w:rFonts w:ascii="Arial" w:cs="Arial" w:eastAsia="Arial" w:hAnsi="Arial"/>
          <w:sz w:val="16"/>
          <w:szCs w:val="16"/>
          <w:color w:val="auto"/>
        </w:rPr>
        <w:t>The Company issued $113.4 million in aggregate principal amount of 7.125% fixed-rate notes (the “Notes”) in June of 2014, yielding net proceeds of $109.1 million after underwriting costs. The Notes will mature on June 16, 2021, and may be redeemed in whole or in part at any time or from time to time at the Company’s option on or after June 17, 2017 at a redemption price equal to 100% of the outstanding principal, plus accrued and unpaid interest. The notes bear interest at a rate of 7.125% per year payable quarterly on March 16, June 16, September 16, and December 16 of each year, beginning September 16, 2014. The Notes are listed on the New York Stock Exchange under the trading symbol “CLA” with a par value $25.00 per share.</w:t>
      </w:r>
    </w:p>
    <w:p>
      <w:pPr>
        <w:spacing w:after="0" w:line="158" w:lineRule="exact"/>
        <w:rPr>
          <w:sz w:val="20"/>
          <w:szCs w:val="20"/>
          <w:color w:val="auto"/>
        </w:rPr>
      </w:pPr>
    </w:p>
    <w:p>
      <w:pPr>
        <w:jc w:val="both"/>
        <w:ind w:firstLine="881"/>
        <w:spacing w:after="0" w:line="264" w:lineRule="auto"/>
        <w:rPr>
          <w:sz w:val="20"/>
          <w:szCs w:val="20"/>
          <w:color w:val="auto"/>
        </w:rPr>
      </w:pPr>
      <w:r>
        <w:rPr>
          <w:rFonts w:ascii="Arial" w:cs="Arial" w:eastAsia="Arial" w:hAnsi="Arial"/>
          <w:sz w:val="18"/>
          <w:szCs w:val="18"/>
          <w:color w:val="auto"/>
        </w:rPr>
        <w:t>On October 17, 2014, the Company entered into a senior secured revolving credit agreement (the “Credit Facility”) with ING Capital, LLC, as administrative agent, arranger, and bookrunner, and the lenders party thereto. The Credit Facility initially provided for borrowings up to $50,000,000 and may be increased up to $150,000,000 pursuant to its “accordion” feature. The Credit Facility matures on October 17, 2018.</w:t>
      </w:r>
    </w:p>
    <w:p>
      <w:pPr>
        <w:spacing w:after="0" w:line="181" w:lineRule="exact"/>
        <w:rPr>
          <w:sz w:val="20"/>
          <w:szCs w:val="20"/>
          <w:color w:val="auto"/>
        </w:rPr>
      </w:pPr>
    </w:p>
    <w:p>
      <w:pPr>
        <w:ind w:right="20" w:firstLine="881"/>
        <w:spacing w:after="0" w:line="271" w:lineRule="auto"/>
        <w:rPr>
          <w:sz w:val="20"/>
          <w:szCs w:val="20"/>
          <w:color w:val="auto"/>
        </w:rPr>
      </w:pPr>
      <w:r>
        <w:rPr>
          <w:rFonts w:ascii="Arial" w:cs="Arial" w:eastAsia="Arial" w:hAnsi="Arial"/>
          <w:sz w:val="17"/>
          <w:szCs w:val="17"/>
          <w:color w:val="auto"/>
        </w:rPr>
        <w:t>On January 6, 2015, the Company entered into an Incremental Assumption Agreement (the “First Incremental Assumption Agreement”) relating to the Credit Facility. The First Incremental Assumption Agreement increased the amount of borrowings available under the Credit Facility from $50,000,000 to $80,000,000. The $30,000,000 increase in total commitments under the Credit Facility was executed under the “accordion” feature of the Credit Facility, which allows for an increase in total commitments under the Credit Facility up to $150,000,000. On August 19, 2015, the Company entered into a second Incremental Assumption Agreement (the “Second Incremental Assumption Agreement”) relating to the Credit Facility. The Second Incremental Assumption Agreement increased the amount of borrowings available under the Credit Facility from $80,000,000 to $120,000,000. The $40,000,000 increase in total commitments under the Credit Facility was executed under the “accordion” feature of the Credit Facility, which allows for an increase in total commitments under the Credit Facility up to $150,000,000.</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53" w:name="page54"/>
    <w:bookmarkEnd w:id="53"/>
    <w:p>
      <w:pPr>
        <w:ind w:left="880"/>
        <w:spacing w:after="0"/>
        <w:rPr>
          <w:sz w:val="20"/>
          <w:szCs w:val="20"/>
          <w:color w:val="auto"/>
        </w:rPr>
      </w:pPr>
      <w:r>
        <w:rPr>
          <w:rFonts w:ascii="Arial" w:cs="Arial" w:eastAsia="Arial" w:hAnsi="Arial"/>
          <w:sz w:val="18"/>
          <w:szCs w:val="18"/>
          <w:color w:val="auto"/>
        </w:rPr>
        <w:t>As of September 30, 2015, the Company had $51.0 million outstanding and $69.0 million available under the Credit Facility.</w:t>
      </w:r>
    </w:p>
    <w:p>
      <w:pPr>
        <w:spacing w:after="0" w:line="225" w:lineRule="exact"/>
        <w:rPr>
          <w:sz w:val="20"/>
          <w:szCs w:val="20"/>
          <w:color w:val="auto"/>
        </w:rPr>
      </w:pPr>
    </w:p>
    <w:p>
      <w:pPr>
        <w:ind w:right="40" w:firstLine="881"/>
        <w:spacing w:after="0" w:line="308" w:lineRule="auto"/>
        <w:rPr>
          <w:sz w:val="20"/>
          <w:szCs w:val="20"/>
          <w:color w:val="auto"/>
        </w:rPr>
      </w:pPr>
      <w:r>
        <w:rPr>
          <w:rFonts w:ascii="Arial" w:cs="Arial" w:eastAsia="Arial" w:hAnsi="Arial"/>
          <w:sz w:val="17"/>
          <w:szCs w:val="17"/>
          <w:color w:val="auto"/>
        </w:rPr>
        <w:t>On April 13, 2015, the Company completed an underwritten offering of 3,500,000 shares of its common stock at a public offering price of $18.32 per share. The total proceeds received in the offering net of underwriting discounts and offering costs were approximately $61.7 million.</w:t>
      </w:r>
    </w:p>
    <w:p>
      <w:pPr>
        <w:spacing w:after="0" w:line="147" w:lineRule="exact"/>
        <w:rPr>
          <w:sz w:val="20"/>
          <w:szCs w:val="20"/>
          <w:color w:val="auto"/>
        </w:rPr>
      </w:pPr>
    </w:p>
    <w:p>
      <w:pPr>
        <w:ind w:right="20" w:firstLine="881"/>
        <w:spacing w:after="0" w:line="255" w:lineRule="auto"/>
        <w:rPr>
          <w:sz w:val="20"/>
          <w:szCs w:val="20"/>
          <w:color w:val="auto"/>
        </w:rPr>
      </w:pPr>
      <w:r>
        <w:rPr>
          <w:rFonts w:ascii="Arial" w:cs="Arial" w:eastAsia="Arial" w:hAnsi="Arial"/>
          <w:sz w:val="18"/>
          <w:szCs w:val="18"/>
          <w:color w:val="auto"/>
        </w:rPr>
        <w:t>On February 26, 2015, the Company’s board of directors authorized a program for the purpose of repurchasing up to $12.0 million worth of its common stock. Under the repurchase program, the Company may, but it is not obligated to, repurchase its outstanding common stock in the open market from time to time provided that the Company complies with the prohibitions under its Insider Trading Policies and Procedures and the guidelines specified in Rule 10b-18 of the Securities Exchange Act of 1934, as amended, including certain price, market volume and timing constraints. Unless extended by the Company’s board of directors, the Company expects the repurchase program to be in place until the earlier of March 31, 2016 or until $12.0 million of the Company’s outstanding shares of common stock have been repurchased.</w:t>
      </w:r>
    </w:p>
    <w:p>
      <w:pPr>
        <w:spacing w:after="0" w:line="193" w:lineRule="exact"/>
        <w:rPr>
          <w:sz w:val="20"/>
          <w:szCs w:val="20"/>
          <w:color w:val="auto"/>
        </w:rPr>
      </w:pPr>
    </w:p>
    <w:p>
      <w:pPr>
        <w:ind w:right="100" w:firstLine="881"/>
        <w:spacing w:after="0" w:line="297" w:lineRule="auto"/>
        <w:rPr>
          <w:sz w:val="20"/>
          <w:szCs w:val="20"/>
          <w:color w:val="auto"/>
        </w:rPr>
      </w:pPr>
      <w:r>
        <w:rPr>
          <w:rFonts w:ascii="Arial" w:cs="Arial" w:eastAsia="Arial" w:hAnsi="Arial"/>
          <w:sz w:val="16"/>
          <w:szCs w:val="16"/>
          <w:color w:val="auto"/>
        </w:rPr>
        <w:t>During the three and nine months ended September 30, 2015, the Company repurchased 399,448 shares and 624,050 shares, respectively, of common stock in open market transactions for an aggregate cost (including transaction costs) of $6.0 million and $9.9 million, respectively. As of September 30, 2015, none of these share repurchases were unsettled. The Company is incorporated in Maryland and under Maryland General Corporation Law, shares repurchased are considered retired (repurchased shares become authorized but unissued shares) rather than treasury stock. As a result, the cost of the stock repurchased is recorded as a reduction to capital in excess of par value on the Consolidated Statement of Changes in Net Assets.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As of September 30, 2015, Fund II had $17.1 million in regulatory capital and $34.2 million in SBA-guaranteed debentures outstanding and Fund</w:t>
      </w:r>
    </w:p>
    <w:p>
      <w:pPr>
        <w:spacing w:after="0" w:line="46" w:lineRule="exact"/>
        <w:rPr>
          <w:sz w:val="20"/>
          <w:szCs w:val="20"/>
          <w:color w:val="auto"/>
        </w:rPr>
      </w:pPr>
    </w:p>
    <w:p>
      <w:pPr>
        <w:ind w:firstLine="8"/>
        <w:spacing w:after="0" w:line="252" w:lineRule="auto"/>
        <w:tabs>
          <w:tab w:leader="none" w:pos="225" w:val="left"/>
        </w:tabs>
        <w:numPr>
          <w:ilvl w:val="0"/>
          <w:numId w:val="22"/>
        </w:numPr>
        <w:rPr>
          <w:rFonts w:ascii="Arial" w:cs="Arial" w:eastAsia="Arial" w:hAnsi="Arial"/>
          <w:sz w:val="18"/>
          <w:szCs w:val="18"/>
          <w:color w:val="auto"/>
        </w:rPr>
      </w:pPr>
      <w:r>
        <w:rPr>
          <w:rFonts w:ascii="Arial" w:cs="Arial" w:eastAsia="Arial" w:hAnsi="Arial"/>
          <w:sz w:val="18"/>
          <w:szCs w:val="18"/>
          <w:color w:val="auto"/>
        </w:rPr>
        <w:t>had $75.0 million in regulatory capital and $150.0 million in SBA-guaranteed debentures outstanding. In addition to our existing SBA-guaranteed debentures, we may, if permitted by regulation, seek to issue additional SBA-guaranteed debentures as well as other forms of leverage and borrow funds to make investments. On June 10, 2014, we received an exemptive order from the SEC exempting us, Fund II and Fund III from certain provisions of the 1940 Act (including an exemptive order granting relief from the asset coverage requirements for certain indebtedness issued by Fund II and Fund III as SBICs) and from certain reporting requirements mandated by the Securities Exchange Act of 1934, as amended, with respect to Fund II and Fund III. We intend to comply with the conditions of the order.</w:t>
      </w:r>
    </w:p>
    <w:p>
      <w:pPr>
        <w:spacing w:after="0" w:line="19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As of September 30, 2015, we had $37.5 million in cash and cash equivalents, and our net assets totaled $286.8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80" w:firstLine="881"/>
        <w:spacing w:after="0" w:line="276" w:lineRule="auto"/>
        <w:rPr>
          <w:sz w:val="20"/>
          <w:szCs w:val="20"/>
          <w:color w:val="auto"/>
        </w:rPr>
      </w:pPr>
      <w:r>
        <w:rPr>
          <w:rFonts w:ascii="Arial" w:cs="Arial" w:eastAsia="Arial" w:hAnsi="Arial"/>
          <w:sz w:val="17"/>
          <w:szCs w:val="17"/>
          <w:color w:val="auto"/>
        </w:rPr>
        <w:t>We have entered into two contracts under which we have material future commitments, the Investment Advisory Agreement, pursuant to which the Investment Advisor serves as our investment adviser, and the Administration Agreement, pursuant to which our Administrator agrees to furnish us with certain administrative services necessary to conduct our day-to-day operations. Payments under the Investment Advisory Agreement in future periods will be equal to: (1) a percentage of the value of our gross assets; and (2) an incentive fee based on our performance. Payments under the Administration Agreement will occur on an ongoing basis as expenses are incurred on our behalf by our Administrator.</w:t>
      </w:r>
    </w:p>
    <w:p>
      <w:pPr>
        <w:spacing w:after="0" w:line="173" w:lineRule="exact"/>
        <w:rPr>
          <w:sz w:val="20"/>
          <w:szCs w:val="20"/>
          <w:color w:val="auto"/>
        </w:rPr>
      </w:pPr>
    </w:p>
    <w:p>
      <w:pPr>
        <w:ind w:right="100" w:firstLine="881"/>
        <w:spacing w:after="0" w:line="279" w:lineRule="auto"/>
        <w:rPr>
          <w:sz w:val="20"/>
          <w:szCs w:val="20"/>
          <w:color w:val="auto"/>
        </w:rPr>
      </w:pPr>
      <w:r>
        <w:rPr>
          <w:rFonts w:ascii="Arial" w:cs="Arial" w:eastAsia="Arial" w:hAnsi="Arial"/>
          <w:sz w:val="17"/>
          <w:szCs w:val="17"/>
          <w:color w:val="auto"/>
        </w:rPr>
        <w:t>The Investment Advisory Agreement and the Administration Agreement are each terminable by either party without penalty upon 60 days’ written notice to the other. If either of these agreements is terminated, the costs we will incur under new agreements may increase. In addition, we will likely incur significant time and expense in locating alternative parties to provide the services we expect to receive under both our Investment Advisory Agreement and our Administration Agreement. Any new Investment Advisory Agreement would also be subject to approval by our stockholders.</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 summary of the Company’s significant contractual payment obligations as of September 30, 2015 is as follows (dollars in thousands):</w:t>
      </w:r>
    </w:p>
    <w:p>
      <w:pPr>
        <w:spacing w:after="0" w:line="24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10"/>
          </w:tcPr>
          <w:p>
            <w:pPr>
              <w:ind w:left="20"/>
              <w:spacing w:after="0"/>
              <w:rPr>
                <w:sz w:val="20"/>
                <w:szCs w:val="20"/>
                <w:color w:val="auto"/>
              </w:rPr>
            </w:pPr>
            <w:r>
              <w:rPr>
                <w:rFonts w:ascii="Arial" w:cs="Arial" w:eastAsia="Arial" w:hAnsi="Arial"/>
                <w:sz w:val="18"/>
                <w:szCs w:val="18"/>
                <w:b w:val="1"/>
                <w:bCs w:val="1"/>
                <w:color w:val="auto"/>
                <w:w w:val="92"/>
              </w:rPr>
              <w:t>Contractual Obligations Payments Due by Period</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91"/>
        </w:trPr>
        <w:tc>
          <w:tcPr>
            <w:tcW w:w="3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80"/>
              <w:spacing w:after="0" w:line="191" w:lineRule="exact"/>
              <w:rPr>
                <w:sz w:val="20"/>
                <w:szCs w:val="20"/>
                <w:color w:val="auto"/>
              </w:rPr>
            </w:pPr>
            <w:r>
              <w:rPr>
                <w:rFonts w:ascii="Arial" w:cs="Arial" w:eastAsia="Arial" w:hAnsi="Arial"/>
                <w:sz w:val="18"/>
                <w:szCs w:val="18"/>
                <w:b w:val="1"/>
                <w:bCs w:val="1"/>
                <w:color w:val="auto"/>
                <w:w w:val="89"/>
              </w:rPr>
              <w:t>Less Than</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270"/>
              <w:spacing w:after="0" w:line="191" w:lineRule="exact"/>
              <w:rPr>
                <w:sz w:val="20"/>
                <w:szCs w:val="20"/>
                <w:color w:val="auto"/>
              </w:rPr>
            </w:pPr>
            <w:r>
              <w:rPr>
                <w:rFonts w:ascii="Arial" w:cs="Arial" w:eastAsia="Arial" w:hAnsi="Arial"/>
                <w:sz w:val="18"/>
                <w:szCs w:val="18"/>
                <w:b w:val="1"/>
                <w:bCs w:val="1"/>
                <w:color w:val="auto"/>
              </w:rPr>
              <w:t>1 - 3</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270"/>
              <w:spacing w:after="0" w:line="191" w:lineRule="exact"/>
              <w:rPr>
                <w:sz w:val="20"/>
                <w:szCs w:val="20"/>
                <w:color w:val="auto"/>
              </w:rPr>
            </w:pPr>
            <w:r>
              <w:rPr>
                <w:rFonts w:ascii="Arial" w:cs="Arial" w:eastAsia="Arial" w:hAnsi="Arial"/>
                <w:sz w:val="18"/>
                <w:szCs w:val="18"/>
                <w:b w:val="1"/>
                <w:bCs w:val="1"/>
                <w:color w:val="auto"/>
              </w:rPr>
              <w:t>3 - 5</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94"/>
              </w:rPr>
              <w:t>More Than</w:t>
            </w: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4"/>
        </w:trPr>
        <w:tc>
          <w:tcPr>
            <w:tcW w:w="3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 Year</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Years</w:t>
            </w:r>
          </w:p>
        </w:tc>
        <w:tc>
          <w:tcPr>
            <w:tcW w:w="200" w:type="dxa"/>
            <w:vAlign w:val="bottom"/>
          </w:tcPr>
          <w:p>
            <w:pPr>
              <w:spacing w:after="0"/>
              <w:rPr>
                <w:sz w:val="20"/>
                <w:szCs w:val="20"/>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Years</w:t>
            </w:r>
          </w:p>
        </w:tc>
        <w:tc>
          <w:tcPr>
            <w:tcW w:w="8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5 Years</w:t>
            </w:r>
          </w:p>
        </w:tc>
        <w:tc>
          <w:tcPr>
            <w:tcW w:w="220" w:type="dxa"/>
            <w:vAlign w:val="bottom"/>
          </w:tcPr>
          <w:p>
            <w:pPr>
              <w:spacing w:after="0"/>
              <w:rPr>
                <w:sz w:val="20"/>
                <w:szCs w:val="20"/>
                <w:color w:val="auto"/>
              </w:rPr>
            </w:pPr>
          </w:p>
        </w:tc>
        <w:tc>
          <w:tcPr>
            <w:tcW w:w="920" w:type="dxa"/>
            <w:vAlign w:val="bottom"/>
            <w:gridSpan w:val="3"/>
          </w:tcPr>
          <w:p>
            <w:pPr>
              <w:ind w:left="120"/>
              <w:spacing w:after="0"/>
              <w:rPr>
                <w:sz w:val="20"/>
                <w:szCs w:val="20"/>
                <w:color w:val="auto"/>
              </w:rPr>
            </w:pPr>
            <w:r>
              <w:rPr>
                <w:rFonts w:ascii="Arial" w:cs="Arial" w:eastAsia="Arial" w:hAnsi="Arial"/>
                <w:sz w:val="18"/>
                <w:szCs w:val="18"/>
                <w:b w:val="1"/>
                <w:bCs w:val="1"/>
                <w:color w:val="auto"/>
              </w:rPr>
              <w:t>Total</w:t>
            </w:r>
          </w:p>
        </w:tc>
      </w:tr>
      <w:tr>
        <w:trPr>
          <w:trHeight w:val="210"/>
        </w:trPr>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SBA-Guaranteed Debentures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13,500</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146,700</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184,200</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Note Obligations</w:t>
            </w:r>
          </w:p>
        </w:tc>
        <w:tc>
          <w:tcPr>
            <w:tcW w:w="1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113,438</w:t>
            </w:r>
          </w:p>
        </w:tc>
        <w:tc>
          <w:tcPr>
            <w:tcW w:w="220" w:type="dxa"/>
            <w:vAlign w:val="bottom"/>
          </w:tcPr>
          <w:p>
            <w:pPr>
              <w:spacing w:after="0"/>
              <w:rPr>
                <w:sz w:val="18"/>
                <w:szCs w:val="18"/>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113,438</w:t>
            </w:r>
          </w:p>
        </w:tc>
      </w:tr>
      <w:tr>
        <w:trPr>
          <w:trHeight w:val="23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51,000</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51,000</w:t>
            </w:r>
          </w:p>
        </w:tc>
      </w:tr>
      <w:tr>
        <w:trPr>
          <w:trHeight w:val="223"/>
        </w:trPr>
        <w:tc>
          <w:tcPr>
            <w:tcW w:w="3500" w:type="dxa"/>
            <w:vAlign w:val="bottom"/>
          </w:tcPr>
          <w:p>
            <w:pPr>
              <w:spacing w:after="0"/>
              <w:rPr>
                <w:sz w:val="20"/>
                <w:szCs w:val="20"/>
                <w:color w:val="auto"/>
              </w:rPr>
            </w:pPr>
            <w:r>
              <w:rPr>
                <w:rFonts w:ascii="Arial" w:cs="Arial" w:eastAsia="Arial" w:hAnsi="Arial"/>
                <w:sz w:val="18"/>
                <w:szCs w:val="18"/>
                <w:color w:val="auto"/>
              </w:rPr>
              <w:t>Total Contractual Obligations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13,500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51,000</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24,000</w:t>
            </w: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260,138</w:t>
            </w: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348,638</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ind w:right="20" w:firstLine="881"/>
        <w:spacing w:after="0" w:line="291" w:lineRule="auto"/>
        <w:rPr>
          <w:sz w:val="20"/>
          <w:szCs w:val="20"/>
          <w:color w:val="auto"/>
        </w:rPr>
      </w:pPr>
      <w:r>
        <w:rPr>
          <w:rFonts w:ascii="Arial" w:cs="Arial" w:eastAsia="Arial" w:hAnsi="Arial"/>
          <w:sz w:val="16"/>
          <w:szCs w:val="16"/>
          <w:color w:val="auto"/>
        </w:rPr>
        <w:t>In order to qualify as a RIC and to avoid corporate-level U.S. federal income tax on the income we distribute to our stockholders, we are required to distribute at least 90% of our net ordinary income and our net short-term capital gains in excess of net long-term capital losses, if any, to our stockholders on an annual basis. Additionally, we must distribute an amount at least equal to the sum of 98% of our net ordinary income (during the calendar year) plus 98.2% of our net capital gain income (during each 12-month period ending on October 31) plus any net ordinary income and capital gain net income for preceding years that were not distributed during such years and on which we paid no U.S. federal income tax to avoid a U.S. federal excise tax. To the extent that we have income available, we intend to make monthly distributions to our stockholders. Our monthly stockholder distributions, if any, will be determined by our Board on a quarterly basis. Any distribution to our stockholders will be declared out of assets legally available for distribution.</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4" w:name="page55"/>
    <w:bookmarkEnd w:id="54"/>
    <w:p>
      <w:pPr>
        <w:ind w:firstLine="881"/>
        <w:spacing w:after="0" w:line="259" w:lineRule="auto"/>
        <w:rPr>
          <w:sz w:val="20"/>
          <w:szCs w:val="20"/>
          <w:color w:val="auto"/>
        </w:rPr>
      </w:pPr>
      <w:r>
        <w:rPr>
          <w:rFonts w:ascii="Arial" w:cs="Arial" w:eastAsia="Arial" w:hAnsi="Arial"/>
          <w:sz w:val="18"/>
          <w:szCs w:val="18"/>
          <w:color w:val="auto"/>
        </w:rPr>
        <w:t>We may not be able to achieve operating results that will allow us to make distributions at a specific level or to increase the amount of our distributions from time to time. In addition, we may be limited in our ability to make distributions due to the asset coverage requirements applicable to us as a BDC under the 1940 Act. If we do not distribute a certain percentage of our income annually, we will suffer adverse tax consequences, including the possible loss of our qualification as a RIC. We cannot assure stockholders that they will receive any distributions.</w:t>
      </w:r>
    </w:p>
    <w:p>
      <w:pPr>
        <w:spacing w:after="0" w:line="187" w:lineRule="exact"/>
        <w:rPr>
          <w:sz w:val="20"/>
          <w:szCs w:val="20"/>
          <w:color w:val="auto"/>
        </w:rPr>
      </w:pPr>
    </w:p>
    <w:p>
      <w:pPr>
        <w:ind w:right="40" w:firstLine="881"/>
        <w:spacing w:after="0" w:line="279" w:lineRule="auto"/>
        <w:rPr>
          <w:sz w:val="20"/>
          <w:szCs w:val="20"/>
          <w:color w:val="auto"/>
        </w:rPr>
      </w:pPr>
      <w:r>
        <w:rPr>
          <w:rFonts w:ascii="Arial" w:cs="Arial" w:eastAsia="Arial" w:hAnsi="Arial"/>
          <w:sz w:val="17"/>
          <w:szCs w:val="17"/>
          <w:color w:val="auto"/>
        </w:rPr>
        <w:t>To the extent our taxable earnings fall below the total amount of our distributions for that fiscal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accompanying any stockholder distribution carefully and should not assume that the source of any distribution is our ordinary income or capital gains.</w:t>
      </w:r>
    </w:p>
    <w:p>
      <w:pPr>
        <w:spacing w:after="0" w:line="171" w:lineRule="exact"/>
        <w:rPr>
          <w:sz w:val="20"/>
          <w:szCs w:val="20"/>
          <w:color w:val="auto"/>
        </w:rPr>
      </w:pPr>
    </w:p>
    <w:p>
      <w:pPr>
        <w:ind w:firstLine="881"/>
        <w:spacing w:after="0" w:line="297" w:lineRule="auto"/>
        <w:rPr>
          <w:sz w:val="20"/>
          <w:szCs w:val="20"/>
          <w:color w:val="auto"/>
        </w:rPr>
      </w:pPr>
      <w:r>
        <w:rPr>
          <w:rFonts w:ascii="Arial" w:cs="Arial" w:eastAsia="Arial" w:hAnsi="Arial"/>
          <w:sz w:val="16"/>
          <w:szCs w:val="16"/>
          <w:color w:val="auto"/>
        </w:rPr>
        <w:t>We have adopted an “opt out” dividend reinvestment plan for our common stockholders. As a result, if we declare a distribution, then stockholders’ cash distributions will be automatically reinvested in additional shares of our common stock unless a stockholder specifically “opts out” of our dividend reinvestment plan. If a stockholder opts out, that stockholder will receive cash distributions. Although distributions paid in the form of additional shares of our common stock will generally be subject to U.S. federal, state and local taxes in the same manner as cash distributions, stockholders participating in our dividend reinvestment plan will not receive any corresponding cash distributions with which to pay any such applicable taxes.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summarizes our distributions declared since the IPO through September 30, 2015:</w:t>
      </w:r>
    </w:p>
    <w:p>
      <w:pPr>
        <w:spacing w:after="0" w:line="221"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4"/>
              </w:rPr>
              <w:t>Amount</w:t>
            </w:r>
          </w:p>
        </w:tc>
      </w:tr>
      <w:tr>
        <w:trPr>
          <w:trHeight w:val="234"/>
        </w:trPr>
        <w:tc>
          <w:tcPr>
            <w:tcW w:w="2560" w:type="dxa"/>
            <w:vAlign w:val="bottom"/>
            <w:gridSpan w:val="3"/>
          </w:tcPr>
          <w:p>
            <w:pPr>
              <w:spacing w:after="0"/>
              <w:rPr>
                <w:sz w:val="20"/>
                <w:szCs w:val="20"/>
                <w:color w:val="auto"/>
              </w:rPr>
            </w:pPr>
            <w:r>
              <w:rPr>
                <w:rFonts w:ascii="Arial" w:cs="Arial" w:eastAsia="Arial" w:hAnsi="Arial"/>
                <w:sz w:val="18"/>
                <w:szCs w:val="18"/>
                <w:b w:val="1"/>
                <w:bCs w:val="1"/>
                <w:color w:val="auto"/>
              </w:rPr>
              <w:t>Date Declared</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Record Date</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Payment Date</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0"/>
              </w:rPr>
              <w:t>Per Share</w:t>
            </w:r>
          </w:p>
        </w:tc>
      </w:tr>
      <w:tr>
        <w:trPr>
          <w:trHeight w:val="210"/>
        </w:trPr>
        <w:tc>
          <w:tcPr>
            <w:tcW w:w="20" w:type="dxa"/>
            <w:vAlign w:val="bottom"/>
          </w:tcPr>
          <w:p>
            <w:pPr>
              <w:spacing w:after="0"/>
              <w:rPr>
                <w:sz w:val="18"/>
                <w:szCs w:val="18"/>
                <w:color w:val="auto"/>
              </w:rPr>
            </w:pPr>
          </w:p>
        </w:tc>
        <w:tc>
          <w:tcPr>
            <w:tcW w:w="2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July 1, 2015</w:t>
            </w:r>
          </w:p>
        </w:tc>
        <w:tc>
          <w:tcPr>
            <w:tcW w:w="120" w:type="dxa"/>
            <w:vAlign w:val="bottom"/>
            <w:tcBorders>
              <w:top w:val="single" w:sz="8" w:color="CCEEFF"/>
            </w:tcBorders>
            <w:shd w:val="clear" w:color="auto" w:fill="CCEEFF"/>
          </w:tcPr>
          <w:p>
            <w:pPr>
              <w:spacing w:after="0"/>
              <w:rPr>
                <w:sz w:val="18"/>
                <w:szCs w:val="18"/>
                <w:color w:val="auto"/>
              </w:rPr>
            </w:pPr>
          </w:p>
        </w:tc>
        <w:tc>
          <w:tcPr>
            <w:tcW w:w="2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September 23, 2015</w:t>
            </w:r>
          </w:p>
        </w:tc>
        <w:tc>
          <w:tcPr>
            <w:tcW w:w="100" w:type="dxa"/>
            <w:vAlign w:val="bottom"/>
            <w:tcBorders>
              <w:top w:val="single" w:sz="8" w:color="CCEEFF"/>
            </w:tcBorders>
            <w:shd w:val="clear" w:color="auto" w:fill="CCEEFF"/>
          </w:tcPr>
          <w:p>
            <w:pPr>
              <w:spacing w:after="0"/>
              <w:rPr>
                <w:sz w:val="18"/>
                <w:szCs w:val="18"/>
                <w:color w:val="auto"/>
              </w:rPr>
            </w:pPr>
          </w:p>
        </w:tc>
        <w:tc>
          <w:tcPr>
            <w:tcW w:w="2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September 29, 2015</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0"/>
                <w:szCs w:val="10"/>
                <w:color w:val="auto"/>
                <w:w w:val="71"/>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0.1567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July 1, 2015</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August 21, 2015</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August 28, 2015</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0.1567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2015</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July 23, 2015</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July 30, 2015</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0.1567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April 1, 2015</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June 22, 2015</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June 29, 2015</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0.1567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 2015</w:t>
            </w:r>
          </w:p>
        </w:tc>
        <w:tc>
          <w:tcPr>
            <w:tcW w:w="24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May 21, 2015</w:t>
            </w:r>
          </w:p>
        </w:tc>
        <w:tc>
          <w:tcPr>
            <w:tcW w:w="24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May 28, 2015</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0.1567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April 1, 2015</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April 23, 2015</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April 29, 2015</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0.1567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26, 2015</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December 22, 2015</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December 30, 2015</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February 26, 2015</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November 20, 2015</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November 27, 2015</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0.05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26, 2015</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October 23, 2015</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October 29, 2015</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February 26, 2015</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September 23, 2015</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September 29, 2015</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0.05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26, 2015</w:t>
            </w:r>
          </w:p>
        </w:tc>
        <w:tc>
          <w:tcPr>
            <w:tcW w:w="24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August 21, 2015</w:t>
            </w:r>
          </w:p>
        </w:tc>
        <w:tc>
          <w:tcPr>
            <w:tcW w:w="24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August 28, 2015</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February 26, 2015</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July 23, 2015</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July 30, 2015</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0.05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26, 2015</w:t>
            </w:r>
          </w:p>
        </w:tc>
        <w:tc>
          <w:tcPr>
            <w:tcW w:w="24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June 22, 2015</w:t>
            </w:r>
          </w:p>
        </w:tc>
        <w:tc>
          <w:tcPr>
            <w:tcW w:w="24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June 29, 2015</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February 26, 2015</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May 21, 2015</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May 28, 2015</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0.05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26, 2015</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April 23, 2015</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April 29, 2015</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February 26, 2015</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March 23, 2015</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March 30, 2015</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0.05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 2015</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March 23, 2015</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March 30, 2015</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0.1567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January 2, 2015</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February 20, 2015</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February 26, 2015</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0.1567</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 2015</w:t>
            </w:r>
          </w:p>
        </w:tc>
        <w:tc>
          <w:tcPr>
            <w:tcW w:w="24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January 22, 2015</w:t>
            </w:r>
          </w:p>
        </w:tc>
        <w:tc>
          <w:tcPr>
            <w:tcW w:w="24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January 29, 2015</w:t>
            </w:r>
          </w:p>
        </w:tc>
        <w:tc>
          <w:tcPr>
            <w:tcW w:w="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0.1567</w:t>
            </w:r>
          </w:p>
        </w:tc>
        <w:tc>
          <w:tcPr>
            <w:tcW w:w="8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Total Distributions Declared</w:t>
            </w: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270"/>
              <w:spacing w:after="0"/>
              <w:rPr>
                <w:sz w:val="20"/>
                <w:szCs w:val="20"/>
                <w:color w:val="auto"/>
              </w:rPr>
            </w:pPr>
            <w:r>
              <w:rPr>
                <w:rFonts w:ascii="Arial" w:cs="Arial" w:eastAsia="Arial" w:hAnsi="Arial"/>
                <w:sz w:val="10"/>
                <w:szCs w:val="10"/>
                <w:color w:val="auto"/>
                <w:w w:val="71"/>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4"/>
              </w:rPr>
              <w:t>Amount</w:t>
            </w:r>
          </w:p>
        </w:tc>
      </w:tr>
      <w:tr>
        <w:trPr>
          <w:trHeight w:val="234"/>
        </w:trPr>
        <w:tc>
          <w:tcPr>
            <w:tcW w:w="2560" w:type="dxa"/>
            <w:vAlign w:val="bottom"/>
            <w:gridSpan w:val="3"/>
          </w:tcPr>
          <w:p>
            <w:pPr>
              <w:spacing w:after="0"/>
              <w:rPr>
                <w:sz w:val="20"/>
                <w:szCs w:val="20"/>
                <w:color w:val="auto"/>
              </w:rPr>
            </w:pPr>
            <w:r>
              <w:rPr>
                <w:rFonts w:ascii="Arial" w:cs="Arial" w:eastAsia="Arial" w:hAnsi="Arial"/>
                <w:sz w:val="18"/>
                <w:szCs w:val="18"/>
                <w:b w:val="1"/>
                <w:bCs w:val="1"/>
                <w:color w:val="auto"/>
              </w:rPr>
              <w:t>Date Declared</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Record Date</w:t>
            </w:r>
          </w:p>
        </w:tc>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90"/>
              </w:rPr>
              <w:t>Payment Date</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0"/>
              </w:rPr>
              <w:t>Per Share</w:t>
            </w:r>
          </w:p>
        </w:tc>
      </w:tr>
      <w:tr>
        <w:trPr>
          <w:trHeight w:val="210"/>
        </w:trPr>
        <w:tc>
          <w:tcPr>
            <w:tcW w:w="20" w:type="dxa"/>
            <w:vAlign w:val="bottom"/>
          </w:tcPr>
          <w:p>
            <w:pPr>
              <w:spacing w:after="0"/>
              <w:rPr>
                <w:sz w:val="18"/>
                <w:szCs w:val="18"/>
                <w:color w:val="auto"/>
              </w:rPr>
            </w:pPr>
          </w:p>
        </w:tc>
        <w:tc>
          <w:tcPr>
            <w:tcW w:w="2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October 2, 2014</w:t>
            </w:r>
          </w:p>
        </w:tc>
        <w:tc>
          <w:tcPr>
            <w:tcW w:w="120" w:type="dxa"/>
            <w:vAlign w:val="bottom"/>
            <w:tcBorders>
              <w:top w:val="single" w:sz="8" w:color="CCEEFF"/>
            </w:tcBorders>
            <w:shd w:val="clear" w:color="auto" w:fill="CCEEFF"/>
          </w:tcPr>
          <w:p>
            <w:pPr>
              <w:spacing w:after="0"/>
              <w:rPr>
                <w:sz w:val="18"/>
                <w:szCs w:val="18"/>
                <w:color w:val="auto"/>
              </w:rPr>
            </w:pPr>
          </w:p>
        </w:tc>
        <w:tc>
          <w:tcPr>
            <w:tcW w:w="2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December 19, 2014</w:t>
            </w:r>
          </w:p>
        </w:tc>
        <w:tc>
          <w:tcPr>
            <w:tcW w:w="100" w:type="dxa"/>
            <w:vAlign w:val="bottom"/>
            <w:tcBorders>
              <w:top w:val="single" w:sz="8" w:color="CCEEFF"/>
            </w:tcBorders>
            <w:shd w:val="clear" w:color="auto" w:fill="CCEEFF"/>
          </w:tcPr>
          <w:p>
            <w:pPr>
              <w:spacing w:after="0"/>
              <w:rPr>
                <w:sz w:val="18"/>
                <w:szCs w:val="18"/>
                <w:color w:val="auto"/>
              </w:rPr>
            </w:pPr>
          </w:p>
        </w:tc>
        <w:tc>
          <w:tcPr>
            <w:tcW w:w="2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December 30, 2014</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0.1567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October 2, 2014</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November 21, 2014</w:t>
            </w:r>
          </w:p>
        </w:tc>
        <w:tc>
          <w:tcPr>
            <w:tcW w:w="2320" w:type="dxa"/>
            <w:vAlign w:val="bottom"/>
          </w:tcPr>
          <w:p>
            <w:pPr>
              <w:jc w:val="center"/>
              <w:spacing w:after="0"/>
              <w:rPr>
                <w:sz w:val="20"/>
                <w:szCs w:val="20"/>
                <w:color w:val="auto"/>
              </w:rPr>
            </w:pPr>
            <w:r>
              <w:rPr>
                <w:rFonts w:ascii="Arial" w:cs="Arial" w:eastAsia="Arial" w:hAnsi="Arial"/>
                <w:sz w:val="18"/>
                <w:szCs w:val="18"/>
                <w:color w:val="auto"/>
                <w:w w:val="91"/>
              </w:rPr>
              <w:t>November 28, 2014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0.1567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 2014</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October 22, 2014</w:t>
            </w: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October 30, 2014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0.1567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August 7, 2014</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September 12, 2014</w:t>
            </w:r>
          </w:p>
        </w:tc>
        <w:tc>
          <w:tcPr>
            <w:tcW w:w="2320" w:type="dxa"/>
            <w:vAlign w:val="bottom"/>
          </w:tcPr>
          <w:p>
            <w:pPr>
              <w:jc w:val="center"/>
              <w:spacing w:after="0"/>
              <w:rPr>
                <w:sz w:val="20"/>
                <w:szCs w:val="20"/>
                <w:color w:val="auto"/>
              </w:rPr>
            </w:pPr>
            <w:r>
              <w:rPr>
                <w:rFonts w:ascii="Arial" w:cs="Arial" w:eastAsia="Arial" w:hAnsi="Arial"/>
                <w:sz w:val="18"/>
                <w:szCs w:val="18"/>
                <w:color w:val="auto"/>
                <w:w w:val="88"/>
              </w:rPr>
              <w:t>September 26, 2014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0.47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8, 2014</w:t>
            </w:r>
          </w:p>
        </w:tc>
        <w:tc>
          <w:tcPr>
            <w:tcW w:w="24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June 9, 2014</w:t>
            </w: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26, 2014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25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February 27, 2014</w:t>
            </w:r>
          </w:p>
        </w:tc>
        <w:tc>
          <w:tcPr>
            <w:tcW w:w="242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91"/>
              </w:rPr>
              <w:t>March 14, 2014</w:t>
            </w:r>
          </w:p>
        </w:tc>
        <w:tc>
          <w:tcPr>
            <w:tcW w:w="23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1"/>
              </w:rPr>
              <w:t>March 26, 2014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80" w:type="dxa"/>
            <w:vAlign w:val="bottom"/>
            <w:tcBorders>
              <w:bottom w:val="single" w:sz="8" w:color="CCEEFF"/>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4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Total Distributions Declared</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4"/>
              </w:rPr>
              <w:t>Amount</w:t>
            </w:r>
          </w:p>
        </w:tc>
      </w:tr>
      <w:tr>
        <w:trPr>
          <w:trHeight w:val="234"/>
        </w:trPr>
        <w:tc>
          <w:tcPr>
            <w:tcW w:w="2560" w:type="dxa"/>
            <w:vAlign w:val="bottom"/>
            <w:gridSpan w:val="3"/>
          </w:tcPr>
          <w:p>
            <w:pPr>
              <w:spacing w:after="0"/>
              <w:rPr>
                <w:sz w:val="20"/>
                <w:szCs w:val="20"/>
                <w:color w:val="auto"/>
              </w:rPr>
            </w:pPr>
            <w:r>
              <w:rPr>
                <w:rFonts w:ascii="Arial" w:cs="Arial" w:eastAsia="Arial" w:hAnsi="Arial"/>
                <w:sz w:val="18"/>
                <w:szCs w:val="18"/>
                <w:b w:val="1"/>
                <w:bCs w:val="1"/>
                <w:color w:val="auto"/>
              </w:rPr>
              <w:t>Date Declared</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Record Date</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Payment Date</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0"/>
              </w:rPr>
              <w:t>Per Share</w:t>
            </w:r>
          </w:p>
        </w:tc>
      </w:tr>
      <w:tr>
        <w:trPr>
          <w:trHeight w:val="223"/>
        </w:trPr>
        <w:tc>
          <w:tcPr>
            <w:tcW w:w="20" w:type="dxa"/>
            <w:vAlign w:val="bottom"/>
          </w:tcPr>
          <w:p>
            <w:pPr>
              <w:spacing w:after="0"/>
              <w:rPr>
                <w:sz w:val="19"/>
                <w:szCs w:val="19"/>
                <w:color w:val="auto"/>
              </w:rPr>
            </w:pPr>
          </w:p>
        </w:tc>
        <w:tc>
          <w:tcPr>
            <w:tcW w:w="2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November 11, 2013</w:t>
            </w:r>
          </w:p>
        </w:tc>
        <w:tc>
          <w:tcPr>
            <w:tcW w:w="120" w:type="dxa"/>
            <w:vAlign w:val="bottom"/>
            <w:tcBorders>
              <w:top w:val="single" w:sz="8" w:color="CCEEFF"/>
            </w:tcBorders>
            <w:shd w:val="clear" w:color="auto" w:fill="CCEEFF"/>
          </w:tcPr>
          <w:p>
            <w:pPr>
              <w:spacing w:after="0"/>
              <w:rPr>
                <w:sz w:val="19"/>
                <w:szCs w:val="19"/>
                <w:color w:val="auto"/>
              </w:rPr>
            </w:pPr>
          </w:p>
        </w:tc>
        <w:tc>
          <w:tcPr>
            <w:tcW w:w="2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December 10, 2013</w:t>
            </w:r>
          </w:p>
        </w:tc>
        <w:tc>
          <w:tcPr>
            <w:tcW w:w="100" w:type="dxa"/>
            <w:vAlign w:val="bottom"/>
            <w:tcBorders>
              <w:top w:val="single" w:sz="8" w:color="CCEEFF"/>
            </w:tcBorders>
            <w:shd w:val="clear" w:color="auto" w:fill="CCEEFF"/>
          </w:tcPr>
          <w:p>
            <w:pPr>
              <w:spacing w:after="0"/>
              <w:rPr>
                <w:sz w:val="19"/>
                <w:szCs w:val="19"/>
                <w:color w:val="auto"/>
              </w:rPr>
            </w:pPr>
          </w:p>
        </w:tc>
        <w:tc>
          <w:tcPr>
            <w:tcW w:w="2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December 30, 2013</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0"/>
                <w:szCs w:val="10"/>
                <w:color w:val="auto"/>
                <w:w w:val="71"/>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80" w:type="dxa"/>
            <w:vAlign w:val="bottom"/>
            <w:tcBorders>
              <w:top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Total Distributions Declared</w:t>
            </w: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270"/>
              <w:spacing w:after="0"/>
              <w:rPr>
                <w:sz w:val="20"/>
                <w:szCs w:val="20"/>
                <w:color w:val="auto"/>
              </w:rPr>
            </w:pPr>
            <w:r>
              <w:rPr>
                <w:rFonts w:ascii="Arial" w:cs="Arial" w:eastAsia="Arial" w:hAnsi="Arial"/>
                <w:sz w:val="10"/>
                <w:szCs w:val="10"/>
                <w:color w:val="auto"/>
                <w:w w:val="71"/>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Related Parties</w:t>
      </w:r>
    </w:p>
    <w:p>
      <w:pPr>
        <w:spacing w:after="0" w:line="229" w:lineRule="exact"/>
        <w:rPr>
          <w:sz w:val="20"/>
          <w:szCs w:val="20"/>
          <w:color w:val="auto"/>
        </w:rPr>
      </w:pPr>
    </w:p>
    <w:p>
      <w:pPr>
        <w:ind w:right="40" w:firstLine="881"/>
        <w:spacing w:after="0" w:line="264" w:lineRule="auto"/>
        <w:rPr>
          <w:sz w:val="20"/>
          <w:szCs w:val="20"/>
          <w:color w:val="auto"/>
        </w:rPr>
      </w:pPr>
      <w:r>
        <w:rPr>
          <w:rFonts w:ascii="Arial" w:cs="Arial" w:eastAsia="Arial" w:hAnsi="Arial"/>
          <w:sz w:val="18"/>
          <w:szCs w:val="18"/>
          <w:color w:val="auto"/>
        </w:rPr>
        <w:t>We have entered into the Investment Advisory Agreement with Capitala Investment Advisors. Mr. Alala, our chief executive officer, president and chairman of our Board of Directors, is the managing partner and chief investment officer of Capitala Investment Advisors, and Mr. Broyhill, a member of our Board of Directors, has an indirect controlling interest in Capitala Investment Advisors.</w:t>
      </w:r>
    </w:p>
    <w:p>
      <w:pPr>
        <w:spacing w:after="0" w:line="181" w:lineRule="exact"/>
        <w:rPr>
          <w:sz w:val="20"/>
          <w:szCs w:val="20"/>
          <w:color w:val="auto"/>
        </w:rPr>
      </w:pPr>
    </w:p>
    <w:p>
      <w:pPr>
        <w:ind w:right="20" w:firstLine="881"/>
        <w:spacing w:after="0" w:line="269" w:lineRule="auto"/>
        <w:rPr>
          <w:sz w:val="20"/>
          <w:szCs w:val="20"/>
          <w:color w:val="auto"/>
        </w:rPr>
      </w:pPr>
      <w:r>
        <w:rPr>
          <w:rFonts w:ascii="Arial" w:cs="Arial" w:eastAsia="Arial" w:hAnsi="Arial"/>
          <w:sz w:val="17"/>
          <w:szCs w:val="17"/>
          <w:color w:val="auto"/>
        </w:rPr>
        <w:t>In addition, Capitala Investment Advisors’ investment team manages CapitalSouth Partners SBIC Fund IV, L.P. (“Fund IV”), a private investment limited partnership providing financing solutions to companies that generate between $5 million and $50 million in annual revenues and have between $1 million and $5 million in annual earnings before interest, taxes, depreciation and amortization. Fund IV had its first closing in March 2013 and obtained approval for its Small Business Investment Company license from the U.S. Small Business Administration in April 2013. In addition to Fund IV, affiliates of Capitala Investment Advisors manage several other affiliated funds. Capitala Investment Advisors and its affiliates may determine that an investment is appropriate for us and for one or more of those other funds. In such event, depending on the availability of such investment and other appropriate factors, Capitala Investment Advisors or its affiliates may determine that we should invest side-by-side with one or more other funds. Any such investments will be made only to the extent permitted by applicable law and interpretive positions of the SEC and its staff, and consistent with Capitala Investment Advisors’ allocation procedures. We will not co-invest in transactions with other entities affiliated with Capitala Investment Advisors unless we obtain an exemptive order from the SEC or do so in accordance with existing regulatory guidance. We do not expect to make co-investments, or otherwise compete for investment opportunities, with Fund IV because its focus and investment strategy differ from our own.</w:t>
      </w:r>
    </w:p>
    <w:p>
      <w:pPr>
        <w:spacing w:after="0" w:line="183" w:lineRule="exact"/>
        <w:rPr>
          <w:sz w:val="20"/>
          <w:szCs w:val="20"/>
          <w:color w:val="auto"/>
        </w:rPr>
      </w:pPr>
    </w:p>
    <w:p>
      <w:pPr>
        <w:ind w:right="20" w:firstLine="881"/>
        <w:spacing w:after="0" w:line="277" w:lineRule="auto"/>
        <w:rPr>
          <w:sz w:val="20"/>
          <w:szCs w:val="20"/>
          <w:color w:val="auto"/>
        </w:rPr>
      </w:pPr>
      <w:r>
        <w:rPr>
          <w:rFonts w:ascii="Arial" w:cs="Arial" w:eastAsia="Arial" w:hAnsi="Arial"/>
          <w:sz w:val="18"/>
          <w:szCs w:val="18"/>
          <w:color w:val="auto"/>
        </w:rPr>
        <w:t>We have entered into a license agreement with Capitala Investment Advisors, pursuant to which Capitala Investment Advisors has agreed to grant us a non-exclusive, royalty-free license to use the name “Capitala.”</w:t>
      </w:r>
    </w:p>
    <w:p>
      <w:pPr>
        <w:spacing w:after="0" w:line="170" w:lineRule="exact"/>
        <w:rPr>
          <w:sz w:val="20"/>
          <w:szCs w:val="20"/>
          <w:color w:val="auto"/>
        </w:rPr>
      </w:pPr>
    </w:p>
    <w:p>
      <w:pPr>
        <w:ind w:right="80" w:firstLine="881"/>
        <w:spacing w:after="0" w:line="286" w:lineRule="auto"/>
        <w:rPr>
          <w:sz w:val="20"/>
          <w:szCs w:val="20"/>
          <w:color w:val="auto"/>
        </w:rPr>
      </w:pPr>
      <w:r>
        <w:rPr>
          <w:rFonts w:ascii="Arial" w:cs="Arial" w:eastAsia="Arial" w:hAnsi="Arial"/>
          <w:sz w:val="17"/>
          <w:szCs w:val="17"/>
          <w:color w:val="auto"/>
        </w:rPr>
        <w:t>We have entered into the Administration Agreement with our Administrator. Pursuant to the terms of the Administration Agreement, our Administrator provides us with the office facilities and administrative services necessary to conduct our day-to-day operations. Mr. Alala, our chief executive officer, president and chairman of our Board of Directors, is the chief executive officer, president and a director of our Administrator.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firstLine="881"/>
        <w:spacing w:after="0" w:line="277" w:lineRule="auto"/>
        <w:rPr>
          <w:sz w:val="20"/>
          <w:szCs w:val="20"/>
          <w:color w:val="auto"/>
        </w:rPr>
      </w:pPr>
      <w:r>
        <w:rPr>
          <w:rFonts w:ascii="Arial" w:cs="Arial" w:eastAsia="Arial" w:hAnsi="Arial"/>
          <w:sz w:val="18"/>
          <w:szCs w:val="18"/>
          <w:color w:val="auto"/>
        </w:rPr>
        <w:t>We have no off-balance sheet arrangements that have or are reasonably likely to have a current or future effect on our financial condition, changes in financial condition, revenues or expenses, results of operations, liquidity, capital expenditures or capital resources.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right="80" w:firstLine="881"/>
        <w:spacing w:after="0" w:line="277" w:lineRule="auto"/>
        <w:rPr>
          <w:sz w:val="20"/>
          <w:szCs w:val="20"/>
          <w:color w:val="auto"/>
        </w:rPr>
      </w:pPr>
      <w:r>
        <w:rPr>
          <w:rFonts w:ascii="Arial" w:cs="Arial" w:eastAsia="Arial" w:hAnsi="Arial"/>
          <w:sz w:val="18"/>
          <w:szCs w:val="18"/>
          <w:color w:val="auto"/>
        </w:rPr>
        <w:t>On October 1, 2015, the Company’s Board of Directors declared normal monthly distributions for October, November, and December of 2015 as set forth below:</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Date Declared</w:t>
            </w:r>
          </w:p>
        </w:tc>
        <w:tc>
          <w:tcPr>
            <w:tcW w:w="2580" w:type="dxa"/>
            <w:vAlign w:val="bottom"/>
            <w:gridSpan w:val="2"/>
          </w:tcPr>
          <w:p>
            <w:pPr>
              <w:ind w:left="740"/>
              <w:spacing w:after="0"/>
              <w:rPr>
                <w:sz w:val="20"/>
                <w:szCs w:val="20"/>
                <w:color w:val="auto"/>
              </w:rPr>
            </w:pPr>
            <w:r>
              <w:rPr>
                <w:rFonts w:ascii="Arial" w:cs="Arial" w:eastAsia="Arial" w:hAnsi="Arial"/>
                <w:sz w:val="18"/>
                <w:szCs w:val="18"/>
                <w:b w:val="1"/>
                <w:bCs w:val="1"/>
                <w:color w:val="auto"/>
              </w:rPr>
              <w:t>Record Date</w:t>
            </w:r>
          </w:p>
        </w:tc>
        <w:tc>
          <w:tcPr>
            <w:tcW w:w="2460" w:type="dxa"/>
            <w:vAlign w:val="bottom"/>
          </w:tcPr>
          <w:p>
            <w:pPr>
              <w:ind w:left="680"/>
              <w:spacing w:after="0"/>
              <w:rPr>
                <w:sz w:val="20"/>
                <w:szCs w:val="20"/>
                <w:color w:val="auto"/>
              </w:rPr>
            </w:pPr>
            <w:r>
              <w:rPr>
                <w:rFonts w:ascii="Arial" w:cs="Arial" w:eastAsia="Arial" w:hAnsi="Arial"/>
                <w:sz w:val="18"/>
                <w:szCs w:val="18"/>
                <w:b w:val="1"/>
                <w:bCs w:val="1"/>
                <w:color w:val="auto"/>
              </w:rPr>
              <w:t>Payment Date</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gridSpan w:val="2"/>
          </w:tcPr>
          <w:p>
            <w:pPr>
              <w:ind w:left="100"/>
              <w:spacing w:after="0"/>
              <w:rPr>
                <w:sz w:val="20"/>
                <w:szCs w:val="20"/>
                <w:color w:val="auto"/>
              </w:rPr>
            </w:pPr>
            <w:r>
              <w:rPr>
                <w:rFonts w:ascii="Arial" w:cs="Arial" w:eastAsia="Arial" w:hAnsi="Arial"/>
                <w:sz w:val="18"/>
                <w:szCs w:val="18"/>
                <w:b w:val="1"/>
                <w:bCs w:val="1"/>
                <w:color w:val="auto"/>
              </w:rPr>
              <w:t>Distributions per Share</w:t>
            </w:r>
          </w:p>
        </w:tc>
      </w:tr>
      <w:tr>
        <w:trPr>
          <w:trHeight w:val="210"/>
        </w:trPr>
        <w:tc>
          <w:tcPr>
            <w:tcW w:w="2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October 1, 2015</w:t>
            </w:r>
          </w:p>
        </w:tc>
        <w:tc>
          <w:tcPr>
            <w:tcW w:w="12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October 23, 2015</w:t>
            </w:r>
          </w:p>
        </w:tc>
        <w:tc>
          <w:tcPr>
            <w:tcW w:w="12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October 29, 2015</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October 1, 2015</w:t>
            </w:r>
          </w:p>
        </w:tc>
        <w:tc>
          <w:tcPr>
            <w:tcW w:w="258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November 20, 2015</w:t>
            </w:r>
          </w:p>
        </w:tc>
        <w:tc>
          <w:tcPr>
            <w:tcW w:w="2460" w:type="dxa"/>
            <w:vAlign w:val="bottom"/>
          </w:tcPr>
          <w:p>
            <w:pPr>
              <w:jc w:val="center"/>
              <w:spacing w:after="0"/>
              <w:rPr>
                <w:sz w:val="20"/>
                <w:szCs w:val="20"/>
                <w:color w:val="auto"/>
              </w:rPr>
            </w:pPr>
            <w:r>
              <w:rPr>
                <w:rFonts w:ascii="Arial" w:cs="Arial" w:eastAsia="Arial" w:hAnsi="Arial"/>
                <w:sz w:val="18"/>
                <w:szCs w:val="18"/>
                <w:color w:val="auto"/>
                <w:w w:val="91"/>
              </w:rPr>
              <w:t>November 27, 2015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180" w:type="dxa"/>
            <w:vAlign w:val="bottom"/>
          </w:tcPr>
          <w:p>
            <w:pPr>
              <w:jc w:val="right"/>
              <w:spacing w:after="0"/>
              <w:rPr>
                <w:sz w:val="20"/>
                <w:szCs w:val="20"/>
                <w:color w:val="auto"/>
              </w:rPr>
            </w:pPr>
            <w:r>
              <w:rPr>
                <w:rFonts w:ascii="Arial" w:cs="Arial" w:eastAsia="Arial" w:hAnsi="Arial"/>
                <w:sz w:val="18"/>
                <w:szCs w:val="18"/>
                <w:color w:val="auto"/>
              </w:rPr>
              <w:t>0.1567</w:t>
            </w:r>
          </w:p>
        </w:tc>
        <w:tc>
          <w:tcPr>
            <w:tcW w:w="100" w:type="dxa"/>
            <w:vAlign w:val="bottom"/>
          </w:tcPr>
          <w:p>
            <w:pPr>
              <w:spacing w:after="0"/>
              <w:rPr>
                <w:sz w:val="18"/>
                <w:szCs w:val="18"/>
                <w:color w:val="auto"/>
              </w:rPr>
            </w:pPr>
          </w:p>
        </w:tc>
      </w:tr>
      <w:tr>
        <w:trPr>
          <w:trHeight w:val="216"/>
        </w:trPr>
        <w:tc>
          <w:tcPr>
            <w:tcW w:w="2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October 1, 2015</w:t>
            </w:r>
          </w:p>
        </w:tc>
        <w:tc>
          <w:tcPr>
            <w:tcW w:w="258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89"/>
              </w:rPr>
              <w:t>December 22, 2015</w:t>
            </w:r>
          </w:p>
        </w:tc>
        <w:tc>
          <w:tcPr>
            <w:tcW w:w="2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December 30, 2015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0.1567</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Activity</w:t>
      </w:r>
    </w:p>
    <w:p>
      <w:pPr>
        <w:spacing w:after="0" w:line="225" w:lineRule="exact"/>
        <w:rPr>
          <w:sz w:val="20"/>
          <w:szCs w:val="20"/>
          <w:color w:val="auto"/>
        </w:rPr>
      </w:pPr>
    </w:p>
    <w:p>
      <w:pPr>
        <w:ind w:right="300" w:firstLine="926"/>
        <w:spacing w:after="0" w:line="277" w:lineRule="auto"/>
        <w:rPr>
          <w:sz w:val="20"/>
          <w:szCs w:val="20"/>
          <w:color w:val="auto"/>
        </w:rPr>
      </w:pPr>
      <w:r>
        <w:rPr>
          <w:rFonts w:ascii="Arial" w:cs="Arial" w:eastAsia="Arial" w:hAnsi="Arial"/>
          <w:sz w:val="18"/>
          <w:szCs w:val="18"/>
          <w:color w:val="auto"/>
        </w:rPr>
        <w:t>On October 22, 2015, the Company sold $13.0 million of its Western Window Systems, LLC senior secured term debt investment as part of a post-closing syndication.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We are subject to financial market risks, including changes in interest rates. Changes in interest rates may affect both our cost of funding and our interest income from portfolio investments and cash and cash equivalents. We may hedge against interest rate fluctuations by using standard hedging instruments such as futures, options and forward contracts subject to the requirements of the 1940 Act. For the nine months ended September 30, 2015, we did not engage in hedging activities.</w:t>
      </w:r>
    </w:p>
    <w:p>
      <w:pPr>
        <w:spacing w:after="0" w:line="18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As of September 30, 2015, the Company had $130.8 million in variable rate investments, representing approximately 27.5% of the fair market value of total interest earning debt investments. All variable rate securities are London Interbank Offered Rate (“LIBOR”) based and are subject to interest rate floors. As of September 30, 2015, all variable rate securities were yielding interest at a rate equal to the established interest rate floor. As of September 30, 2015, the Company had $51.0 million outstanding on its revolving credit facility which has a variable rate of interest at LIBOR + 300. As of September 30, 2015, all of our other interest paying liabilities, consisting of $184.2 million in SBA-guaranteed debentures and $113.4 million in notes payable, were bearing interest at a fixed rate.</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6" w:name="page57"/>
    <w:bookmarkEnd w:id="56"/>
    <w:p>
      <w:pPr>
        <w:ind w:firstLine="484"/>
        <w:spacing w:after="0" w:line="312" w:lineRule="auto"/>
        <w:rPr>
          <w:sz w:val="20"/>
          <w:szCs w:val="20"/>
          <w:color w:val="auto"/>
        </w:rPr>
      </w:pPr>
      <w:r>
        <w:rPr>
          <w:rFonts w:ascii="Arial" w:cs="Arial" w:eastAsia="Arial" w:hAnsi="Arial"/>
          <w:sz w:val="16"/>
          <w:szCs w:val="16"/>
          <w:color w:val="auto"/>
        </w:rPr>
        <w:t>Interest rate sensitivity refers to the change in earnings that may result from changes in the level of interest rates. Because we fund a portion of our investments with borrowings, our net investment income is affected by the difference between the rate at which we invest and the rate at which we borrow. As a result, there can be no assurance that a significant change in market interest rates will not have a material adverse effect on our net investment income.</w:t>
      </w:r>
    </w:p>
    <w:p>
      <w:pPr>
        <w:spacing w:after="0" w:line="147" w:lineRule="exact"/>
        <w:rPr>
          <w:sz w:val="20"/>
          <w:szCs w:val="20"/>
          <w:color w:val="auto"/>
        </w:rPr>
      </w:pPr>
    </w:p>
    <w:p>
      <w:pPr>
        <w:ind w:right="660" w:firstLine="484"/>
        <w:spacing w:after="0" w:line="264" w:lineRule="auto"/>
        <w:rPr>
          <w:sz w:val="20"/>
          <w:szCs w:val="20"/>
          <w:color w:val="auto"/>
        </w:rPr>
      </w:pPr>
      <w:r>
        <w:rPr>
          <w:rFonts w:ascii="Arial" w:cs="Arial" w:eastAsia="Arial" w:hAnsi="Arial"/>
          <w:sz w:val="18"/>
          <w:szCs w:val="18"/>
          <w:color w:val="auto"/>
        </w:rPr>
        <w:t>Based on our September 30, 2015 consolidated statement of assets and liabilities, the following table shows the annual impact on net income (excluding the potential related incentive fee impact) of base rate changes in interest rates (considering interest rate floors for variable rate securities) assuming no changes in our investment and borrowing structure (dollars in thousands):</w:t>
      </w:r>
    </w:p>
    <w:p>
      <w:pPr>
        <w:spacing w:after="0" w:line="17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70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Increase/(Decrease)</w:t>
            </w:r>
          </w:p>
        </w:tc>
        <w:tc>
          <w:tcPr>
            <w:tcW w:w="16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0"/>
              </w:rPr>
              <w:t>(Increase)/Decrease</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87"/>
              </w:rPr>
              <w:t>Basis Point Change</w:t>
            </w:r>
          </w:p>
        </w:tc>
        <w:tc>
          <w:tcPr>
            <w:tcW w:w="80" w:type="dxa"/>
            <w:vAlign w:val="bottom"/>
          </w:tcPr>
          <w:p>
            <w:pPr>
              <w:spacing w:after="0"/>
              <w:rPr>
                <w:sz w:val="20"/>
                <w:szCs w:val="20"/>
                <w:color w:val="auto"/>
              </w:rPr>
            </w:pPr>
          </w:p>
        </w:tc>
        <w:tc>
          <w:tcPr>
            <w:tcW w:w="1620" w:type="dxa"/>
            <w:vAlign w:val="bottom"/>
            <w:gridSpan w:val="3"/>
          </w:tcPr>
          <w:p>
            <w:pPr>
              <w:ind w:left="40"/>
              <w:spacing w:after="0"/>
              <w:rPr>
                <w:sz w:val="20"/>
                <w:szCs w:val="20"/>
                <w:color w:val="auto"/>
              </w:rPr>
            </w:pPr>
            <w:r>
              <w:rPr>
                <w:rFonts w:ascii="Arial" w:cs="Arial" w:eastAsia="Arial" w:hAnsi="Arial"/>
                <w:sz w:val="18"/>
                <w:szCs w:val="18"/>
                <w:b w:val="1"/>
                <w:bCs w:val="1"/>
                <w:color w:val="auto"/>
              </w:rPr>
              <w:t>in Interest Income</w:t>
            </w:r>
          </w:p>
        </w:tc>
        <w:tc>
          <w:tcPr>
            <w:tcW w:w="80" w:type="dxa"/>
            <w:vAlign w:val="bottom"/>
          </w:tcPr>
          <w:p>
            <w:pPr>
              <w:spacing w:after="0"/>
              <w:rPr>
                <w:sz w:val="20"/>
                <w:szCs w:val="20"/>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8"/>
              </w:rPr>
              <w:t>in Interest Expense</w:t>
            </w:r>
          </w:p>
        </w:tc>
        <w:tc>
          <w:tcPr>
            <w:tcW w:w="152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Net Income/(loss)</w:t>
            </w:r>
          </w:p>
        </w:tc>
      </w:tr>
      <w:tr>
        <w:trPr>
          <w:trHeight w:val="210"/>
        </w:trPr>
        <w:tc>
          <w:tcPr>
            <w:tcW w:w="5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Up 300 basis points</w:t>
            </w: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80" w:type="dxa"/>
            <w:vAlign w:val="bottom"/>
          </w:tcPr>
          <w:p>
            <w:pPr>
              <w:jc w:val="center"/>
              <w:spacing w:after="0"/>
              <w:rPr>
                <w:sz w:val="20"/>
                <w:szCs w:val="20"/>
                <w:color w:val="auto"/>
              </w:rPr>
            </w:pPr>
            <w:r>
              <w:rPr>
                <w:rFonts w:ascii="Arial" w:cs="Arial" w:eastAsia="Arial" w:hAnsi="Arial"/>
                <w:sz w:val="18"/>
                <w:szCs w:val="18"/>
                <w:color w:val="auto"/>
                <w:w w:val="89"/>
              </w:rPr>
              <w:t>Up 200 basis points</w:t>
            </w:r>
          </w:p>
        </w:tc>
        <w:tc>
          <w:tcPr>
            <w:tcW w:w="6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1,693</w:t>
            </w:r>
          </w:p>
        </w:tc>
        <w:tc>
          <w:tcPr>
            <w:tcW w:w="120" w:type="dxa"/>
            <w:vAlign w:val="bottom"/>
          </w:tcPr>
          <w:p>
            <w:pPr>
              <w:spacing w:after="0"/>
              <w:rPr>
                <w:sz w:val="18"/>
                <w:szCs w:val="18"/>
                <w:color w:val="auto"/>
              </w:rPr>
            </w:pP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(1,137)</w:t>
            </w:r>
          </w:p>
        </w:tc>
        <w:tc>
          <w:tcPr>
            <w:tcW w:w="5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18"/>
                <w:szCs w:val="18"/>
                <w:color w:val="auto"/>
              </w:rPr>
            </w:pPr>
          </w:p>
        </w:tc>
      </w:tr>
      <w:tr>
        <w:trPr>
          <w:trHeight w:val="216"/>
        </w:trPr>
        <w:tc>
          <w:tcPr>
            <w:tcW w:w="5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Up 100 basis points</w:t>
            </w:r>
          </w:p>
        </w:tc>
        <w:tc>
          <w:tcPr>
            <w:tcW w:w="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2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(620)</w:t>
            </w:r>
          </w:p>
        </w:tc>
        <w:tc>
          <w:tcPr>
            <w:tcW w:w="5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w:t>
            </w:r>
          </w:p>
        </w:tc>
      </w:tr>
      <w:tr>
        <w:trPr>
          <w:trHeight w:val="216"/>
        </w:trPr>
        <w:tc>
          <w:tcPr>
            <w:tcW w:w="5380" w:type="dxa"/>
            <w:vAlign w:val="bottom"/>
          </w:tcPr>
          <w:p>
            <w:pPr>
              <w:jc w:val="center"/>
              <w:spacing w:after="0"/>
              <w:rPr>
                <w:sz w:val="20"/>
                <w:szCs w:val="20"/>
                <w:color w:val="auto"/>
              </w:rPr>
            </w:pPr>
            <w:r>
              <w:rPr>
                <w:rFonts w:ascii="Arial" w:cs="Arial" w:eastAsia="Arial" w:hAnsi="Arial"/>
                <w:sz w:val="18"/>
                <w:szCs w:val="18"/>
                <w:color w:val="auto"/>
                <w:w w:val="90"/>
              </w:rPr>
              <w:t>Down 100 basis points</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8"/>
                <w:szCs w:val="18"/>
                <w:color w:val="auto"/>
              </w:rPr>
            </w:pPr>
          </w:p>
        </w:tc>
      </w:tr>
      <w:tr>
        <w:trPr>
          <w:trHeight w:val="216"/>
        </w:trPr>
        <w:tc>
          <w:tcPr>
            <w:tcW w:w="5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Down 200 basis points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380" w:type="dxa"/>
            <w:vAlign w:val="bottom"/>
          </w:tcPr>
          <w:p>
            <w:pPr>
              <w:jc w:val="center"/>
              <w:spacing w:after="0"/>
              <w:rPr>
                <w:sz w:val="20"/>
                <w:szCs w:val="20"/>
                <w:color w:val="auto"/>
              </w:rPr>
            </w:pPr>
            <w:r>
              <w:rPr>
                <w:rFonts w:ascii="Arial" w:cs="Arial" w:eastAsia="Arial" w:hAnsi="Arial"/>
                <w:sz w:val="18"/>
                <w:szCs w:val="18"/>
                <w:color w:val="auto"/>
                <w:w w:val="90"/>
              </w:rPr>
              <w:t>Down 300 basis points</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840" w:hanging="508"/>
        <w:spacing w:after="0"/>
        <w:tabs>
          <w:tab w:leader="none" w:pos="84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20" w:firstLine="881"/>
        <w:spacing w:after="0" w:line="289" w:lineRule="auto"/>
        <w:rPr>
          <w:sz w:val="20"/>
          <w:szCs w:val="20"/>
          <w:color w:val="auto"/>
        </w:rPr>
      </w:pPr>
      <w:r>
        <w:rPr>
          <w:rFonts w:ascii="Arial" w:cs="Arial" w:eastAsia="Arial" w:hAnsi="Arial"/>
          <w:sz w:val="16"/>
          <w:szCs w:val="16"/>
          <w:color w:val="auto"/>
        </w:rPr>
        <w:t>As of September 30, 2015 (the end of the period covered by this report), we, including our Chief Executive Officer and Chief Financial Officer, evaluated the effectiveness of the design and operation of our disclosure controls and procedures (as defined in Rule 13a-15(e) of the Securities Exchange Act of 1934, as amended). Based on that evaluation, our management, including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67" w:lineRule="exact"/>
        <w:rPr>
          <w:sz w:val="20"/>
          <w:szCs w:val="20"/>
          <w:color w:val="auto"/>
        </w:rPr>
      </w:pPr>
    </w:p>
    <w:p>
      <w:pPr>
        <w:ind w:left="840" w:hanging="508"/>
        <w:spacing w:after="0"/>
        <w:tabs>
          <w:tab w:leader="none" w:pos="840"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Changes in Internal Controls Over Financial Reporting</w:t>
      </w:r>
    </w:p>
    <w:p>
      <w:pPr>
        <w:spacing w:after="0" w:line="225" w:lineRule="exact"/>
        <w:rPr>
          <w:sz w:val="20"/>
          <w:szCs w:val="20"/>
          <w:color w:val="auto"/>
        </w:rPr>
      </w:pPr>
    </w:p>
    <w:p>
      <w:pPr>
        <w:ind w:right="260" w:firstLine="881"/>
        <w:spacing w:after="0" w:line="308" w:lineRule="auto"/>
        <w:rPr>
          <w:sz w:val="20"/>
          <w:szCs w:val="20"/>
          <w:color w:val="auto"/>
        </w:rPr>
      </w:pPr>
      <w:r>
        <w:rPr>
          <w:rFonts w:ascii="Arial" w:cs="Arial" w:eastAsia="Arial" w:hAnsi="Arial"/>
          <w:sz w:val="17"/>
          <w:szCs w:val="17"/>
          <w:color w:val="auto"/>
        </w:rPr>
        <w:t>Management has not identified any change in the Company’s internal control over financing reporting that occurred during the third quarter of 2015 that has materially affected, or is reasonably likely to materially affect, the Company’s internal control over financial reporting.</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80" w:firstLine="881"/>
        <w:spacing w:after="0" w:line="255" w:lineRule="auto"/>
        <w:rPr>
          <w:sz w:val="20"/>
          <w:szCs w:val="20"/>
          <w:color w:val="auto"/>
        </w:rPr>
      </w:pPr>
      <w:r>
        <w:rPr>
          <w:rFonts w:ascii="Arial" w:cs="Arial" w:eastAsia="Arial" w:hAnsi="Arial"/>
          <w:sz w:val="18"/>
          <w:szCs w:val="18"/>
          <w:color w:val="auto"/>
        </w:rPr>
        <w:t>None of us, our Investment Advisor, our Administrator or any of the Legacy Funds, is currently subject to any material legal proceedings, nor, to our knowledge, is any material legal proceeding threatened against us, our Investment Advisor, our Administrator or any of the Legacy Funds. From time to time, we, our Investment Advisor, our Administrator, or any of the Legacy Funds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00" w:firstLine="881"/>
        <w:spacing w:after="0" w:line="297" w:lineRule="auto"/>
        <w:rPr>
          <w:sz w:val="20"/>
          <w:szCs w:val="20"/>
          <w:color w:val="auto"/>
        </w:rPr>
      </w:pPr>
      <w:r>
        <w:rPr>
          <w:rFonts w:ascii="Arial" w:cs="Arial" w:eastAsia="Arial" w:hAnsi="Arial"/>
          <w:sz w:val="16"/>
          <w:szCs w:val="16"/>
          <w:color w:val="auto"/>
        </w:rPr>
        <w:t>In addition to the other information set forth in this report, you should carefully consider the factors discussed in Part I, “Item 1A. Risk Factors” in our Annual Report on Form 10-K for the fiscal year ended December 31, 2014, which could materially affect our business, financial condition and/or operating results. The risks described in our Annual Report on Form 10-K are not the only risks we face. Additional risks and uncertainties are not currently known to us or that we currently deem to be immaterial also may materially adversely affect our business, financial condition and/or operating results. There have been no material changes from the risk factors set forth in our Annual Report on Form 10-K for the year ended December 31, 2014.</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During the three months ended September 30, 2015, we issued 32,637 shares of common stock under our dividend reinvestment plan. The issuances were not subject to the registration requirements under the Securities Act of 1933, as amended. The cash paid for shares of common stock issued under our dividend reinvestment plan during the quarter ended September 30, 2015 was approximately $0.4 million. Other than the shares issued under our dividend reinvestment plan during the quarter ended September 30, 2015, we did not sell any unregistered equity securities.</w:t>
      </w:r>
    </w:p>
    <w:p>
      <w:pPr>
        <w:spacing w:after="0" w:line="171" w:lineRule="exact"/>
        <w:rPr>
          <w:sz w:val="20"/>
          <w:szCs w:val="20"/>
          <w:color w:val="auto"/>
        </w:rPr>
      </w:pPr>
    </w:p>
    <w:p>
      <w:pPr>
        <w:ind w:right="180" w:firstLine="648"/>
        <w:spacing w:after="0" w:line="288" w:lineRule="auto"/>
        <w:rPr>
          <w:sz w:val="20"/>
          <w:szCs w:val="20"/>
          <w:color w:val="auto"/>
        </w:rPr>
      </w:pPr>
      <w:r>
        <w:rPr>
          <w:rFonts w:ascii="Arial" w:cs="Arial" w:eastAsia="Arial" w:hAnsi="Arial"/>
          <w:sz w:val="16"/>
          <w:szCs w:val="16"/>
          <w:color w:val="auto"/>
        </w:rPr>
        <w:t>During the three months ended September 30, 2015, we repurchased 399,448 shares of common stock at a weighted average price of $15.02 per share resulting in $6.0 million paid during the three months ended September 30, 2015. During the nine months ended September 30, 2015, we repurchased 624,050 shares of common stock at a weighted average price of $15.85 per share resulting in $9.9 million paid during the nine months ended September 30,</w:t>
      </w:r>
    </w:p>
    <w:p>
      <w:pPr>
        <w:spacing w:after="0"/>
        <w:rPr>
          <w:sz w:val="20"/>
          <w:szCs w:val="20"/>
          <w:color w:val="auto"/>
        </w:rPr>
      </w:pPr>
      <w:r>
        <w:rPr>
          <w:rFonts w:ascii="Arial" w:cs="Arial" w:eastAsia="Arial" w:hAnsi="Arial"/>
          <w:sz w:val="18"/>
          <w:szCs w:val="18"/>
          <w:color w:val="auto"/>
        </w:rPr>
        <w:t>2015. The following table outlines repurchases of our common stock during the nine months ended September 30, 2015: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(d)</w:t>
            </w:r>
          </w:p>
        </w:tc>
      </w:tr>
      <w:tr>
        <w:trPr>
          <w:trHeight w:val="216"/>
        </w:trPr>
        <w:tc>
          <w:tcPr>
            <w:tcW w:w="10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Maximum Number</w:t>
            </w:r>
          </w:p>
        </w:tc>
      </w:tr>
      <w:tr>
        <w:trPr>
          <w:trHeight w:val="216"/>
        </w:trPr>
        <w:tc>
          <w:tcPr>
            <w:tcW w:w="10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w:t>
            </w:r>
          </w:p>
        </w:tc>
        <w:tc>
          <w:tcPr>
            <w:tcW w:w="160" w:type="dxa"/>
            <w:vAlign w:val="bottom"/>
          </w:tcPr>
          <w:p>
            <w:pPr>
              <w:spacing w:after="0"/>
              <w:rPr>
                <w:sz w:val="18"/>
                <w:szCs w:val="18"/>
                <w:color w:val="auto"/>
              </w:rPr>
            </w:pPr>
          </w:p>
        </w:tc>
        <w:tc>
          <w:tcPr>
            <w:tcW w:w="1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(or Approximate</w:t>
            </w:r>
          </w:p>
        </w:tc>
      </w:tr>
      <w:tr>
        <w:trPr>
          <w:trHeight w:val="216"/>
        </w:trPr>
        <w:tc>
          <w:tcPr>
            <w:tcW w:w="10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Total Number of</w:t>
            </w:r>
          </w:p>
        </w:tc>
        <w:tc>
          <w:tcPr>
            <w:tcW w:w="160" w:type="dxa"/>
            <w:vAlign w:val="bottom"/>
          </w:tcPr>
          <w:p>
            <w:pPr>
              <w:spacing w:after="0"/>
              <w:rPr>
                <w:sz w:val="18"/>
                <w:szCs w:val="18"/>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Dollar Value) of</w:t>
            </w:r>
          </w:p>
        </w:tc>
      </w:tr>
      <w:tr>
        <w:trPr>
          <w:trHeight w:val="216"/>
        </w:trPr>
        <w:tc>
          <w:tcPr>
            <w:tcW w:w="10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w:t>
            </w:r>
          </w:p>
        </w:tc>
        <w:tc>
          <w:tcPr>
            <w:tcW w:w="180" w:type="dxa"/>
            <w:vAlign w:val="bottom"/>
          </w:tcPr>
          <w:p>
            <w:pPr>
              <w:spacing w:after="0"/>
              <w:rPr>
                <w:sz w:val="18"/>
                <w:szCs w:val="18"/>
                <w:color w:val="auto"/>
              </w:rPr>
            </w:pPr>
          </w:p>
        </w:tc>
        <w:tc>
          <w:tcPr>
            <w:tcW w:w="21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(b)</w:t>
            </w:r>
          </w:p>
        </w:tc>
        <w:tc>
          <w:tcPr>
            <w:tcW w:w="2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Shares Purchased as</w:t>
            </w:r>
          </w:p>
        </w:tc>
        <w:tc>
          <w:tcPr>
            <w:tcW w:w="160" w:type="dxa"/>
            <w:vAlign w:val="bottom"/>
          </w:tcPr>
          <w:p>
            <w:pPr>
              <w:spacing w:after="0"/>
              <w:rPr>
                <w:sz w:val="18"/>
                <w:szCs w:val="18"/>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Shares that May Yet</w:t>
            </w:r>
          </w:p>
        </w:tc>
      </w:tr>
      <w:tr>
        <w:trPr>
          <w:trHeight w:val="216"/>
        </w:trPr>
        <w:tc>
          <w:tcPr>
            <w:tcW w:w="10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Total Number of</w:t>
            </w:r>
          </w:p>
        </w:tc>
        <w:tc>
          <w:tcPr>
            <w:tcW w:w="180" w:type="dxa"/>
            <w:vAlign w:val="bottom"/>
          </w:tcPr>
          <w:p>
            <w:pPr>
              <w:spacing w:after="0"/>
              <w:rPr>
                <w:sz w:val="18"/>
                <w:szCs w:val="18"/>
                <w:color w:val="auto"/>
              </w:rPr>
            </w:pPr>
          </w:p>
        </w:tc>
        <w:tc>
          <w:tcPr>
            <w:tcW w:w="21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Average Price Paid</w:t>
            </w:r>
          </w:p>
        </w:tc>
        <w:tc>
          <w:tcPr>
            <w:tcW w:w="2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Part of Publicly</w:t>
            </w:r>
          </w:p>
        </w:tc>
        <w:tc>
          <w:tcPr>
            <w:tcW w:w="160" w:type="dxa"/>
            <w:vAlign w:val="bottom"/>
          </w:tcPr>
          <w:p>
            <w:pPr>
              <w:spacing w:after="0"/>
              <w:rPr>
                <w:sz w:val="18"/>
                <w:szCs w:val="18"/>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Be Purchased Under</w:t>
            </w:r>
          </w:p>
        </w:tc>
      </w:tr>
      <w:tr>
        <w:trPr>
          <w:trHeight w:val="234"/>
        </w:trPr>
        <w:tc>
          <w:tcPr>
            <w:tcW w:w="24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Period</w:t>
            </w:r>
          </w:p>
        </w:tc>
        <w:tc>
          <w:tcPr>
            <w:tcW w:w="2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Shares Purchased</w:t>
            </w:r>
          </w:p>
        </w:tc>
        <w:tc>
          <w:tcPr>
            <w:tcW w:w="180" w:type="dxa"/>
            <w:vAlign w:val="bottom"/>
          </w:tcPr>
          <w:p>
            <w:pPr>
              <w:spacing w:after="0"/>
              <w:rPr>
                <w:sz w:val="20"/>
                <w:szCs w:val="20"/>
                <w:color w:val="auto"/>
              </w:rPr>
            </w:pPr>
          </w:p>
        </w:tc>
        <w:tc>
          <w:tcPr>
            <w:tcW w:w="21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per Share</w:t>
            </w:r>
          </w:p>
        </w:tc>
        <w:tc>
          <w:tcPr>
            <w:tcW w:w="2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Announced Program</w:t>
            </w:r>
          </w:p>
        </w:tc>
        <w:tc>
          <w:tcPr>
            <w:tcW w:w="160" w:type="dxa"/>
            <w:vAlign w:val="bottom"/>
          </w:tcPr>
          <w:p>
            <w:pPr>
              <w:spacing w:after="0"/>
              <w:rPr>
                <w:sz w:val="20"/>
                <w:szCs w:val="20"/>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the Program</w:t>
            </w:r>
          </w:p>
        </w:tc>
      </w:tr>
      <w:tr>
        <w:trPr>
          <w:trHeight w:val="210"/>
        </w:trPr>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May 1, 2015</w:t>
            </w:r>
          </w:p>
        </w:tc>
        <w:tc>
          <w:tcPr>
            <w:tcW w:w="1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8"/>
              </w:rPr>
              <w:t>– May 31, 2015</w:t>
            </w:r>
          </w:p>
        </w:tc>
        <w:tc>
          <w:tcPr>
            <w:tcW w:w="12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109,430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22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109,430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8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10.1 million</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June 1, 2015</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June 30, 2015</w:t>
            </w:r>
          </w:p>
        </w:tc>
        <w:tc>
          <w:tcPr>
            <w:tcW w:w="2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115,172</w:t>
            </w:r>
          </w:p>
        </w:tc>
        <w:tc>
          <w:tcPr>
            <w:tcW w:w="1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17.36</w:t>
            </w:r>
          </w:p>
        </w:tc>
        <w:tc>
          <w:tcPr>
            <w:tcW w:w="2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115,172</w:t>
            </w:r>
          </w:p>
        </w:tc>
        <w:tc>
          <w:tcPr>
            <w:tcW w:w="1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 million</w:t>
            </w:r>
          </w:p>
        </w:tc>
      </w:tr>
      <w:tr>
        <w:trPr>
          <w:trHeight w:val="216"/>
        </w:trPr>
        <w:tc>
          <w:tcPr>
            <w:tcW w:w="10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1, 2015</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July 31, 2015</w:t>
            </w:r>
          </w:p>
        </w:tc>
        <w:tc>
          <w:tcPr>
            <w:tcW w:w="2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123,382</w:t>
            </w:r>
          </w:p>
        </w:tc>
        <w:tc>
          <w:tcPr>
            <w:tcW w:w="1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16.20</w:t>
            </w:r>
          </w:p>
        </w:tc>
        <w:tc>
          <w:tcPr>
            <w:tcW w:w="2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123,382</w:t>
            </w:r>
          </w:p>
        </w:tc>
        <w:tc>
          <w:tcPr>
            <w:tcW w:w="1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 million</w:t>
            </w:r>
          </w:p>
        </w:tc>
      </w:tr>
      <w:tr>
        <w:trPr>
          <w:trHeight w:val="216"/>
        </w:trPr>
        <w:tc>
          <w:tcPr>
            <w:tcW w:w="23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420" w:type="dxa"/>
            <w:vAlign w:val="bottom"/>
            <w:gridSpan w:val="3"/>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1"/>
              </w:rPr>
              <w:t>August 1, 2015 – August 31,</w:t>
            </w:r>
          </w:p>
        </w:tc>
        <w:tc>
          <w:tcPr>
            <w:tcW w:w="2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3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shd w:val="clear" w:color="auto" w:fill="CCEEFF"/>
          </w:tcPr>
          <w:p>
            <w:pPr>
              <w:spacing w:after="0"/>
              <w:rPr>
                <w:sz w:val="20"/>
                <w:szCs w:val="20"/>
                <w:color w:val="auto"/>
              </w:rPr>
            </w:pPr>
          </w:p>
        </w:tc>
        <w:tc>
          <w:tcPr>
            <w:tcW w:w="2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133,311</w:t>
            </w:r>
          </w:p>
        </w:tc>
        <w:tc>
          <w:tcPr>
            <w:tcW w:w="180" w:type="dxa"/>
            <w:vAlign w:val="bottom"/>
            <w:shd w:val="clear" w:color="auto" w:fill="CCEEFF"/>
          </w:tcPr>
          <w:p>
            <w:pPr>
              <w:spacing w:after="0"/>
              <w:rPr>
                <w:sz w:val="20"/>
                <w:szCs w:val="20"/>
                <w:color w:val="auto"/>
              </w:rPr>
            </w:pPr>
          </w:p>
        </w:tc>
        <w:tc>
          <w:tcPr>
            <w:tcW w:w="2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15.02</w:t>
            </w:r>
          </w:p>
        </w:tc>
        <w:tc>
          <w:tcPr>
            <w:tcW w:w="2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133,311</w:t>
            </w:r>
          </w:p>
        </w:tc>
        <w:tc>
          <w:tcPr>
            <w:tcW w:w="160" w:type="dxa"/>
            <w:vAlign w:val="bottom"/>
            <w:shd w:val="clear" w:color="auto" w:fill="CCEEFF"/>
          </w:tcPr>
          <w:p>
            <w:pPr>
              <w:spacing w:after="0"/>
              <w:rPr>
                <w:sz w:val="20"/>
                <w:szCs w:val="20"/>
                <w:color w:val="auto"/>
              </w:rPr>
            </w:pPr>
          </w:p>
        </w:tc>
        <w:tc>
          <w:tcPr>
            <w:tcW w:w="1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 million</w:t>
            </w:r>
          </w:p>
        </w:tc>
      </w:tr>
      <w:tr>
        <w:trPr>
          <w:trHeight w:val="216"/>
        </w:trPr>
        <w:tc>
          <w:tcPr>
            <w:tcW w:w="23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420" w:type="dxa"/>
            <w:vAlign w:val="bottom"/>
            <w:gridSpan w:val="3"/>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88"/>
              </w:rPr>
              <w:t>September 1, 2015 –</w:t>
            </w:r>
          </w:p>
        </w:tc>
        <w:tc>
          <w:tcPr>
            <w:tcW w:w="2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42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88"/>
              </w:rPr>
              <w:t>September 30, 2015</w:t>
            </w:r>
          </w:p>
        </w:tc>
        <w:tc>
          <w:tcPr>
            <w:tcW w:w="2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142,755</w:t>
            </w:r>
          </w:p>
        </w:tc>
        <w:tc>
          <w:tcPr>
            <w:tcW w:w="180" w:type="dxa"/>
            <w:vAlign w:val="bottom"/>
            <w:shd w:val="clear" w:color="auto" w:fill="CCEEFF"/>
          </w:tcPr>
          <w:p>
            <w:pPr>
              <w:spacing w:after="0"/>
              <w:rPr>
                <w:sz w:val="20"/>
                <w:szCs w:val="20"/>
                <w:color w:val="auto"/>
              </w:rPr>
            </w:pPr>
          </w:p>
        </w:tc>
        <w:tc>
          <w:tcPr>
            <w:tcW w:w="2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14.00</w:t>
            </w:r>
          </w:p>
        </w:tc>
        <w:tc>
          <w:tcPr>
            <w:tcW w:w="2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142,755</w:t>
            </w:r>
          </w:p>
        </w:tc>
        <w:tc>
          <w:tcPr>
            <w:tcW w:w="160" w:type="dxa"/>
            <w:vAlign w:val="bottom"/>
            <w:shd w:val="clear" w:color="auto" w:fill="CCEEFF"/>
          </w:tcPr>
          <w:p>
            <w:pPr>
              <w:spacing w:after="0"/>
              <w:rPr>
                <w:sz w:val="20"/>
                <w:szCs w:val="20"/>
                <w:color w:val="auto"/>
              </w:rPr>
            </w:pPr>
          </w:p>
        </w:tc>
        <w:tc>
          <w:tcPr>
            <w:tcW w:w="1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 million</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exhibits are filed as part of this report or hereby incorporated by reference to exhibits previously filed with the SEC:</w:t>
      </w:r>
    </w:p>
    <w:p>
      <w:pPr>
        <w:sectPr>
          <w:pgSz w:w="11900" w:h="16838" w:orient="portrait"/>
          <w:cols w:equalWidth="0" w:num="1">
            <w:col w:w="11420"/>
          </w:cols>
          <w:pgMar w:left="240" w:top="905" w:right="239" w:bottom="832" w:gutter="0" w:footer="0" w:header="0"/>
        </w:sectPr>
      </w:pPr>
    </w:p>
    <w:p>
      <w:pPr>
        <w:spacing w:after="0" w:line="2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Number</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69469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3.2</w:t>
      </w:r>
    </w:p>
    <w:p>
      <w:pPr>
        <w:spacing w:after="0" w:line="2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3.3</w:t>
      </w:r>
    </w:p>
    <w:p>
      <w:pPr>
        <w:spacing w:after="0" w:line="2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3.4</w:t>
      </w:r>
    </w:p>
    <w:p>
      <w:pPr>
        <w:spacing w:after="0" w:line="2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3.5</w:t>
      </w:r>
    </w:p>
    <w:p>
      <w:pPr>
        <w:spacing w:after="0" w:line="2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3.6</w:t>
      </w:r>
    </w:p>
    <w:p>
      <w:pPr>
        <w:spacing w:after="0" w:line="2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4.1</w:t>
      </w:r>
    </w:p>
    <w:p>
      <w:pPr>
        <w:spacing w:after="0" w:line="2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4.2</w:t>
      </w:r>
    </w:p>
    <w:p>
      <w:pPr>
        <w:spacing w:after="0" w:line="2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4.3</w:t>
      </w:r>
    </w:p>
    <w:p>
      <w:pPr>
        <w:spacing w:after="0" w:line="2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611441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114415"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Articles of Amendment and Restatement </w:t>
      </w:r>
      <w:r>
        <w:rPr>
          <w:rFonts w:ascii="Arial" w:cs="Arial" w:eastAsia="Arial" w:hAnsi="Arial"/>
          <w:sz w:val="30"/>
          <w:szCs w:val="30"/>
          <w:color w:val="auto"/>
          <w:vertAlign w:val="superscript"/>
        </w:rPr>
        <w:t>(1)</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Certificate of Limited Partnership of CapitalSouth Partners Fund II Limited Partnership </w:t>
      </w:r>
      <w:r>
        <w:rPr>
          <w:rFonts w:ascii="Arial" w:cs="Arial" w:eastAsia="Arial" w:hAnsi="Arial"/>
          <w:sz w:val="30"/>
          <w:szCs w:val="30"/>
          <w:color w:val="auto"/>
          <w:vertAlign w:val="superscript"/>
        </w:rPr>
        <w:t>(2)</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Certificate of Limited Partnership of CapitalSouth Partners SBIC Fund III, L.P. </w:t>
      </w:r>
      <w:r>
        <w:rPr>
          <w:rFonts w:ascii="Arial" w:cs="Arial" w:eastAsia="Arial" w:hAnsi="Arial"/>
          <w:sz w:val="30"/>
          <w:szCs w:val="30"/>
          <w:color w:val="auto"/>
          <w:vertAlign w:val="superscript"/>
        </w:rPr>
        <w:t>(2)</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Bylaws </w:t>
      </w:r>
      <w:r>
        <w:rPr>
          <w:rFonts w:ascii="Arial" w:cs="Arial" w:eastAsia="Arial" w:hAnsi="Arial"/>
          <w:sz w:val="30"/>
          <w:szCs w:val="30"/>
          <w:color w:val="auto"/>
          <w:vertAlign w:val="superscript"/>
        </w:rPr>
        <w:t>(1)</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Form of Amended and Restated Limited Partnership Agreement of CapitalSouth Partners Fund II Limited Partnership </w:t>
      </w:r>
      <w:r>
        <w:rPr>
          <w:rFonts w:ascii="Arial" w:cs="Arial" w:eastAsia="Arial" w:hAnsi="Arial"/>
          <w:sz w:val="26"/>
          <w:szCs w:val="26"/>
          <w:color w:val="auto"/>
          <w:vertAlign w:val="superscript"/>
        </w:rPr>
        <w:t>(3)</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Form of Amended and Restated Agreement of Limited Partnership of CapitalSouth Partners SBIC Fund III, L.P. </w:t>
      </w:r>
      <w:r>
        <w:rPr>
          <w:rFonts w:ascii="Arial" w:cs="Arial" w:eastAsia="Arial" w:hAnsi="Arial"/>
          <w:sz w:val="28"/>
          <w:szCs w:val="28"/>
          <w:color w:val="auto"/>
          <w:vertAlign w:val="superscript"/>
        </w:rPr>
        <w:t>(3)</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of Common Stock Certificate </w:t>
      </w:r>
      <w:r>
        <w:rPr>
          <w:rFonts w:ascii="Arial" w:cs="Arial" w:eastAsia="Arial" w:hAnsi="Arial"/>
          <w:sz w:val="30"/>
          <w:szCs w:val="30"/>
          <w:color w:val="auto"/>
          <w:vertAlign w:val="superscript"/>
        </w:rPr>
        <w:t>(1)</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of Base Indenture </w:t>
      </w:r>
      <w:r>
        <w:rPr>
          <w:rFonts w:ascii="Arial" w:cs="Arial" w:eastAsia="Arial" w:hAnsi="Arial"/>
          <w:sz w:val="30"/>
          <w:szCs w:val="30"/>
          <w:color w:val="auto"/>
          <w:vertAlign w:val="superscript"/>
        </w:rPr>
        <w:t>(4)</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of First Supplemental Indenture </w:t>
      </w:r>
      <w:r>
        <w:rPr>
          <w:rFonts w:ascii="Arial" w:cs="Arial" w:eastAsia="Arial" w:hAnsi="Arial"/>
          <w:sz w:val="30"/>
          <w:szCs w:val="30"/>
          <w:color w:val="auto"/>
          <w:vertAlign w:val="superscript"/>
        </w:rPr>
        <w:t>(4)</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of Global Note (included as Exhibit A to the Form of First Supplemental Indenture) </w:t>
      </w:r>
      <w:r>
        <w:rPr>
          <w:rFonts w:ascii="Arial" w:cs="Arial" w:eastAsia="Arial" w:hAnsi="Arial"/>
          <w:sz w:val="30"/>
          <w:szCs w:val="30"/>
          <w:color w:val="auto"/>
          <w:vertAlign w:val="superscript"/>
        </w:rPr>
        <w:t>(4)</w:t>
      </w:r>
    </w:p>
    <w:p>
      <w:pPr>
        <w:spacing w:after="0" w:line="124" w:lineRule="exact"/>
        <w:rPr>
          <w:sz w:val="20"/>
          <w:szCs w:val="20"/>
          <w:color w:val="auto"/>
        </w:rPr>
      </w:pPr>
    </w:p>
    <w:p>
      <w:pPr>
        <w:sectPr>
          <w:pgSz w:w="11900" w:h="16838" w:orient="portrait"/>
          <w:cols w:equalWidth="0" w:num="2">
            <w:col w:w="980" w:space="560"/>
            <w:col w:w="9880"/>
          </w:cols>
          <w:pgMar w:left="240" w:top="905" w:right="239" w:bottom="832" w:gutter="0" w:footer="0" w:header="0"/>
          <w:type w:val="continuous"/>
        </w:sectPr>
      </w:pPr>
    </w:p>
    <w:tbl>
      <w:tblPr>
        <w:tblLayout w:type="fixed"/>
        <w:tblInd w:w="0" w:type="dxa"/>
        <w:tblCellMar>
          <w:top w:w="0" w:type="dxa"/>
          <w:left w:w="0" w:type="dxa"/>
          <w:bottom w:w="0" w:type="dxa"/>
          <w:right w:w="0" w:type="dxa"/>
        </w:tblCellMar>
      </w:tblPr>
      <w:tr>
        <w:trPr>
          <w:trHeight w:val="394"/>
        </w:trPr>
        <w:tc>
          <w:tcPr>
            <w:tcW w:w="1140" w:type="dxa"/>
            <w:vAlign w:val="bottom"/>
          </w:tcPr>
          <w:p>
            <w:pPr>
              <w:ind w:left="340"/>
              <w:spacing w:after="0"/>
              <w:rPr>
                <w:sz w:val="20"/>
                <w:szCs w:val="20"/>
                <w:color w:val="auto"/>
              </w:rPr>
            </w:pPr>
            <w:r>
              <w:rPr>
                <w:rFonts w:ascii="Arial" w:cs="Arial" w:eastAsia="Arial" w:hAnsi="Arial"/>
                <w:sz w:val="18"/>
                <w:szCs w:val="18"/>
                <w:color w:val="auto"/>
              </w:rPr>
              <w:t>10.1</w:t>
            </w:r>
          </w:p>
        </w:tc>
        <w:tc>
          <w:tcPr>
            <w:tcW w:w="10280" w:type="dxa"/>
            <w:vAlign w:val="bottom"/>
          </w:tcPr>
          <w:p>
            <w:pPr>
              <w:ind w:left="400"/>
              <w:spacing w:after="0"/>
              <w:rPr>
                <w:sz w:val="20"/>
                <w:szCs w:val="20"/>
                <w:color w:val="auto"/>
              </w:rPr>
            </w:pPr>
            <w:r>
              <w:rPr>
                <w:rFonts w:ascii="Arial" w:cs="Arial" w:eastAsia="Arial" w:hAnsi="Arial"/>
                <w:sz w:val="18"/>
                <w:szCs w:val="18"/>
                <w:color w:val="auto"/>
              </w:rPr>
              <w:t xml:space="preserve">Form of Dividend Reinvestment Plan </w:t>
            </w:r>
            <w:r>
              <w:rPr>
                <w:rFonts w:ascii="Arial" w:cs="Arial" w:eastAsia="Arial" w:hAnsi="Arial"/>
                <w:sz w:val="30"/>
                <w:szCs w:val="30"/>
                <w:color w:val="auto"/>
                <w:vertAlign w:val="superscript"/>
              </w:rPr>
              <w:t>(1)</w:t>
            </w:r>
          </w:p>
        </w:tc>
      </w:tr>
      <w:tr>
        <w:trPr>
          <w:trHeight w:val="473"/>
        </w:trPr>
        <w:tc>
          <w:tcPr>
            <w:tcW w:w="1140" w:type="dxa"/>
            <w:vAlign w:val="bottom"/>
          </w:tcPr>
          <w:p>
            <w:pPr>
              <w:ind w:left="340"/>
              <w:spacing w:after="0"/>
              <w:rPr>
                <w:sz w:val="20"/>
                <w:szCs w:val="20"/>
                <w:color w:val="auto"/>
              </w:rPr>
            </w:pPr>
            <w:r>
              <w:rPr>
                <w:rFonts w:ascii="Arial" w:cs="Arial" w:eastAsia="Arial" w:hAnsi="Arial"/>
                <w:sz w:val="18"/>
                <w:szCs w:val="18"/>
                <w:color w:val="auto"/>
              </w:rPr>
              <w:t>10.2</w:t>
            </w:r>
          </w:p>
        </w:tc>
        <w:tc>
          <w:tcPr>
            <w:tcW w:w="10280" w:type="dxa"/>
            <w:vAlign w:val="bottom"/>
          </w:tcPr>
          <w:p>
            <w:pPr>
              <w:ind w:left="400"/>
              <w:spacing w:after="0"/>
              <w:rPr>
                <w:sz w:val="20"/>
                <w:szCs w:val="20"/>
                <w:color w:val="auto"/>
              </w:rPr>
            </w:pPr>
            <w:r>
              <w:rPr>
                <w:rFonts w:ascii="Arial" w:cs="Arial" w:eastAsia="Arial" w:hAnsi="Arial"/>
                <w:sz w:val="18"/>
                <w:szCs w:val="18"/>
                <w:color w:val="auto"/>
              </w:rPr>
              <w:t xml:space="preserve">Form of Investment Advisory Agreement by and between Registrant and Capitala Investment Advisors, LLC </w:t>
            </w:r>
            <w:r>
              <w:rPr>
                <w:rFonts w:ascii="Arial" w:cs="Arial" w:eastAsia="Arial" w:hAnsi="Arial"/>
                <w:sz w:val="30"/>
                <w:szCs w:val="30"/>
                <w:color w:val="auto"/>
                <w:vertAlign w:val="superscript"/>
              </w:rPr>
              <w:t>(1)</w:t>
            </w:r>
          </w:p>
        </w:tc>
      </w:tr>
      <w:tr>
        <w:trPr>
          <w:trHeight w:val="473"/>
        </w:trPr>
        <w:tc>
          <w:tcPr>
            <w:tcW w:w="1140" w:type="dxa"/>
            <w:vAlign w:val="bottom"/>
          </w:tcPr>
          <w:p>
            <w:pPr>
              <w:ind w:left="340"/>
              <w:spacing w:after="0"/>
              <w:rPr>
                <w:sz w:val="20"/>
                <w:szCs w:val="20"/>
                <w:color w:val="auto"/>
              </w:rPr>
            </w:pPr>
            <w:r>
              <w:rPr>
                <w:rFonts w:ascii="Arial" w:cs="Arial" w:eastAsia="Arial" w:hAnsi="Arial"/>
                <w:sz w:val="18"/>
                <w:szCs w:val="18"/>
                <w:color w:val="auto"/>
              </w:rPr>
              <w:t>10.3</w:t>
            </w:r>
          </w:p>
        </w:tc>
        <w:tc>
          <w:tcPr>
            <w:tcW w:w="10280" w:type="dxa"/>
            <w:vAlign w:val="bottom"/>
          </w:tcPr>
          <w:p>
            <w:pPr>
              <w:ind w:left="400"/>
              <w:spacing w:after="0"/>
              <w:rPr>
                <w:sz w:val="20"/>
                <w:szCs w:val="20"/>
                <w:color w:val="auto"/>
              </w:rPr>
            </w:pPr>
            <w:r>
              <w:rPr>
                <w:rFonts w:ascii="Arial" w:cs="Arial" w:eastAsia="Arial" w:hAnsi="Arial"/>
                <w:sz w:val="18"/>
                <w:szCs w:val="18"/>
                <w:color w:val="auto"/>
              </w:rPr>
              <w:t xml:space="preserve">Form of Custodian Agreement </w:t>
            </w:r>
            <w:r>
              <w:rPr>
                <w:rFonts w:ascii="Arial" w:cs="Arial" w:eastAsia="Arial" w:hAnsi="Arial"/>
                <w:sz w:val="30"/>
                <w:szCs w:val="30"/>
                <w:color w:val="auto"/>
                <w:vertAlign w:val="superscript"/>
              </w:rPr>
              <w:t>(1)</w:t>
            </w:r>
          </w:p>
        </w:tc>
      </w:tr>
      <w:tr>
        <w:trPr>
          <w:trHeight w:val="473"/>
        </w:trPr>
        <w:tc>
          <w:tcPr>
            <w:tcW w:w="1140" w:type="dxa"/>
            <w:vAlign w:val="bottom"/>
          </w:tcPr>
          <w:p>
            <w:pPr>
              <w:ind w:left="340"/>
              <w:spacing w:after="0"/>
              <w:rPr>
                <w:sz w:val="20"/>
                <w:szCs w:val="20"/>
                <w:color w:val="auto"/>
              </w:rPr>
            </w:pPr>
            <w:r>
              <w:rPr>
                <w:rFonts w:ascii="Arial" w:cs="Arial" w:eastAsia="Arial" w:hAnsi="Arial"/>
                <w:sz w:val="18"/>
                <w:szCs w:val="18"/>
                <w:color w:val="auto"/>
              </w:rPr>
              <w:t>10.4</w:t>
            </w:r>
          </w:p>
        </w:tc>
        <w:tc>
          <w:tcPr>
            <w:tcW w:w="10280" w:type="dxa"/>
            <w:vAlign w:val="bottom"/>
          </w:tcPr>
          <w:p>
            <w:pPr>
              <w:ind w:left="400"/>
              <w:spacing w:after="0"/>
              <w:rPr>
                <w:sz w:val="20"/>
                <w:szCs w:val="20"/>
                <w:color w:val="auto"/>
              </w:rPr>
            </w:pPr>
            <w:r>
              <w:rPr>
                <w:rFonts w:ascii="Arial" w:cs="Arial" w:eastAsia="Arial" w:hAnsi="Arial"/>
                <w:sz w:val="18"/>
                <w:szCs w:val="18"/>
                <w:color w:val="auto"/>
              </w:rPr>
              <w:t xml:space="preserve">Form of Administration Agreement by and between Registrant and Capitala Advisors Corp. </w:t>
            </w:r>
            <w:r>
              <w:rPr>
                <w:rFonts w:ascii="Arial" w:cs="Arial" w:eastAsia="Arial" w:hAnsi="Arial"/>
                <w:sz w:val="30"/>
                <w:szCs w:val="30"/>
                <w:color w:val="auto"/>
                <w:vertAlign w:val="superscript"/>
              </w:rPr>
              <w:t>(1)</w:t>
            </w:r>
          </w:p>
        </w:tc>
      </w:tr>
      <w:tr>
        <w:trPr>
          <w:trHeight w:val="473"/>
        </w:trPr>
        <w:tc>
          <w:tcPr>
            <w:tcW w:w="1140" w:type="dxa"/>
            <w:vAlign w:val="bottom"/>
          </w:tcPr>
          <w:p>
            <w:pPr>
              <w:ind w:left="340"/>
              <w:spacing w:after="0"/>
              <w:rPr>
                <w:sz w:val="20"/>
                <w:szCs w:val="20"/>
                <w:color w:val="auto"/>
              </w:rPr>
            </w:pPr>
            <w:r>
              <w:rPr>
                <w:rFonts w:ascii="Arial" w:cs="Arial" w:eastAsia="Arial" w:hAnsi="Arial"/>
                <w:sz w:val="18"/>
                <w:szCs w:val="18"/>
                <w:color w:val="auto"/>
              </w:rPr>
              <w:t>10.5</w:t>
            </w:r>
          </w:p>
        </w:tc>
        <w:tc>
          <w:tcPr>
            <w:tcW w:w="10280" w:type="dxa"/>
            <w:vAlign w:val="bottom"/>
          </w:tcPr>
          <w:p>
            <w:pPr>
              <w:ind w:left="400"/>
              <w:spacing w:after="0"/>
              <w:rPr>
                <w:sz w:val="20"/>
                <w:szCs w:val="20"/>
                <w:color w:val="auto"/>
              </w:rPr>
            </w:pPr>
            <w:r>
              <w:rPr>
                <w:rFonts w:ascii="Arial" w:cs="Arial" w:eastAsia="Arial" w:hAnsi="Arial"/>
                <w:sz w:val="18"/>
                <w:szCs w:val="18"/>
                <w:color w:val="auto"/>
              </w:rPr>
              <w:t xml:space="preserve">Form of Indemnification Agreement by and between Registrant and each of its directors </w:t>
            </w:r>
            <w:r>
              <w:rPr>
                <w:rFonts w:ascii="Arial" w:cs="Arial" w:eastAsia="Arial" w:hAnsi="Arial"/>
                <w:sz w:val="30"/>
                <w:szCs w:val="30"/>
                <w:color w:val="auto"/>
                <w:vertAlign w:val="superscript"/>
              </w:rPr>
              <w:t>(1)</w:t>
            </w:r>
          </w:p>
        </w:tc>
      </w:tr>
      <w:tr>
        <w:trPr>
          <w:trHeight w:val="473"/>
        </w:trPr>
        <w:tc>
          <w:tcPr>
            <w:tcW w:w="1140" w:type="dxa"/>
            <w:vAlign w:val="bottom"/>
          </w:tcPr>
          <w:p>
            <w:pPr>
              <w:ind w:left="340"/>
              <w:spacing w:after="0"/>
              <w:rPr>
                <w:sz w:val="20"/>
                <w:szCs w:val="20"/>
                <w:color w:val="auto"/>
              </w:rPr>
            </w:pPr>
            <w:r>
              <w:rPr>
                <w:rFonts w:ascii="Arial" w:cs="Arial" w:eastAsia="Arial" w:hAnsi="Arial"/>
                <w:sz w:val="18"/>
                <w:szCs w:val="18"/>
                <w:color w:val="auto"/>
              </w:rPr>
              <w:t>10.6</w:t>
            </w:r>
          </w:p>
        </w:tc>
        <w:tc>
          <w:tcPr>
            <w:tcW w:w="10280" w:type="dxa"/>
            <w:vAlign w:val="bottom"/>
          </w:tcPr>
          <w:p>
            <w:pPr>
              <w:ind w:left="400"/>
              <w:spacing w:after="0"/>
              <w:rPr>
                <w:sz w:val="20"/>
                <w:szCs w:val="20"/>
                <w:color w:val="auto"/>
              </w:rPr>
            </w:pPr>
            <w:r>
              <w:rPr>
                <w:rFonts w:ascii="Arial" w:cs="Arial" w:eastAsia="Arial" w:hAnsi="Arial"/>
                <w:sz w:val="18"/>
                <w:szCs w:val="18"/>
                <w:color w:val="auto"/>
              </w:rPr>
              <w:t xml:space="preserve">Form of Trademark License Agreement by and between Registrant and Capitala Investment Advisors, LLC </w:t>
            </w:r>
            <w:r>
              <w:rPr>
                <w:rFonts w:ascii="Arial" w:cs="Arial" w:eastAsia="Arial" w:hAnsi="Arial"/>
                <w:sz w:val="30"/>
                <w:szCs w:val="30"/>
                <w:color w:val="auto"/>
                <w:vertAlign w:val="superscript"/>
              </w:rPr>
              <w:t>(1)</w:t>
            </w:r>
          </w:p>
        </w:tc>
      </w:tr>
      <w:tr>
        <w:trPr>
          <w:trHeight w:val="299"/>
        </w:trPr>
        <w:tc>
          <w:tcPr>
            <w:tcW w:w="1140" w:type="dxa"/>
            <w:vAlign w:val="bottom"/>
          </w:tcPr>
          <w:p>
            <w:pPr>
              <w:ind w:left="340"/>
              <w:spacing w:after="0"/>
              <w:rPr>
                <w:sz w:val="20"/>
                <w:szCs w:val="20"/>
                <w:color w:val="auto"/>
              </w:rPr>
            </w:pPr>
            <w:r>
              <w:rPr>
                <w:rFonts w:ascii="Arial" w:cs="Arial" w:eastAsia="Arial" w:hAnsi="Arial"/>
                <w:sz w:val="18"/>
                <w:szCs w:val="18"/>
                <w:color w:val="auto"/>
              </w:rPr>
              <w:t>10.7</w:t>
            </w:r>
          </w:p>
        </w:tc>
        <w:tc>
          <w:tcPr>
            <w:tcW w:w="10280" w:type="dxa"/>
            <w:vAlign w:val="bottom"/>
          </w:tcPr>
          <w:p>
            <w:pPr>
              <w:ind w:left="400"/>
              <w:spacing w:after="0"/>
              <w:rPr>
                <w:sz w:val="20"/>
                <w:szCs w:val="20"/>
                <w:color w:val="auto"/>
              </w:rPr>
            </w:pPr>
            <w:r>
              <w:rPr>
                <w:rFonts w:ascii="Arial" w:cs="Arial" w:eastAsia="Arial" w:hAnsi="Arial"/>
                <w:sz w:val="18"/>
                <w:szCs w:val="18"/>
                <w:color w:val="auto"/>
                <w:w w:val="97"/>
              </w:rPr>
              <w:t>Form of Senior Secured Revolving Credit Agreement dated October 17, 2014, among Capitala Finance Corp., as Borrower, the</w:t>
            </w:r>
          </w:p>
        </w:tc>
      </w:tr>
      <w:tr>
        <w:trPr>
          <w:trHeight w:val="390"/>
        </w:trPr>
        <w:tc>
          <w:tcPr>
            <w:tcW w:w="1140" w:type="dxa"/>
            <w:vAlign w:val="bottom"/>
          </w:tcPr>
          <w:p>
            <w:pPr>
              <w:spacing w:after="0"/>
              <w:rPr>
                <w:sz w:val="24"/>
                <w:szCs w:val="24"/>
                <w:color w:val="auto"/>
              </w:rPr>
            </w:pPr>
          </w:p>
        </w:tc>
        <w:tc>
          <w:tcPr>
            <w:tcW w:w="10280" w:type="dxa"/>
            <w:vAlign w:val="bottom"/>
          </w:tcPr>
          <w:p>
            <w:pPr>
              <w:ind w:left="400"/>
              <w:spacing w:after="0"/>
              <w:rPr>
                <w:sz w:val="20"/>
                <w:szCs w:val="20"/>
                <w:color w:val="auto"/>
              </w:rPr>
            </w:pPr>
            <w:r>
              <w:rPr>
                <w:rFonts w:ascii="Arial" w:cs="Arial" w:eastAsia="Arial" w:hAnsi="Arial"/>
                <w:sz w:val="18"/>
                <w:szCs w:val="18"/>
                <w:color w:val="auto"/>
              </w:rPr>
              <w:t xml:space="preserve">lenders party thereto, and ING Capital LLC, as Administrative Agent, Arranger and Bookrunner </w:t>
            </w:r>
            <w:r>
              <w:rPr>
                <w:rFonts w:ascii="Arial" w:cs="Arial" w:eastAsia="Arial" w:hAnsi="Arial"/>
                <w:sz w:val="30"/>
                <w:szCs w:val="30"/>
                <w:color w:val="auto"/>
                <w:vertAlign w:val="superscript"/>
              </w:rPr>
              <w:t>(5)</w:t>
            </w:r>
          </w:p>
        </w:tc>
      </w:tr>
      <w:tr>
        <w:trPr>
          <w:trHeight w:val="295"/>
        </w:trPr>
        <w:tc>
          <w:tcPr>
            <w:tcW w:w="1140" w:type="dxa"/>
            <w:vAlign w:val="bottom"/>
          </w:tcPr>
          <w:p>
            <w:pPr>
              <w:ind w:left="340"/>
              <w:spacing w:after="0"/>
              <w:rPr>
                <w:sz w:val="20"/>
                <w:szCs w:val="20"/>
                <w:color w:val="auto"/>
              </w:rPr>
            </w:pPr>
            <w:r>
              <w:rPr>
                <w:rFonts w:ascii="Arial" w:cs="Arial" w:eastAsia="Arial" w:hAnsi="Arial"/>
                <w:sz w:val="18"/>
                <w:szCs w:val="18"/>
                <w:color w:val="auto"/>
              </w:rPr>
              <w:t>10.8</w:t>
            </w:r>
          </w:p>
        </w:tc>
        <w:tc>
          <w:tcPr>
            <w:tcW w:w="10280" w:type="dxa"/>
            <w:vAlign w:val="bottom"/>
          </w:tcPr>
          <w:p>
            <w:pPr>
              <w:ind w:left="440"/>
              <w:spacing w:after="0"/>
              <w:rPr>
                <w:sz w:val="20"/>
                <w:szCs w:val="20"/>
                <w:color w:val="auto"/>
              </w:rPr>
            </w:pPr>
            <w:r>
              <w:rPr>
                <w:rFonts w:ascii="Arial" w:cs="Arial" w:eastAsia="Arial" w:hAnsi="Arial"/>
                <w:sz w:val="18"/>
                <w:szCs w:val="18"/>
                <w:color w:val="auto"/>
                <w:w w:val="97"/>
              </w:rPr>
              <w:t>Form of Guarantee, Pledge and Security Agreement dated October 17, 2014, among Capitala Finance Corp., as Borrower, the</w:t>
            </w:r>
          </w:p>
        </w:tc>
      </w:tr>
      <w:tr>
        <w:trPr>
          <w:trHeight w:val="220"/>
        </w:trPr>
        <w:tc>
          <w:tcPr>
            <w:tcW w:w="1140" w:type="dxa"/>
            <w:vAlign w:val="bottom"/>
          </w:tcPr>
          <w:p>
            <w:pPr>
              <w:spacing w:after="0"/>
              <w:rPr>
                <w:sz w:val="19"/>
                <w:szCs w:val="19"/>
                <w:color w:val="auto"/>
              </w:rPr>
            </w:pPr>
          </w:p>
        </w:tc>
        <w:tc>
          <w:tcPr>
            <w:tcW w:w="10280" w:type="dxa"/>
            <w:vAlign w:val="bottom"/>
          </w:tcPr>
          <w:p>
            <w:pPr>
              <w:ind w:left="400"/>
              <w:spacing w:after="0"/>
              <w:rPr>
                <w:sz w:val="20"/>
                <w:szCs w:val="20"/>
                <w:color w:val="auto"/>
              </w:rPr>
            </w:pPr>
            <w:r>
              <w:rPr>
                <w:rFonts w:ascii="Arial" w:cs="Arial" w:eastAsia="Arial" w:hAnsi="Arial"/>
                <w:sz w:val="18"/>
                <w:szCs w:val="18"/>
                <w:color w:val="auto"/>
              </w:rPr>
              <w:t>subsidiary guarantors party thereto, ING Capital LLC, as Revolving Administrative Agent for the Revolving Lenders and as</w:t>
            </w:r>
          </w:p>
        </w:tc>
      </w:tr>
      <w:tr>
        <w:trPr>
          <w:trHeight w:val="390"/>
        </w:trPr>
        <w:tc>
          <w:tcPr>
            <w:tcW w:w="1140" w:type="dxa"/>
            <w:vAlign w:val="bottom"/>
          </w:tcPr>
          <w:p>
            <w:pPr>
              <w:spacing w:after="0"/>
              <w:rPr>
                <w:sz w:val="24"/>
                <w:szCs w:val="24"/>
                <w:color w:val="auto"/>
              </w:rPr>
            </w:pPr>
          </w:p>
        </w:tc>
        <w:tc>
          <w:tcPr>
            <w:tcW w:w="10280" w:type="dxa"/>
            <w:vAlign w:val="bottom"/>
          </w:tcPr>
          <w:p>
            <w:pPr>
              <w:ind w:left="400"/>
              <w:spacing w:after="0"/>
              <w:rPr>
                <w:sz w:val="20"/>
                <w:szCs w:val="20"/>
                <w:color w:val="auto"/>
              </w:rPr>
            </w:pPr>
            <w:r>
              <w:rPr>
                <w:rFonts w:ascii="Arial" w:cs="Arial" w:eastAsia="Arial" w:hAnsi="Arial"/>
                <w:sz w:val="18"/>
                <w:szCs w:val="18"/>
                <w:color w:val="auto"/>
              </w:rPr>
              <w:t xml:space="preserve">Collateral Agent, and each Financing Agent and Designated Indebtedness Holder party thereto </w:t>
            </w:r>
            <w:r>
              <w:rPr>
                <w:rFonts w:ascii="Arial" w:cs="Arial" w:eastAsia="Arial" w:hAnsi="Arial"/>
                <w:sz w:val="30"/>
                <w:szCs w:val="30"/>
                <w:color w:val="auto"/>
                <w:vertAlign w:val="superscript"/>
              </w:rPr>
              <w:t>(5)</w:t>
            </w:r>
          </w:p>
        </w:tc>
      </w:tr>
      <w:tr>
        <w:trPr>
          <w:trHeight w:val="295"/>
        </w:trPr>
        <w:tc>
          <w:tcPr>
            <w:tcW w:w="1140" w:type="dxa"/>
            <w:vAlign w:val="bottom"/>
          </w:tcPr>
          <w:p>
            <w:pPr>
              <w:ind w:left="340"/>
              <w:spacing w:after="0"/>
              <w:rPr>
                <w:sz w:val="20"/>
                <w:szCs w:val="20"/>
                <w:color w:val="auto"/>
              </w:rPr>
            </w:pPr>
            <w:r>
              <w:rPr>
                <w:rFonts w:ascii="Arial" w:cs="Arial" w:eastAsia="Arial" w:hAnsi="Arial"/>
                <w:sz w:val="18"/>
                <w:szCs w:val="18"/>
                <w:color w:val="auto"/>
              </w:rPr>
              <w:t>10.9</w:t>
            </w:r>
          </w:p>
        </w:tc>
        <w:tc>
          <w:tcPr>
            <w:tcW w:w="10280" w:type="dxa"/>
            <w:vAlign w:val="bottom"/>
          </w:tcPr>
          <w:p>
            <w:pPr>
              <w:ind w:left="400"/>
              <w:spacing w:after="0"/>
              <w:rPr>
                <w:sz w:val="20"/>
                <w:szCs w:val="20"/>
                <w:color w:val="auto"/>
              </w:rPr>
            </w:pPr>
            <w:r>
              <w:rPr>
                <w:rFonts w:ascii="Arial" w:cs="Arial" w:eastAsia="Arial" w:hAnsi="Arial"/>
                <w:sz w:val="18"/>
                <w:szCs w:val="18"/>
                <w:color w:val="auto"/>
                <w:w w:val="96"/>
              </w:rPr>
              <w:t>Form of Incremental Assumption Agreement, dated January 6, 2015, relating to the Senior Secured Revolving Credit Agreement,</w:t>
            </w:r>
          </w:p>
        </w:tc>
      </w:tr>
      <w:tr>
        <w:trPr>
          <w:trHeight w:val="220"/>
        </w:trPr>
        <w:tc>
          <w:tcPr>
            <w:tcW w:w="1140" w:type="dxa"/>
            <w:vAlign w:val="bottom"/>
          </w:tcPr>
          <w:p>
            <w:pPr>
              <w:spacing w:after="0"/>
              <w:rPr>
                <w:sz w:val="19"/>
                <w:szCs w:val="19"/>
                <w:color w:val="auto"/>
              </w:rPr>
            </w:pPr>
          </w:p>
        </w:tc>
        <w:tc>
          <w:tcPr>
            <w:tcW w:w="10280" w:type="dxa"/>
            <w:vAlign w:val="bottom"/>
          </w:tcPr>
          <w:p>
            <w:pPr>
              <w:ind w:left="400"/>
              <w:spacing w:after="0"/>
              <w:rPr>
                <w:sz w:val="20"/>
                <w:szCs w:val="20"/>
                <w:color w:val="auto"/>
              </w:rPr>
            </w:pPr>
            <w:r>
              <w:rPr>
                <w:rFonts w:ascii="Arial" w:cs="Arial" w:eastAsia="Arial" w:hAnsi="Arial"/>
                <w:sz w:val="18"/>
                <w:szCs w:val="18"/>
                <w:color w:val="auto"/>
                <w:w w:val="97"/>
              </w:rPr>
              <w:t>dated as of October 17, 2014, among Capitala Finance Corp., as borrower, the lenders from time to time party thereto, and ING</w:t>
            </w:r>
          </w:p>
        </w:tc>
      </w:tr>
      <w:tr>
        <w:trPr>
          <w:trHeight w:val="390"/>
        </w:trPr>
        <w:tc>
          <w:tcPr>
            <w:tcW w:w="1140" w:type="dxa"/>
            <w:vAlign w:val="bottom"/>
          </w:tcPr>
          <w:p>
            <w:pPr>
              <w:spacing w:after="0"/>
              <w:rPr>
                <w:sz w:val="24"/>
                <w:szCs w:val="24"/>
                <w:color w:val="auto"/>
              </w:rPr>
            </w:pPr>
          </w:p>
        </w:tc>
        <w:tc>
          <w:tcPr>
            <w:tcW w:w="10280" w:type="dxa"/>
            <w:vAlign w:val="bottom"/>
          </w:tcPr>
          <w:p>
            <w:pPr>
              <w:ind w:left="400"/>
              <w:spacing w:after="0"/>
              <w:rPr>
                <w:sz w:val="20"/>
                <w:szCs w:val="20"/>
                <w:color w:val="auto"/>
              </w:rPr>
            </w:pPr>
            <w:r>
              <w:rPr>
                <w:rFonts w:ascii="Arial" w:cs="Arial" w:eastAsia="Arial" w:hAnsi="Arial"/>
                <w:sz w:val="18"/>
                <w:szCs w:val="18"/>
                <w:color w:val="auto"/>
              </w:rPr>
              <w:t xml:space="preserve">Capital LLC, as administrative agent, arranger and bookrunner </w:t>
            </w:r>
            <w:r>
              <w:rPr>
                <w:rFonts w:ascii="Arial" w:cs="Arial" w:eastAsia="Arial" w:hAnsi="Arial"/>
                <w:sz w:val="30"/>
                <w:szCs w:val="30"/>
                <w:color w:val="auto"/>
                <w:vertAlign w:val="superscript"/>
              </w:rPr>
              <w:t>(6)</w:t>
            </w:r>
          </w:p>
        </w:tc>
      </w:tr>
      <w:tr>
        <w:trPr>
          <w:trHeight w:val="299"/>
        </w:trPr>
        <w:tc>
          <w:tcPr>
            <w:tcW w:w="1140" w:type="dxa"/>
            <w:vAlign w:val="bottom"/>
          </w:tcPr>
          <w:p>
            <w:pPr>
              <w:ind w:left="340"/>
              <w:spacing w:after="0"/>
              <w:rPr>
                <w:sz w:val="20"/>
                <w:szCs w:val="20"/>
                <w:color w:val="auto"/>
              </w:rPr>
            </w:pPr>
            <w:r>
              <w:rPr>
                <w:rFonts w:ascii="Arial" w:cs="Arial" w:eastAsia="Arial" w:hAnsi="Arial"/>
                <w:sz w:val="18"/>
                <w:szCs w:val="18"/>
                <w:color w:val="auto"/>
              </w:rPr>
              <w:t>10.10</w:t>
            </w:r>
          </w:p>
        </w:tc>
        <w:tc>
          <w:tcPr>
            <w:tcW w:w="10280" w:type="dxa"/>
            <w:vAlign w:val="bottom"/>
          </w:tcPr>
          <w:p>
            <w:pPr>
              <w:ind w:left="400"/>
              <w:spacing w:after="0"/>
              <w:rPr>
                <w:sz w:val="20"/>
                <w:szCs w:val="20"/>
                <w:color w:val="auto"/>
              </w:rPr>
            </w:pPr>
            <w:r>
              <w:rPr>
                <w:rFonts w:ascii="Arial" w:cs="Arial" w:eastAsia="Arial" w:hAnsi="Arial"/>
                <w:sz w:val="18"/>
                <w:szCs w:val="18"/>
                <w:color w:val="auto"/>
                <w:w w:val="96"/>
              </w:rPr>
              <w:t>First Amended and Restated Limited Liability Company Agreement of Capitala Senior Liquid Loan Fund I, LLC, dated March 24,</w:t>
            </w:r>
          </w:p>
        </w:tc>
      </w:tr>
      <w:tr>
        <w:trPr>
          <w:trHeight w:val="390"/>
        </w:trPr>
        <w:tc>
          <w:tcPr>
            <w:tcW w:w="1140" w:type="dxa"/>
            <w:vAlign w:val="bottom"/>
          </w:tcPr>
          <w:p>
            <w:pPr>
              <w:spacing w:after="0"/>
              <w:rPr>
                <w:sz w:val="24"/>
                <w:szCs w:val="24"/>
                <w:color w:val="auto"/>
              </w:rPr>
            </w:pPr>
          </w:p>
        </w:tc>
        <w:tc>
          <w:tcPr>
            <w:tcW w:w="10280" w:type="dxa"/>
            <w:vAlign w:val="bottom"/>
          </w:tcPr>
          <w:p>
            <w:pPr>
              <w:ind w:left="400"/>
              <w:spacing w:after="0"/>
              <w:rPr>
                <w:sz w:val="20"/>
                <w:szCs w:val="20"/>
                <w:color w:val="auto"/>
              </w:rPr>
            </w:pPr>
            <w:r>
              <w:rPr>
                <w:rFonts w:ascii="Arial" w:cs="Arial" w:eastAsia="Arial" w:hAnsi="Arial"/>
                <w:sz w:val="18"/>
                <w:szCs w:val="18"/>
                <w:color w:val="auto"/>
              </w:rPr>
              <w:t xml:space="preserve">2015 </w:t>
            </w:r>
            <w:r>
              <w:rPr>
                <w:rFonts w:ascii="Arial" w:cs="Arial" w:eastAsia="Arial" w:hAnsi="Arial"/>
                <w:sz w:val="30"/>
                <w:szCs w:val="30"/>
                <w:color w:val="auto"/>
                <w:vertAlign w:val="superscript"/>
              </w:rPr>
              <w:t>(7)</w:t>
            </w:r>
          </w:p>
        </w:tc>
      </w:tr>
      <w:tr>
        <w:trPr>
          <w:trHeight w:val="295"/>
        </w:trPr>
        <w:tc>
          <w:tcPr>
            <w:tcW w:w="1140" w:type="dxa"/>
            <w:vAlign w:val="bottom"/>
          </w:tcPr>
          <w:p>
            <w:pPr>
              <w:ind w:left="340"/>
              <w:spacing w:after="0"/>
              <w:rPr>
                <w:sz w:val="20"/>
                <w:szCs w:val="20"/>
                <w:color w:val="auto"/>
              </w:rPr>
            </w:pPr>
            <w:r>
              <w:rPr>
                <w:rFonts w:ascii="Arial" w:cs="Arial" w:eastAsia="Arial" w:hAnsi="Arial"/>
                <w:sz w:val="18"/>
                <w:szCs w:val="18"/>
                <w:color w:val="auto"/>
              </w:rPr>
              <w:t>10.11</w:t>
            </w:r>
          </w:p>
        </w:tc>
        <w:tc>
          <w:tcPr>
            <w:tcW w:w="10280" w:type="dxa"/>
            <w:vAlign w:val="bottom"/>
          </w:tcPr>
          <w:p>
            <w:pPr>
              <w:ind w:left="400"/>
              <w:spacing w:after="0"/>
              <w:rPr>
                <w:sz w:val="20"/>
                <w:szCs w:val="20"/>
                <w:color w:val="auto"/>
              </w:rPr>
            </w:pPr>
            <w:r>
              <w:rPr>
                <w:rFonts w:ascii="Arial" w:cs="Arial" w:eastAsia="Arial" w:hAnsi="Arial"/>
                <w:sz w:val="18"/>
                <w:szCs w:val="18"/>
                <w:color w:val="auto"/>
                <w:w w:val="95"/>
              </w:rPr>
              <w:t>Form of Incremental Assumption Agreement, dated August 19, 2015, relating to the Senior Secured Revolving Credit Agreement,</w:t>
            </w:r>
          </w:p>
        </w:tc>
      </w:tr>
      <w:tr>
        <w:trPr>
          <w:trHeight w:val="220"/>
        </w:trPr>
        <w:tc>
          <w:tcPr>
            <w:tcW w:w="1140" w:type="dxa"/>
            <w:vAlign w:val="bottom"/>
          </w:tcPr>
          <w:p>
            <w:pPr>
              <w:spacing w:after="0"/>
              <w:rPr>
                <w:sz w:val="19"/>
                <w:szCs w:val="19"/>
                <w:color w:val="auto"/>
              </w:rPr>
            </w:pPr>
          </w:p>
        </w:tc>
        <w:tc>
          <w:tcPr>
            <w:tcW w:w="10280" w:type="dxa"/>
            <w:vAlign w:val="bottom"/>
          </w:tcPr>
          <w:p>
            <w:pPr>
              <w:ind w:left="400"/>
              <w:spacing w:after="0"/>
              <w:rPr>
                <w:sz w:val="20"/>
                <w:szCs w:val="20"/>
                <w:color w:val="auto"/>
              </w:rPr>
            </w:pPr>
            <w:r>
              <w:rPr>
                <w:rFonts w:ascii="Arial" w:cs="Arial" w:eastAsia="Arial" w:hAnsi="Arial"/>
                <w:sz w:val="18"/>
                <w:szCs w:val="18"/>
                <w:color w:val="auto"/>
                <w:w w:val="97"/>
              </w:rPr>
              <w:t>dated as of October 17, 2014, among Capitala Finance Corp., as borrower, the lenders from time to time party thereto, and ING</w:t>
            </w:r>
          </w:p>
        </w:tc>
      </w:tr>
      <w:tr>
        <w:trPr>
          <w:trHeight w:val="390"/>
        </w:trPr>
        <w:tc>
          <w:tcPr>
            <w:tcW w:w="1140" w:type="dxa"/>
            <w:vAlign w:val="bottom"/>
          </w:tcPr>
          <w:p>
            <w:pPr>
              <w:spacing w:after="0"/>
              <w:rPr>
                <w:sz w:val="24"/>
                <w:szCs w:val="24"/>
                <w:color w:val="auto"/>
              </w:rPr>
            </w:pPr>
          </w:p>
        </w:tc>
        <w:tc>
          <w:tcPr>
            <w:tcW w:w="10280" w:type="dxa"/>
            <w:vAlign w:val="bottom"/>
          </w:tcPr>
          <w:p>
            <w:pPr>
              <w:ind w:left="400"/>
              <w:spacing w:after="0"/>
              <w:rPr>
                <w:sz w:val="20"/>
                <w:szCs w:val="20"/>
                <w:color w:val="auto"/>
              </w:rPr>
            </w:pPr>
            <w:r>
              <w:rPr>
                <w:rFonts w:ascii="Arial" w:cs="Arial" w:eastAsia="Arial" w:hAnsi="Arial"/>
                <w:sz w:val="18"/>
                <w:szCs w:val="18"/>
                <w:color w:val="auto"/>
              </w:rPr>
              <w:t xml:space="preserve">Capital LLC, as administrative agent, arranger and bookrunner </w:t>
            </w:r>
            <w:r>
              <w:rPr>
                <w:rFonts w:ascii="Arial" w:cs="Arial" w:eastAsia="Arial" w:hAnsi="Arial"/>
                <w:sz w:val="30"/>
                <w:szCs w:val="30"/>
                <w:color w:val="auto"/>
                <w:vertAlign w:val="superscript"/>
              </w:rPr>
              <w:t>(8)</w:t>
            </w:r>
          </w:p>
        </w:tc>
      </w:tr>
      <w:tr>
        <w:trPr>
          <w:trHeight w:val="309"/>
        </w:trPr>
        <w:tc>
          <w:tcPr>
            <w:tcW w:w="1140" w:type="dxa"/>
            <w:vAlign w:val="bottom"/>
          </w:tcPr>
          <w:p>
            <w:pPr>
              <w:ind w:left="340"/>
              <w:spacing w:after="0"/>
              <w:rPr>
                <w:sz w:val="20"/>
                <w:szCs w:val="20"/>
                <w:color w:val="auto"/>
              </w:rPr>
            </w:pPr>
            <w:r>
              <w:rPr>
                <w:rFonts w:ascii="Arial" w:cs="Arial" w:eastAsia="Arial" w:hAnsi="Arial"/>
                <w:sz w:val="18"/>
                <w:szCs w:val="18"/>
                <w:color w:val="auto"/>
              </w:rPr>
              <w:t>11.1</w:t>
            </w:r>
          </w:p>
        </w:tc>
        <w:tc>
          <w:tcPr>
            <w:tcW w:w="10280" w:type="dxa"/>
            <w:vAlign w:val="bottom"/>
          </w:tcPr>
          <w:p>
            <w:pPr>
              <w:ind w:left="400"/>
              <w:spacing w:after="0"/>
              <w:rPr>
                <w:sz w:val="20"/>
                <w:szCs w:val="20"/>
                <w:color w:val="auto"/>
              </w:rPr>
            </w:pPr>
            <w:r>
              <w:rPr>
                <w:rFonts w:ascii="Arial" w:cs="Arial" w:eastAsia="Arial" w:hAnsi="Arial"/>
                <w:sz w:val="18"/>
                <w:szCs w:val="18"/>
                <w:color w:val="auto"/>
              </w:rPr>
              <w:t>Computation of Per Share Earnings (included in the notes to the consolidated financial statements contained in this report)</w:t>
            </w:r>
          </w:p>
        </w:tc>
      </w:tr>
      <w:tr>
        <w:trPr>
          <w:trHeight w:val="418"/>
        </w:trPr>
        <w:tc>
          <w:tcPr>
            <w:tcW w:w="1140" w:type="dxa"/>
            <w:vAlign w:val="bottom"/>
          </w:tcPr>
          <w:p>
            <w:pPr>
              <w:ind w:left="340"/>
              <w:spacing w:after="0"/>
              <w:rPr>
                <w:sz w:val="20"/>
                <w:szCs w:val="20"/>
                <w:color w:val="auto"/>
              </w:rPr>
            </w:pPr>
            <w:r>
              <w:rPr>
                <w:rFonts w:ascii="Arial" w:cs="Arial" w:eastAsia="Arial" w:hAnsi="Arial"/>
                <w:sz w:val="18"/>
                <w:szCs w:val="18"/>
                <w:color w:val="auto"/>
              </w:rPr>
              <w:t>31.1</w:t>
            </w:r>
          </w:p>
        </w:tc>
        <w:tc>
          <w:tcPr>
            <w:tcW w:w="10280" w:type="dxa"/>
            <w:vAlign w:val="bottom"/>
          </w:tcPr>
          <w:p>
            <w:pPr>
              <w:ind w:left="400"/>
              <w:spacing w:after="0"/>
              <w:rPr>
                <w:sz w:val="20"/>
                <w:szCs w:val="20"/>
                <w:color w:val="auto"/>
              </w:rPr>
            </w:pPr>
            <w:r>
              <w:rPr>
                <w:rFonts w:ascii="Arial" w:cs="Arial" w:eastAsia="Arial" w:hAnsi="Arial"/>
                <w:sz w:val="18"/>
                <w:szCs w:val="18"/>
                <w:color w:val="auto"/>
                <w:w w:val="97"/>
              </w:rPr>
              <w:t>Certification of Chief Executive Officer pursuant to Rule 13a-14 of the Securities Exchange Act of 1934, as adopted pursuant to</w:t>
            </w:r>
          </w:p>
        </w:tc>
      </w:tr>
      <w:tr>
        <w:trPr>
          <w:trHeight w:val="230"/>
        </w:trPr>
        <w:tc>
          <w:tcPr>
            <w:tcW w:w="1140" w:type="dxa"/>
            <w:vAlign w:val="bottom"/>
          </w:tcPr>
          <w:p>
            <w:pPr>
              <w:spacing w:after="0"/>
              <w:rPr>
                <w:sz w:val="20"/>
                <w:szCs w:val="20"/>
                <w:color w:val="auto"/>
              </w:rPr>
            </w:pPr>
          </w:p>
        </w:tc>
        <w:tc>
          <w:tcPr>
            <w:tcW w:w="10280" w:type="dxa"/>
            <w:vAlign w:val="bottom"/>
          </w:tcPr>
          <w:p>
            <w:pPr>
              <w:ind w:left="400"/>
              <w:spacing w:after="0"/>
              <w:rPr>
                <w:sz w:val="20"/>
                <w:szCs w:val="20"/>
                <w:color w:val="auto"/>
              </w:rPr>
            </w:pPr>
            <w:r>
              <w:rPr>
                <w:rFonts w:ascii="Arial" w:cs="Arial" w:eastAsia="Arial" w:hAnsi="Arial"/>
                <w:sz w:val="18"/>
                <w:szCs w:val="18"/>
                <w:color w:val="auto"/>
              </w:rPr>
              <w:t>Section 302 of the Sarbanes-Oxley Act of 2002 (filed herewith)</w:t>
            </w:r>
          </w:p>
        </w:tc>
      </w:tr>
      <w:tr>
        <w:trPr>
          <w:trHeight w:val="675"/>
        </w:trPr>
        <w:tc>
          <w:tcPr>
            <w:tcW w:w="1140" w:type="dxa"/>
            <w:vAlign w:val="bottom"/>
            <w:tcBorders>
              <w:bottom w:val="single" w:sz="8" w:color="auto"/>
            </w:tcBorders>
          </w:tcPr>
          <w:p>
            <w:pPr>
              <w:spacing w:after="0"/>
              <w:rPr>
                <w:sz w:val="24"/>
                <w:szCs w:val="24"/>
                <w:color w:val="auto"/>
              </w:rPr>
            </w:pPr>
          </w:p>
        </w:tc>
        <w:tc>
          <w:tcPr>
            <w:tcW w:w="10280" w:type="dxa"/>
            <w:vAlign w:val="bottom"/>
            <w:tcBorders>
              <w:bottom w:val="single" w:sz="8" w:color="auto"/>
            </w:tcBorders>
          </w:tcPr>
          <w:p>
            <w:pPr>
              <w:ind w:left="4460"/>
              <w:spacing w:after="0"/>
              <w:rPr>
                <w:sz w:val="20"/>
                <w:szCs w:val="20"/>
                <w:color w:val="auto"/>
              </w:rPr>
            </w:pPr>
            <w:r>
              <w:rPr>
                <w:rFonts w:ascii="Arial" w:cs="Arial" w:eastAsia="Arial" w:hAnsi="Arial"/>
                <w:sz w:val="22"/>
                <w:szCs w:val="22"/>
                <w:color w:val="auto"/>
              </w:rPr>
              <w:t>49</w:t>
            </w:r>
          </w:p>
        </w:tc>
      </w:tr>
    </w:tbl>
    <w:p>
      <w:pPr>
        <w:sectPr>
          <w:pgSz w:w="11900" w:h="16838" w:orient="portrait"/>
          <w:cols w:equalWidth="0" w:num="1">
            <w:col w:w="11420"/>
          </w:cols>
          <w:pgMar w:left="240" w:top="905" w:right="239" w:bottom="832" w:gutter="0" w:footer="0" w:header="0"/>
          <w:type w:val="continuous"/>
        </w:sectPr>
      </w:pPr>
    </w:p>
    <w:bookmarkStart w:id="59" w:name="page60"/>
    <w:bookmarkEnd w:id="59"/>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216"/>
        </w:trPr>
        <w:tc>
          <w:tcPr>
            <w:tcW w:w="760" w:type="dxa"/>
            <w:vAlign w:val="bottom"/>
          </w:tcPr>
          <w:p>
            <w:pPr>
              <w:jc w:val="right"/>
              <w:ind w:right="370"/>
              <w:spacing w:after="0"/>
              <w:rPr>
                <w:sz w:val="20"/>
                <w:szCs w:val="20"/>
                <w:color w:val="auto"/>
              </w:rPr>
            </w:pPr>
            <w:r>
              <w:rPr>
                <w:rFonts w:ascii="Arial" w:cs="Arial" w:eastAsia="Arial" w:hAnsi="Arial"/>
                <w:sz w:val="18"/>
                <w:szCs w:val="18"/>
                <w:color w:val="auto"/>
                <w:w w:val="79"/>
              </w:rPr>
              <w:t>31.2</w:t>
            </w:r>
          </w:p>
        </w:tc>
        <w:tc>
          <w:tcPr>
            <w:tcW w:w="9780" w:type="dxa"/>
            <w:vAlign w:val="bottom"/>
          </w:tcPr>
          <w:p>
            <w:pPr>
              <w:ind w:left="440"/>
              <w:spacing w:after="0"/>
              <w:rPr>
                <w:sz w:val="20"/>
                <w:szCs w:val="20"/>
                <w:color w:val="auto"/>
              </w:rPr>
            </w:pPr>
            <w:r>
              <w:rPr>
                <w:rFonts w:ascii="Arial" w:cs="Arial" w:eastAsia="Arial" w:hAnsi="Arial"/>
                <w:sz w:val="18"/>
                <w:szCs w:val="18"/>
                <w:color w:val="auto"/>
                <w:w w:val="92"/>
              </w:rPr>
              <w:t>Certification of Chief Financial Officer pursuant to Rule 13a-14 of the Securities Exchange Act of 1934, as adopted pursuant to</w:t>
            </w:r>
          </w:p>
        </w:tc>
      </w:tr>
      <w:tr>
        <w:trPr>
          <w:trHeight w:val="230"/>
        </w:trPr>
        <w:tc>
          <w:tcPr>
            <w:tcW w:w="760" w:type="dxa"/>
            <w:vAlign w:val="bottom"/>
          </w:tcPr>
          <w:p>
            <w:pPr>
              <w:spacing w:after="0"/>
              <w:rPr>
                <w:sz w:val="20"/>
                <w:szCs w:val="20"/>
                <w:color w:val="auto"/>
              </w:rPr>
            </w:pPr>
          </w:p>
        </w:tc>
        <w:tc>
          <w:tcPr>
            <w:tcW w:w="9780" w:type="dxa"/>
            <w:vAlign w:val="bottom"/>
          </w:tcPr>
          <w:p>
            <w:pPr>
              <w:ind w:left="440"/>
              <w:spacing w:after="0"/>
              <w:rPr>
                <w:sz w:val="20"/>
                <w:szCs w:val="20"/>
                <w:color w:val="auto"/>
              </w:rPr>
            </w:pPr>
            <w:r>
              <w:rPr>
                <w:rFonts w:ascii="Arial" w:cs="Arial" w:eastAsia="Arial" w:hAnsi="Arial"/>
                <w:sz w:val="18"/>
                <w:szCs w:val="18"/>
                <w:color w:val="auto"/>
              </w:rPr>
              <w:t>Section 302 of the Sarbanes-Oxley Act of 2002 (filed herewith)</w:t>
            </w:r>
          </w:p>
        </w:tc>
      </w:tr>
      <w:tr>
        <w:trPr>
          <w:trHeight w:val="418"/>
        </w:trPr>
        <w:tc>
          <w:tcPr>
            <w:tcW w:w="760" w:type="dxa"/>
            <w:vAlign w:val="bottom"/>
          </w:tcPr>
          <w:p>
            <w:pPr>
              <w:jc w:val="right"/>
              <w:ind w:right="370"/>
              <w:spacing w:after="0"/>
              <w:rPr>
                <w:sz w:val="20"/>
                <w:szCs w:val="20"/>
                <w:color w:val="auto"/>
              </w:rPr>
            </w:pPr>
            <w:r>
              <w:rPr>
                <w:rFonts w:ascii="Arial" w:cs="Arial" w:eastAsia="Arial" w:hAnsi="Arial"/>
                <w:sz w:val="18"/>
                <w:szCs w:val="18"/>
                <w:color w:val="auto"/>
                <w:w w:val="79"/>
              </w:rPr>
              <w:t>32.1</w:t>
            </w:r>
          </w:p>
        </w:tc>
        <w:tc>
          <w:tcPr>
            <w:tcW w:w="9780" w:type="dxa"/>
            <w:vAlign w:val="bottom"/>
          </w:tcPr>
          <w:p>
            <w:pPr>
              <w:ind w:left="440"/>
              <w:spacing w:after="0"/>
              <w:rPr>
                <w:sz w:val="20"/>
                <w:szCs w:val="20"/>
                <w:color w:val="auto"/>
              </w:rPr>
            </w:pPr>
            <w:r>
              <w:rPr>
                <w:rFonts w:ascii="Arial" w:cs="Arial" w:eastAsia="Arial" w:hAnsi="Arial"/>
                <w:sz w:val="18"/>
                <w:szCs w:val="18"/>
                <w:color w:val="auto"/>
                <w:w w:val="91"/>
              </w:rPr>
              <w:t>Certification of Chief Executive Officer 18 U.S.C. Section 1350, as adopted pursuant to section 906 of the Sarbanes-Oxley Act of</w:t>
            </w:r>
          </w:p>
        </w:tc>
      </w:tr>
      <w:tr>
        <w:trPr>
          <w:trHeight w:val="230"/>
        </w:trPr>
        <w:tc>
          <w:tcPr>
            <w:tcW w:w="760" w:type="dxa"/>
            <w:vAlign w:val="bottom"/>
          </w:tcPr>
          <w:p>
            <w:pPr>
              <w:spacing w:after="0"/>
              <w:rPr>
                <w:sz w:val="20"/>
                <w:szCs w:val="20"/>
                <w:color w:val="auto"/>
              </w:rPr>
            </w:pPr>
          </w:p>
        </w:tc>
        <w:tc>
          <w:tcPr>
            <w:tcW w:w="9780" w:type="dxa"/>
            <w:vAlign w:val="bottom"/>
          </w:tcPr>
          <w:p>
            <w:pPr>
              <w:ind w:left="440"/>
              <w:spacing w:after="0"/>
              <w:rPr>
                <w:sz w:val="20"/>
                <w:szCs w:val="20"/>
                <w:color w:val="auto"/>
              </w:rPr>
            </w:pPr>
            <w:r>
              <w:rPr>
                <w:rFonts w:ascii="Arial" w:cs="Arial" w:eastAsia="Arial" w:hAnsi="Arial"/>
                <w:sz w:val="18"/>
                <w:szCs w:val="18"/>
                <w:color w:val="auto"/>
              </w:rPr>
              <w:t>2002 (filed herewith)</w:t>
            </w:r>
          </w:p>
        </w:tc>
      </w:tr>
      <w:tr>
        <w:trPr>
          <w:trHeight w:val="418"/>
        </w:trPr>
        <w:tc>
          <w:tcPr>
            <w:tcW w:w="760" w:type="dxa"/>
            <w:vAlign w:val="bottom"/>
          </w:tcPr>
          <w:p>
            <w:pPr>
              <w:jc w:val="right"/>
              <w:ind w:right="370"/>
              <w:spacing w:after="0"/>
              <w:rPr>
                <w:sz w:val="20"/>
                <w:szCs w:val="20"/>
                <w:color w:val="auto"/>
              </w:rPr>
            </w:pPr>
            <w:r>
              <w:rPr>
                <w:rFonts w:ascii="Arial" w:cs="Arial" w:eastAsia="Arial" w:hAnsi="Arial"/>
                <w:sz w:val="18"/>
                <w:szCs w:val="18"/>
                <w:color w:val="auto"/>
                <w:w w:val="79"/>
              </w:rPr>
              <w:t>32.2</w:t>
            </w:r>
          </w:p>
        </w:tc>
        <w:tc>
          <w:tcPr>
            <w:tcW w:w="9780" w:type="dxa"/>
            <w:vAlign w:val="bottom"/>
          </w:tcPr>
          <w:p>
            <w:pPr>
              <w:ind w:left="440"/>
              <w:spacing w:after="0"/>
              <w:rPr>
                <w:sz w:val="20"/>
                <w:szCs w:val="20"/>
                <w:color w:val="auto"/>
              </w:rPr>
            </w:pPr>
            <w:r>
              <w:rPr>
                <w:rFonts w:ascii="Arial" w:cs="Arial" w:eastAsia="Arial" w:hAnsi="Arial"/>
                <w:sz w:val="18"/>
                <w:szCs w:val="18"/>
                <w:color w:val="auto"/>
                <w:w w:val="91"/>
              </w:rPr>
              <w:t>Certification of Chief Financial Officer 18 U.S.C. Section 1350, as adopted pursuant to section 906 of the Sarbanes-Oxley Act of</w:t>
            </w:r>
          </w:p>
        </w:tc>
      </w:tr>
      <w:tr>
        <w:trPr>
          <w:trHeight w:val="230"/>
        </w:trPr>
        <w:tc>
          <w:tcPr>
            <w:tcW w:w="760" w:type="dxa"/>
            <w:vAlign w:val="bottom"/>
          </w:tcPr>
          <w:p>
            <w:pPr>
              <w:spacing w:after="0"/>
              <w:rPr>
                <w:sz w:val="20"/>
                <w:szCs w:val="20"/>
                <w:color w:val="auto"/>
              </w:rPr>
            </w:pPr>
          </w:p>
        </w:tc>
        <w:tc>
          <w:tcPr>
            <w:tcW w:w="9780" w:type="dxa"/>
            <w:vAlign w:val="bottom"/>
          </w:tcPr>
          <w:p>
            <w:pPr>
              <w:ind w:left="440"/>
              <w:spacing w:after="0"/>
              <w:rPr>
                <w:sz w:val="20"/>
                <w:szCs w:val="20"/>
                <w:color w:val="auto"/>
              </w:rPr>
            </w:pPr>
            <w:r>
              <w:rPr>
                <w:rFonts w:ascii="Arial" w:cs="Arial" w:eastAsia="Arial" w:hAnsi="Arial"/>
                <w:sz w:val="18"/>
                <w:szCs w:val="18"/>
                <w:color w:val="auto"/>
              </w:rPr>
              <w:t>2002 (filed herewith)</w:t>
            </w:r>
          </w:p>
        </w:tc>
      </w:tr>
    </w:tbl>
    <w:p>
      <w:pPr>
        <w:spacing w:after="0" w:line="202" w:lineRule="exact"/>
        <w:rPr>
          <w:sz w:val="20"/>
          <w:szCs w:val="20"/>
          <w:color w:val="auto"/>
        </w:rPr>
      </w:pPr>
    </w:p>
    <w:p>
      <w:pPr>
        <w:ind w:left="988" w:hanging="988"/>
        <w:spacing w:after="0" w:line="277" w:lineRule="auto"/>
        <w:tabs>
          <w:tab w:leader="none" w:pos="988"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Previously filed in connection with the Pre-Effective Amendment No. 1 to Capitala Finance Corp.’s registration statement on Form N-2 (File No. 333-188956) filed on September 9, 2013.</w:t>
      </w:r>
    </w:p>
    <w:p>
      <w:pPr>
        <w:spacing w:after="0" w:line="170" w:lineRule="exact"/>
        <w:rPr>
          <w:rFonts w:ascii="Arial" w:cs="Arial" w:eastAsia="Arial" w:hAnsi="Arial"/>
          <w:sz w:val="18"/>
          <w:szCs w:val="18"/>
          <w:color w:val="auto"/>
        </w:rPr>
      </w:pPr>
    </w:p>
    <w:p>
      <w:pPr>
        <w:ind w:left="988" w:right="280" w:hanging="988"/>
        <w:spacing w:after="0" w:line="277" w:lineRule="auto"/>
        <w:tabs>
          <w:tab w:leader="none" w:pos="988"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2 to Capitala Finance Corp.’s registration statement on Form N-2 (File No. 333-188956) filed on September 16, 2013.</w:t>
      </w:r>
    </w:p>
    <w:p>
      <w:pPr>
        <w:spacing w:after="0" w:line="170" w:lineRule="exact"/>
        <w:rPr>
          <w:rFonts w:ascii="Arial" w:cs="Arial" w:eastAsia="Arial" w:hAnsi="Arial"/>
          <w:sz w:val="18"/>
          <w:szCs w:val="18"/>
          <w:color w:val="auto"/>
        </w:rPr>
      </w:pPr>
    </w:p>
    <w:p>
      <w:pPr>
        <w:ind w:left="988" w:right="280" w:hanging="988"/>
        <w:spacing w:after="0" w:line="277" w:lineRule="auto"/>
        <w:tabs>
          <w:tab w:leader="none" w:pos="988"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5 to Capitala Finance Corp.’s registration statement on Form N-2 (File No. 333-188956) filed on September 24, 2013.</w:t>
      </w:r>
    </w:p>
    <w:p>
      <w:pPr>
        <w:spacing w:after="0" w:line="170" w:lineRule="exact"/>
        <w:rPr>
          <w:rFonts w:ascii="Arial" w:cs="Arial" w:eastAsia="Arial" w:hAnsi="Arial"/>
          <w:sz w:val="18"/>
          <w:szCs w:val="18"/>
          <w:color w:val="auto"/>
        </w:rPr>
      </w:pPr>
    </w:p>
    <w:p>
      <w:pPr>
        <w:ind w:left="988" w:right="280" w:hanging="988"/>
        <w:spacing w:after="0" w:line="277" w:lineRule="auto"/>
        <w:tabs>
          <w:tab w:leader="none" w:pos="988"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2 to Capitala Finance Corp.’s registration statement on Form N-2 (File No. 333-193374) filed on May 21, 2014.</w:t>
      </w:r>
    </w:p>
    <w:p>
      <w:pPr>
        <w:spacing w:after="0" w:line="170" w:lineRule="exact"/>
        <w:rPr>
          <w:rFonts w:ascii="Arial" w:cs="Arial" w:eastAsia="Arial" w:hAnsi="Arial"/>
          <w:sz w:val="18"/>
          <w:szCs w:val="18"/>
          <w:color w:val="auto"/>
        </w:rPr>
      </w:pPr>
    </w:p>
    <w:p>
      <w:pPr>
        <w:ind w:left="988" w:hanging="988"/>
        <w:spacing w:after="0"/>
        <w:tabs>
          <w:tab w:leader="none" w:pos="988"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Previously filed in connection with Capitala Finance Corp.’s report on Form 8-K filed on October 21, 2014.</w:t>
      </w:r>
    </w:p>
    <w:p>
      <w:pPr>
        <w:spacing w:after="0" w:line="225" w:lineRule="exact"/>
        <w:rPr>
          <w:rFonts w:ascii="Arial" w:cs="Arial" w:eastAsia="Arial" w:hAnsi="Arial"/>
          <w:sz w:val="18"/>
          <w:szCs w:val="18"/>
          <w:color w:val="auto"/>
        </w:rPr>
      </w:pPr>
    </w:p>
    <w:p>
      <w:pPr>
        <w:ind w:left="988" w:hanging="988"/>
        <w:spacing w:after="0"/>
        <w:tabs>
          <w:tab w:leader="none" w:pos="988"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Previously filed in connection with Capitala Finance Corp.’s report on Form 8-K filed on January 8, 2015.</w:t>
      </w:r>
    </w:p>
    <w:p>
      <w:pPr>
        <w:spacing w:after="0" w:line="225" w:lineRule="exact"/>
        <w:rPr>
          <w:rFonts w:ascii="Arial" w:cs="Arial" w:eastAsia="Arial" w:hAnsi="Arial"/>
          <w:sz w:val="18"/>
          <w:szCs w:val="18"/>
          <w:color w:val="auto"/>
        </w:rPr>
      </w:pPr>
    </w:p>
    <w:p>
      <w:pPr>
        <w:ind w:left="988" w:hanging="988"/>
        <w:spacing w:after="0"/>
        <w:tabs>
          <w:tab w:leader="none" w:pos="988"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Previously filed in connection with Capitala Finance Corp.’s report on Form 8-K filed on March 24, 2015.</w:t>
      </w:r>
    </w:p>
    <w:p>
      <w:pPr>
        <w:spacing w:after="0" w:line="225" w:lineRule="exact"/>
        <w:rPr>
          <w:rFonts w:ascii="Arial" w:cs="Arial" w:eastAsia="Arial" w:hAnsi="Arial"/>
          <w:sz w:val="18"/>
          <w:szCs w:val="18"/>
          <w:color w:val="auto"/>
        </w:rPr>
      </w:pPr>
    </w:p>
    <w:p>
      <w:pPr>
        <w:ind w:left="988" w:hanging="988"/>
        <w:spacing w:after="0"/>
        <w:tabs>
          <w:tab w:leader="none" w:pos="988"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Previously filed in connection with Capitala Finance Corp.’s report on Form 8-K filed on August 25, 2015.</w:t>
      </w:r>
    </w:p>
    <w:p>
      <w:pPr>
        <w:spacing w:after="0" w:line="200" w:lineRule="exact"/>
        <w:rPr>
          <w:sz w:val="20"/>
          <w:szCs w:val="20"/>
          <w:color w:val="auto"/>
        </w:rPr>
      </w:pPr>
    </w:p>
    <w:p>
      <w:pPr>
        <w:spacing w:after="0" w:line="234" w:lineRule="exact"/>
        <w:rPr>
          <w:sz w:val="20"/>
          <w:szCs w:val="20"/>
          <w:color w:val="auto"/>
        </w:rPr>
      </w:pPr>
    </w:p>
    <w:p>
      <w:pPr>
        <w:jc w:val="center"/>
        <w:ind w:right="-7"/>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7620</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8"/>
          </w:cols>
          <w:pgMar w:left="572" w:top="1125" w:right="55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60" w:firstLine="88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Date: November 9, 2015</w:t>
            </w:r>
          </w:p>
        </w:tc>
        <w:tc>
          <w:tcPr>
            <w:tcW w:w="2520" w:type="dxa"/>
            <w:vAlign w:val="bottom"/>
          </w:tcPr>
          <w:p>
            <w:pPr>
              <w:ind w:left="196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B. Alala III</w:t>
            </w:r>
          </w:p>
        </w:tc>
      </w:tr>
      <w:tr>
        <w:trPr>
          <w:trHeight w:val="195"/>
        </w:trPr>
        <w:tc>
          <w:tcPr>
            <w:tcW w:w="37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Joseph B. Alala III</w:t>
            </w:r>
          </w:p>
        </w:tc>
      </w:tr>
      <w:tr>
        <w:trPr>
          <w:trHeight w:val="216"/>
        </w:trPr>
        <w:tc>
          <w:tcPr>
            <w:tcW w:w="37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37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230"/>
        </w:trPr>
        <w:tc>
          <w:tcPr>
            <w:tcW w:w="37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Capitala Finance Corp.</w:t>
            </w:r>
          </w:p>
        </w:tc>
      </w:tr>
      <w:tr>
        <w:trPr>
          <w:trHeight w:val="432"/>
        </w:trPr>
        <w:tc>
          <w:tcPr>
            <w:tcW w:w="3760" w:type="dxa"/>
            <w:vAlign w:val="bottom"/>
          </w:tcPr>
          <w:p>
            <w:pPr>
              <w:spacing w:after="0"/>
              <w:rPr>
                <w:sz w:val="20"/>
                <w:szCs w:val="20"/>
                <w:color w:val="auto"/>
              </w:rPr>
            </w:pPr>
            <w:r>
              <w:rPr>
                <w:rFonts w:ascii="Arial" w:cs="Arial" w:eastAsia="Arial" w:hAnsi="Arial"/>
                <w:sz w:val="18"/>
                <w:szCs w:val="18"/>
                <w:color w:val="auto"/>
              </w:rPr>
              <w:t>Date: November 9, 2015</w:t>
            </w:r>
          </w:p>
        </w:tc>
        <w:tc>
          <w:tcPr>
            <w:tcW w:w="2520" w:type="dxa"/>
            <w:vAlign w:val="bottom"/>
          </w:tcPr>
          <w:p>
            <w:pPr>
              <w:ind w:left="196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A. Arnall</w:t>
            </w:r>
          </w:p>
        </w:tc>
      </w:tr>
      <w:tr>
        <w:trPr>
          <w:trHeight w:val="195"/>
        </w:trPr>
        <w:tc>
          <w:tcPr>
            <w:tcW w:w="37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Stephen A. Arnall</w:t>
            </w:r>
          </w:p>
        </w:tc>
      </w:tr>
      <w:tr>
        <w:trPr>
          <w:trHeight w:val="216"/>
        </w:trPr>
        <w:tc>
          <w:tcPr>
            <w:tcW w:w="37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7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230"/>
        </w:trPr>
        <w:tc>
          <w:tcPr>
            <w:tcW w:w="37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Capitala Finance Corp.</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Joseph B. Alala III, certify that:</w:t>
      </w:r>
    </w:p>
    <w:p>
      <w:pPr>
        <w:spacing w:after="0" w:line="225" w:lineRule="exact"/>
        <w:rPr>
          <w:sz w:val="20"/>
          <w:szCs w:val="20"/>
          <w:color w:val="auto"/>
        </w:rPr>
      </w:pPr>
    </w:p>
    <w:p>
      <w:pPr>
        <w:ind w:left="580" w:hanging="572"/>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Capitala Finance Corp.;</w:t>
      </w:r>
    </w:p>
    <w:p>
      <w:pPr>
        <w:spacing w:after="0" w:line="225" w:lineRule="exact"/>
        <w:rPr>
          <w:rFonts w:ascii="Arial" w:cs="Arial" w:eastAsia="Arial" w:hAnsi="Arial"/>
          <w:sz w:val="18"/>
          <w:szCs w:val="18"/>
          <w:color w:val="auto"/>
        </w:rPr>
      </w:pPr>
    </w:p>
    <w:p>
      <w:pPr>
        <w:jc w:val="both"/>
        <w:ind w:left="580" w:right="360" w:hanging="572"/>
        <w:spacing w:after="0" w:line="264" w:lineRule="auto"/>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80" w:right="260" w:hanging="572"/>
        <w:spacing w:after="0" w:line="342" w:lineRule="auto"/>
        <w:tabs>
          <w:tab w:leader="none" w:pos="5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jc w:val="both"/>
        <w:ind w:left="580" w:right="360" w:hanging="572"/>
        <w:spacing w:after="0" w:line="264" w:lineRule="auto"/>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720" w:right="580" w:hanging="564"/>
        <w:spacing w:after="0" w:line="264" w:lineRule="auto"/>
        <w:tabs>
          <w:tab w:leader="none" w:pos="17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720" w:right="160" w:hanging="564"/>
        <w:spacing w:after="0" w:line="264" w:lineRule="auto"/>
        <w:tabs>
          <w:tab w:leader="none" w:pos="17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720" w:hanging="564"/>
        <w:spacing w:after="0" w:line="342" w:lineRule="auto"/>
        <w:tabs>
          <w:tab w:leader="none" w:pos="172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23" w:lineRule="exact"/>
        <w:rPr>
          <w:rFonts w:ascii="Arial" w:cs="Arial" w:eastAsia="Arial" w:hAnsi="Arial"/>
          <w:sz w:val="16"/>
          <w:szCs w:val="16"/>
          <w:color w:val="auto"/>
        </w:rPr>
      </w:pPr>
    </w:p>
    <w:p>
      <w:pPr>
        <w:ind w:left="1720" w:right="360" w:hanging="564"/>
        <w:spacing w:after="0" w:line="286" w:lineRule="auto"/>
        <w:tabs>
          <w:tab w:leader="none" w:pos="1720" w:val="left"/>
        </w:tabs>
        <w:numPr>
          <w:ilvl w:val="1"/>
          <w:numId w:val="2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580" w:right="60" w:hanging="572"/>
        <w:spacing w:after="0" w:line="308" w:lineRule="auto"/>
        <w:tabs>
          <w:tab w:leader="none" w:pos="5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720" w:right="220" w:hanging="564"/>
        <w:spacing w:after="0" w:line="342" w:lineRule="auto"/>
        <w:tabs>
          <w:tab w:leader="none" w:pos="172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720" w:hanging="564"/>
        <w:spacing w:after="0" w:line="277" w:lineRule="auto"/>
        <w:tabs>
          <w:tab w:leader="none" w:pos="17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2015</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Joseph B. Alala III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Joseph B. Alala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Stephen A. Arnall, certify that:</w:t>
      </w:r>
    </w:p>
    <w:p>
      <w:pPr>
        <w:spacing w:after="0" w:line="225" w:lineRule="exact"/>
        <w:rPr>
          <w:sz w:val="20"/>
          <w:szCs w:val="20"/>
          <w:color w:val="auto"/>
        </w:rPr>
      </w:pPr>
    </w:p>
    <w:p>
      <w:pPr>
        <w:ind w:left="580" w:hanging="572"/>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Capitala Finance Corp.;</w:t>
      </w:r>
    </w:p>
    <w:p>
      <w:pPr>
        <w:spacing w:after="0" w:line="225" w:lineRule="exact"/>
        <w:rPr>
          <w:rFonts w:ascii="Arial" w:cs="Arial" w:eastAsia="Arial" w:hAnsi="Arial"/>
          <w:sz w:val="18"/>
          <w:szCs w:val="18"/>
          <w:color w:val="auto"/>
        </w:rPr>
      </w:pPr>
    </w:p>
    <w:p>
      <w:pPr>
        <w:jc w:val="both"/>
        <w:ind w:left="580" w:right="360" w:hanging="572"/>
        <w:spacing w:after="0" w:line="264" w:lineRule="auto"/>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80" w:right="260" w:hanging="572"/>
        <w:spacing w:after="0" w:line="342" w:lineRule="auto"/>
        <w:tabs>
          <w:tab w:leader="none" w:pos="5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jc w:val="both"/>
        <w:ind w:left="580" w:right="360" w:hanging="572"/>
        <w:spacing w:after="0" w:line="264" w:lineRule="auto"/>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720" w:right="580" w:hanging="564"/>
        <w:spacing w:after="0" w:line="264" w:lineRule="auto"/>
        <w:tabs>
          <w:tab w:leader="none" w:pos="17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720" w:right="160" w:hanging="564"/>
        <w:spacing w:after="0" w:line="264" w:lineRule="auto"/>
        <w:tabs>
          <w:tab w:leader="none" w:pos="17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720" w:hanging="564"/>
        <w:spacing w:after="0" w:line="342" w:lineRule="auto"/>
        <w:tabs>
          <w:tab w:leader="none" w:pos="172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23" w:lineRule="exact"/>
        <w:rPr>
          <w:rFonts w:ascii="Arial" w:cs="Arial" w:eastAsia="Arial" w:hAnsi="Arial"/>
          <w:sz w:val="16"/>
          <w:szCs w:val="16"/>
          <w:color w:val="auto"/>
        </w:rPr>
      </w:pPr>
    </w:p>
    <w:p>
      <w:pPr>
        <w:ind w:left="1720" w:right="360" w:hanging="564"/>
        <w:spacing w:after="0" w:line="286" w:lineRule="auto"/>
        <w:tabs>
          <w:tab w:leader="none" w:pos="1720" w:val="left"/>
        </w:tabs>
        <w:numPr>
          <w:ilvl w:val="1"/>
          <w:numId w:val="2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580" w:right="60" w:hanging="572"/>
        <w:spacing w:after="0" w:line="308" w:lineRule="auto"/>
        <w:tabs>
          <w:tab w:leader="none" w:pos="5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720" w:right="220" w:hanging="564"/>
        <w:spacing w:after="0" w:line="342" w:lineRule="auto"/>
        <w:tabs>
          <w:tab w:leader="none" w:pos="172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720" w:right="500" w:hanging="564"/>
        <w:spacing w:after="0" w:line="277" w:lineRule="auto"/>
        <w:tabs>
          <w:tab w:leader="none" w:pos="17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2015</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Stephen A. Arnall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Stephen A. Arnall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I, Joseph B. Alala III, Chief Executive Officer, in connection with the Quarterly Report of Capitala Finance Corp. (the “Company”) on Form 10-Q for the quarterly period ended September 30, 2015, as filed with the U.S. Securities and Exchange Commission on the date hereof (the “Quarterly Report”), certify, pursuant to Section 906 of the Sarbanes-Oxley Act of 2002, that:</w:t>
      </w:r>
    </w:p>
    <w:p>
      <w:pPr>
        <w:spacing w:after="0" w:line="181" w:lineRule="exact"/>
        <w:rPr>
          <w:sz w:val="20"/>
          <w:szCs w:val="20"/>
          <w:color w:val="auto"/>
        </w:rPr>
      </w:pPr>
    </w:p>
    <w:p>
      <w:pPr>
        <w:ind w:left="1720" w:right="500" w:hanging="564"/>
        <w:spacing w:after="0" w:line="277" w:lineRule="auto"/>
        <w:tabs>
          <w:tab w:leader="none" w:pos="1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Quarterly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1720" w:right="540" w:hanging="564"/>
        <w:spacing w:after="0" w:line="277" w:lineRule="auto"/>
        <w:tabs>
          <w:tab w:leader="none" w:pos="1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2015</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Joseph B. Alala III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Joseph B. Alala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I, Stephen A. Arnall, Chief Financial Officer, in connection with the Quarterly Report of Capitala Finance Corp. (the “Company”) on Form 10-Q for the quarterly period ended September 30, 2015, as filed with the U.S. Securities and Exchange Commission on the date hereof (the “Quarterly Report”), certify, pursuant to Section 906 of the Sarbanes-Oxley Act of 2002, that:</w:t>
      </w:r>
    </w:p>
    <w:p>
      <w:pPr>
        <w:spacing w:after="0" w:line="181" w:lineRule="exact"/>
        <w:rPr>
          <w:sz w:val="20"/>
          <w:szCs w:val="20"/>
          <w:color w:val="auto"/>
        </w:rPr>
      </w:pPr>
    </w:p>
    <w:p>
      <w:pPr>
        <w:ind w:left="1720" w:right="500" w:hanging="564"/>
        <w:spacing w:after="0" w:line="277" w:lineRule="auto"/>
        <w:tabs>
          <w:tab w:leader="none" w:pos="1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Quarterly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1720" w:hanging="564"/>
        <w:spacing w:after="0" w:line="277" w:lineRule="auto"/>
        <w:tabs>
          <w:tab w:leader="none" w:pos="1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2015</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Stephen A. Arnall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Stephen A. Arnall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1)"/>
      <w:numFmt w:val="decimal"/>
      <w:start w:val="1"/>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1)"/>
      <w:numFmt w:val="decimal"/>
      <w:start w:val="3"/>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1"/>
      <w:numFmt w:val="upperLetter"/>
      <w:start w:val="6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
      <w:numFmt w:val="bullet"/>
      <w:start w:val="1"/>
    </w:lvl>
    <w:lvl w:ilvl="1">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1"/>
      <w:numFmt w:val="upperLetter"/>
      <w:start w:val="61"/>
    </w:lvl>
  </w:abstractNum>
  <w:abstractNum w:abstractNumId="22">
    <w:nsid w:val="B03E0C6"/>
    <w:multiLevelType w:val="hybridMultilevel"/>
    <w:lvl w:ilvl="0">
      <w:lvlJc w:val="left"/>
      <w:lvlText w:val="(%1)"/>
      <w:numFmt w:val="lowerLetter"/>
      <w:start w:val="1"/>
    </w:lvl>
  </w:abstractNum>
  <w:abstractNum w:abstractNumId="23">
    <w:nsid w:val="189A769B"/>
    <w:multiLevelType w:val="hybridMultilevel"/>
    <w:lvl w:ilvl="0">
      <w:lvlJc w:val="left"/>
      <w:lvlText w:val="(%1)"/>
      <w:numFmt w:val="lowerLetter"/>
      <w:start w:val="2"/>
    </w:lvl>
  </w:abstractNum>
  <w:abstractNum w:abstractNumId="24">
    <w:nsid w:val="54E49EB4"/>
    <w:multiLevelType w:val="hybridMultilevel"/>
    <w:lvl w:ilvl="0">
      <w:lvlJc w:val="left"/>
      <w:lvlText w:val="(%1)"/>
      <w:numFmt w:val="decimal"/>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2019-12-29T13:19:52Z</dcterms:created>
  <dcterms:modified xsi:type="dcterms:W3CDTF">2019-12-29T13:19:52Z</dcterms:modified>
</cp:coreProperties>
</file>