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2013</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245110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tbl>
      <w:tblPr>
        <w:tblLayout w:type="fixed"/>
        <w:tblInd w:w="400" w:type="dxa"/>
        <w:tblCellMar>
          <w:top w:w="0" w:type="dxa"/>
          <w:left w:w="0" w:type="dxa"/>
          <w:bottom w:w="0" w:type="dxa"/>
          <w:right w:w="0" w:type="dxa"/>
        </w:tblCellMar>
      </w:tblPr>
      <w:tr>
        <w:trPr>
          <w:trHeight w:val="173"/>
        </w:trPr>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520" w:type="dxa"/>
            <w:vAlign w:val="bottom"/>
          </w:tcPr>
          <w:p>
            <w:pPr>
              <w:spacing w:after="0"/>
              <w:rPr>
                <w:sz w:val="15"/>
                <w:szCs w:val="15"/>
                <w:color w:val="auto"/>
              </w:rPr>
            </w:pPr>
          </w:p>
        </w:tc>
        <w:tc>
          <w:tcPr>
            <w:tcW w:w="700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Exact name of registrants as specified in their charters, addresses of principal executive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49"/>
        </w:trPr>
        <w:tc>
          <w:tcPr>
            <w:tcW w:w="78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File Number</w:t>
            </w:r>
          </w:p>
        </w:tc>
        <w:tc>
          <w:tcPr>
            <w:tcW w:w="1520" w:type="dxa"/>
            <w:vAlign w:val="bottom"/>
          </w:tcPr>
          <w:p>
            <w:pPr>
              <w:spacing w:after="0"/>
              <w:rPr>
                <w:sz w:val="12"/>
                <w:szCs w:val="12"/>
                <w:color w:val="auto"/>
              </w:rPr>
            </w:pPr>
          </w:p>
        </w:tc>
        <w:tc>
          <w:tcPr>
            <w:tcW w:w="566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offices, telephone numbers and states or other jurisdictions of incorporation or organization</w:t>
            </w:r>
          </w:p>
        </w:tc>
        <w:tc>
          <w:tcPr>
            <w:tcW w:w="1340" w:type="dxa"/>
            <w:vAlign w:val="bottom"/>
          </w:tcPr>
          <w:p>
            <w:pPr>
              <w:spacing w:after="0"/>
              <w:rPr>
                <w:sz w:val="12"/>
                <w:szCs w:val="12"/>
                <w:color w:val="auto"/>
              </w:rPr>
            </w:pPr>
          </w:p>
        </w:tc>
        <w:tc>
          <w:tcPr>
            <w:tcW w:w="140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0" w:type="dxa"/>
            <w:vAlign w:val="bottom"/>
            <w:gridSpan w:val="2"/>
            <w:vMerge w:val="restart"/>
          </w:tcPr>
          <w:p>
            <w:pPr>
              <w:jc w:val="center"/>
              <w:ind w:right="1340"/>
              <w:spacing w:after="0"/>
              <w:rPr>
                <w:sz w:val="20"/>
                <w:szCs w:val="20"/>
                <w:color w:val="auto"/>
              </w:rPr>
            </w:pPr>
            <w:r>
              <w:rPr>
                <w:rFonts w:ascii="Times New Roman" w:cs="Times New Roman" w:eastAsia="Times New Roman" w:hAnsi="Times New Roman"/>
                <w:sz w:val="43"/>
                <w:szCs w:val="43"/>
                <w:b w:val="1"/>
                <w:bCs w:val="1"/>
                <w:color w:val="auto"/>
              </w:rPr>
              <w:t>Capitala Finance Corp.</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90-0945675</w:t>
            </w:r>
          </w:p>
        </w:tc>
        <w:tc>
          <w:tcPr>
            <w:tcW w:w="0" w:type="dxa"/>
            <w:vAlign w:val="bottom"/>
          </w:tcPr>
          <w:p>
            <w:pPr>
              <w:spacing w:after="0" w:line="20" w:lineRule="exact"/>
              <w:rPr>
                <w:sz w:val="1"/>
                <w:szCs w:val="1"/>
                <w:color w:val="auto"/>
              </w:rPr>
            </w:pPr>
          </w:p>
        </w:tc>
      </w:tr>
      <w:tr>
        <w:trPr>
          <w:trHeight w:val="219"/>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814-01022</w:t>
            </w:r>
          </w:p>
        </w:tc>
        <w:tc>
          <w:tcPr>
            <w:tcW w:w="1520" w:type="dxa"/>
            <w:vAlign w:val="bottom"/>
          </w:tcPr>
          <w:p>
            <w:pPr>
              <w:spacing w:after="0"/>
              <w:rPr>
                <w:sz w:val="19"/>
                <w:szCs w:val="19"/>
                <w:color w:val="auto"/>
              </w:rPr>
            </w:pPr>
          </w:p>
        </w:tc>
        <w:tc>
          <w:tcPr>
            <w:tcW w:w="7000" w:type="dxa"/>
            <w:vAlign w:val="bottom"/>
            <w:gridSpan w:val="2"/>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000" w:type="dxa"/>
            <w:vAlign w:val="bottom"/>
            <w:gridSpan w:val="2"/>
            <w:vMerge w:val="continue"/>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9"/>
              </w:rPr>
              <w:t>4201 Congress St., Suite 360</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Charlotte, North Carolina</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9"/>
              </w:rPr>
              <w:t>Telephone: (704) 376-5502</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000" w:type="dxa"/>
            <w:vAlign w:val="bottom"/>
            <w:gridSpan w:val="2"/>
          </w:tcPr>
          <w:p>
            <w:pPr>
              <w:jc w:val="center"/>
              <w:ind w:right="1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State of Incorporation: Maryland</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814-01021</w:t>
            </w:r>
          </w:p>
        </w:tc>
        <w:tc>
          <w:tcPr>
            <w:tcW w:w="85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43"/>
                <w:szCs w:val="43"/>
                <w:b w:val="1"/>
                <w:bCs w:val="1"/>
                <w:color w:val="auto"/>
              </w:rPr>
              <w:t>CapitalSouth Partners Fund II Limited</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55-0793325</w:t>
            </w: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8520" w:type="dxa"/>
            <w:vAlign w:val="bottom"/>
            <w:gridSpan w:val="3"/>
            <w:vMerge w:val="continue"/>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9"/>
        </w:trPr>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0" w:type="dxa"/>
            <w:vAlign w:val="bottom"/>
            <w:gridSpan w:val="2"/>
          </w:tcPr>
          <w:p>
            <w:pPr>
              <w:jc w:val="center"/>
              <w:ind w:right="1340"/>
              <w:spacing w:after="0"/>
              <w:rPr>
                <w:sz w:val="20"/>
                <w:szCs w:val="20"/>
                <w:color w:val="auto"/>
              </w:rPr>
            </w:pPr>
            <w:r>
              <w:rPr>
                <w:rFonts w:ascii="Times New Roman" w:cs="Times New Roman" w:eastAsia="Times New Roman" w:hAnsi="Times New Roman"/>
                <w:sz w:val="43"/>
                <w:szCs w:val="43"/>
                <w:b w:val="1"/>
                <w:bCs w:val="1"/>
                <w:color w:val="auto"/>
              </w:rPr>
              <w:t>Partnership</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9"/>
              </w:rPr>
              <w:t>4201 Congress St., Suite 360</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Charlotte, North Carolina</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9"/>
              </w:rPr>
              <w:t>Telephone: (704) 376-5502</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000" w:type="dxa"/>
            <w:vAlign w:val="bottom"/>
            <w:gridSpan w:val="2"/>
          </w:tcPr>
          <w:p>
            <w:pPr>
              <w:jc w:val="center"/>
              <w:ind w:right="1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State of Formation: North Carolina</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814-01023</w:t>
            </w:r>
          </w:p>
        </w:tc>
        <w:tc>
          <w:tcPr>
            <w:tcW w:w="85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43"/>
                <w:szCs w:val="43"/>
                <w:b w:val="1"/>
                <w:bCs w:val="1"/>
                <w:color w:val="auto"/>
              </w:rPr>
              <w:t>CapitalSouth Partners SBIC Fund III,</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20-8426667</w:t>
            </w:r>
          </w:p>
        </w:tc>
        <w:tc>
          <w:tcPr>
            <w:tcW w:w="0" w:type="dxa"/>
            <w:vAlign w:val="bottom"/>
          </w:tcPr>
          <w:p>
            <w:pPr>
              <w:spacing w:after="0"/>
              <w:rPr>
                <w:sz w:val="1"/>
                <w:szCs w:val="1"/>
                <w:color w:val="auto"/>
              </w:rPr>
            </w:pPr>
          </w:p>
        </w:tc>
      </w:tr>
      <w:tr>
        <w:trPr>
          <w:trHeight w:val="290"/>
        </w:trPr>
        <w:tc>
          <w:tcPr>
            <w:tcW w:w="780" w:type="dxa"/>
            <w:vAlign w:val="bottom"/>
          </w:tcPr>
          <w:p>
            <w:pPr>
              <w:spacing w:after="0"/>
              <w:rPr>
                <w:sz w:val="24"/>
                <w:szCs w:val="24"/>
                <w:color w:val="auto"/>
              </w:rPr>
            </w:pPr>
          </w:p>
        </w:tc>
        <w:tc>
          <w:tcPr>
            <w:tcW w:w="8520" w:type="dxa"/>
            <w:vAlign w:val="bottom"/>
            <w:gridSpan w:val="3"/>
            <w:vMerge w:val="continue"/>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ind w:right="280"/>
        <w:spacing w:after="0"/>
        <w:rPr>
          <w:sz w:val="20"/>
          <w:szCs w:val="20"/>
          <w:color w:val="auto"/>
        </w:rPr>
      </w:pPr>
      <w:r>
        <w:rPr>
          <w:rFonts w:ascii="Times New Roman" w:cs="Times New Roman" w:eastAsia="Times New Roman" w:hAnsi="Times New Roman"/>
          <w:sz w:val="43"/>
          <w:szCs w:val="43"/>
          <w:b w:val="1"/>
          <w:bCs w:val="1"/>
          <w:color w:val="auto"/>
        </w:rPr>
        <w:t>L.P.</w:t>
      </w: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4201 Congress St., Suite 360</w:t>
      </w:r>
    </w:p>
    <w:p>
      <w:pPr>
        <w:spacing w:after="0" w:line="7"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Charlotte, North Carolina</w:t>
      </w:r>
    </w:p>
    <w:p>
      <w:pPr>
        <w:spacing w:after="0" w:line="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Telephone: (704) 376-5502</w:t>
      </w:r>
    </w:p>
    <w:p>
      <w:pPr>
        <w:spacing w:after="0" w:line="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State of Formation: 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both"/>
        <w:ind w:firstLine="913"/>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4" w:lineRule="exact"/>
        <w:rPr>
          <w:sz w:val="24"/>
          <w:szCs w:val="24"/>
          <w:color w:val="auto"/>
        </w:rPr>
      </w:pPr>
    </w:p>
    <w:tbl>
      <w:tblPr>
        <w:tblLayout w:type="fixed"/>
        <w:tblInd w:w="1080" w:type="dxa"/>
        <w:tblCellMar>
          <w:top w:w="0" w:type="dxa"/>
          <w:left w:w="0" w:type="dxa"/>
          <w:bottom w:w="0" w:type="dxa"/>
          <w:right w:w="0" w:type="dxa"/>
        </w:tblCellMar>
      </w:tblP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Capitala Finance Corp.</w:t>
            </w:r>
          </w:p>
        </w:tc>
        <w:tc>
          <w:tcPr>
            <w:tcW w:w="2020" w:type="dxa"/>
            <w:vAlign w:val="bottom"/>
            <w:gridSpan w:val="2"/>
          </w:tcPr>
          <w:p>
            <w:pPr>
              <w:ind w:left="12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760" w:type="dxa"/>
            <w:vAlign w:val="bottom"/>
            <w:gridSpan w:val="2"/>
          </w:tcPr>
          <w:p>
            <w:pPr>
              <w:ind w:left="2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CapitalSouth Partners Fund II Limited Partnership</w:t>
            </w:r>
          </w:p>
        </w:tc>
        <w:tc>
          <w:tcPr>
            <w:tcW w:w="15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Yes</w:t>
            </w:r>
          </w:p>
        </w:tc>
        <w:tc>
          <w:tcPr>
            <w:tcW w:w="4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CapitalSouth Partners SBIC Fund III, L.P.</w:t>
            </w:r>
          </w:p>
        </w:tc>
        <w:tc>
          <w:tcPr>
            <w:tcW w:w="15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Yes</w:t>
            </w:r>
          </w:p>
        </w:tc>
        <w:tc>
          <w:tcPr>
            <w:tcW w:w="4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340"/>
          </w:cols>
          <w:pgMar w:left="240" w:top="226" w:right="319" w:bottom="1440" w:gutter="0" w:footer="0" w:header="0"/>
        </w:sectPr>
      </w:pPr>
    </w:p>
    <w:bookmarkStart w:id="1" w:name="page2"/>
    <w:bookmarkEnd w:id="1"/>
    <w:p>
      <w:pPr>
        <w:ind w:right="40" w:firstLine="913"/>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74"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Capitala Finance Corp.</w:t>
            </w:r>
          </w:p>
        </w:tc>
        <w:tc>
          <w:tcPr>
            <w:tcW w:w="2020" w:type="dxa"/>
            <w:vAlign w:val="bottom"/>
            <w:gridSpan w:val="2"/>
          </w:tcPr>
          <w:p>
            <w:pPr>
              <w:ind w:left="12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760" w:type="dxa"/>
            <w:vAlign w:val="bottom"/>
            <w:gridSpan w:val="2"/>
          </w:tcPr>
          <w:p>
            <w:pPr>
              <w:ind w:left="2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CapitalSouth Partners Fund II Limited Partnership</w:t>
            </w:r>
          </w:p>
        </w:tc>
        <w:tc>
          <w:tcPr>
            <w:tcW w:w="15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Yes</w:t>
            </w:r>
          </w:p>
        </w:tc>
        <w:tc>
          <w:tcPr>
            <w:tcW w:w="4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CapitalSouth Partners SBIC Fund III, L.P.</w:t>
            </w:r>
          </w:p>
        </w:tc>
        <w:tc>
          <w:tcPr>
            <w:tcW w:w="15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Yes</w:t>
            </w:r>
          </w:p>
        </w:tc>
        <w:tc>
          <w:tcPr>
            <w:tcW w:w="4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0"/>
          <w:szCs w:val="20"/>
          <w:color w:val="auto"/>
        </w:rPr>
      </w:pPr>
    </w:p>
    <w:p>
      <w:pPr>
        <w:ind w:right="400" w:firstLine="913"/>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Capitala Finance Corp.</w:t>
            </w:r>
          </w:p>
        </w:tc>
        <w:tc>
          <w:tcPr>
            <w:tcW w:w="2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Large accelerated filer</w:t>
            </w:r>
          </w:p>
        </w:tc>
        <w:tc>
          <w:tcPr>
            <w:tcW w:w="12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1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4260" w:type="dxa"/>
            <w:vAlign w:val="bottom"/>
          </w:tcPr>
          <w:p>
            <w:pPr>
              <w:spacing w:after="0"/>
              <w:rPr>
                <w:sz w:val="24"/>
                <w:szCs w:val="24"/>
                <w:color w:val="auto"/>
              </w:rPr>
            </w:pPr>
          </w:p>
        </w:tc>
        <w:tc>
          <w:tcPr>
            <w:tcW w:w="2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Non-accelerated filer</w:t>
            </w:r>
          </w:p>
        </w:tc>
        <w:tc>
          <w:tcPr>
            <w:tcW w:w="12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1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CapitalSouth Partners Fund II Limited Partnership</w:t>
            </w:r>
          </w:p>
        </w:tc>
        <w:tc>
          <w:tcPr>
            <w:tcW w:w="2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Large accelerated filer</w:t>
            </w:r>
          </w:p>
        </w:tc>
        <w:tc>
          <w:tcPr>
            <w:tcW w:w="12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1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4260" w:type="dxa"/>
            <w:vAlign w:val="bottom"/>
          </w:tcPr>
          <w:p>
            <w:pPr>
              <w:spacing w:after="0"/>
              <w:rPr>
                <w:sz w:val="24"/>
                <w:szCs w:val="24"/>
                <w:color w:val="auto"/>
              </w:rPr>
            </w:pPr>
          </w:p>
        </w:tc>
        <w:tc>
          <w:tcPr>
            <w:tcW w:w="2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Non-accelerated filer</w:t>
            </w:r>
          </w:p>
        </w:tc>
        <w:tc>
          <w:tcPr>
            <w:tcW w:w="12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1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CapitalSouth Partners SBIC Fund III, L.P.</w:t>
            </w:r>
          </w:p>
        </w:tc>
        <w:tc>
          <w:tcPr>
            <w:tcW w:w="2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Large accelerated filer</w:t>
            </w:r>
          </w:p>
        </w:tc>
        <w:tc>
          <w:tcPr>
            <w:tcW w:w="12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1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4260" w:type="dxa"/>
            <w:vAlign w:val="bottom"/>
          </w:tcPr>
          <w:p>
            <w:pPr>
              <w:spacing w:after="0"/>
              <w:rPr>
                <w:sz w:val="24"/>
                <w:szCs w:val="24"/>
                <w:color w:val="auto"/>
              </w:rPr>
            </w:pPr>
          </w:p>
        </w:tc>
        <w:tc>
          <w:tcPr>
            <w:tcW w:w="2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Non-accelerated filer</w:t>
            </w:r>
          </w:p>
        </w:tc>
        <w:tc>
          <w:tcPr>
            <w:tcW w:w="12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1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4"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Capitala Finance Corp.</w:t>
            </w:r>
          </w:p>
        </w:tc>
        <w:tc>
          <w:tcPr>
            <w:tcW w:w="2020" w:type="dxa"/>
            <w:vAlign w:val="bottom"/>
            <w:gridSpan w:val="2"/>
          </w:tcPr>
          <w:p>
            <w:pPr>
              <w:ind w:left="12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760" w:type="dxa"/>
            <w:vAlign w:val="bottom"/>
            <w:gridSpan w:val="2"/>
          </w:tcPr>
          <w:p>
            <w:pPr>
              <w:ind w:left="2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CapitalSouth Partners Fund II Limited Partnership</w:t>
            </w:r>
          </w:p>
        </w:tc>
        <w:tc>
          <w:tcPr>
            <w:tcW w:w="15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Yes</w:t>
            </w:r>
          </w:p>
        </w:tc>
        <w:tc>
          <w:tcPr>
            <w:tcW w:w="4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CapitalSouth Partners SBIC Fund III, L.P.</w:t>
            </w:r>
          </w:p>
        </w:tc>
        <w:tc>
          <w:tcPr>
            <w:tcW w:w="15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Yes</w:t>
            </w:r>
          </w:p>
        </w:tc>
        <w:tc>
          <w:tcPr>
            <w:tcW w:w="4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number of shares of Capitala Finance Corp.’s common stock, $0.01 par value, outstanding as of November 14, 2013 was 12,974,420.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251460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6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80" w:type="dxa"/>
            <w:vAlign w:val="bottom"/>
            <w:gridSpan w:val="19"/>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FINANCIAL INFORMATION</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w:t>
              </w:r>
            </w:hyperlink>
          </w:p>
        </w:tc>
        <w:tc>
          <w:tcPr>
            <w:tcW w:w="740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Statements of Assets and Liabilities as of September 30, 2013 (unaudited) and December 31, 2012</w:t>
              </w:r>
            </w:hyperlink>
          </w:p>
        </w:tc>
        <w:tc>
          <w:tcPr>
            <w:tcW w:w="168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Consolidated Statements of Operations for the three and nine months ended September 30, 2013 and 2012 (unaudited)</w:t>
              </w:r>
            </w:hyperlink>
          </w:p>
        </w:tc>
        <w:tc>
          <w:tcPr>
            <w:tcW w:w="126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3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Consolidated Schedules of Investments as of September 30, 2013 (unaudited) and December 31, 2012</w:t>
              </w:r>
            </w:hyperlink>
          </w:p>
        </w:tc>
        <w:tc>
          <w:tcPr>
            <w:tcW w:w="242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780" w:type="dxa"/>
            <w:vAlign w:val="bottom"/>
            <w:gridSpan w:val="19"/>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Consolidated Statements of Changes in Net Assets for the nine months ended September 30, 2013 and 2012 (unaudited)</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4"/>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4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Consolidated Statements of Cash Flows for the nine months ended September 30, 2013 and 2012 (unaudited)</w:t>
              </w:r>
            </w:hyperlink>
          </w:p>
        </w:tc>
        <w:tc>
          <w:tcPr>
            <w:tcW w:w="11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4"/>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6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Notes to Consolidated Financial Statements as of September 30, 2013 (unaudited)</w:t>
              </w:r>
            </w:hyperlink>
          </w:p>
        </w:tc>
        <w:tc>
          <w:tcPr>
            <w:tcW w:w="192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32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Quantitative and Qualitative Disclosures About Market Risk</w:t>
              </w:r>
            </w:hyperlink>
          </w:p>
        </w:tc>
        <w:tc>
          <w:tcPr>
            <w:tcW w:w="542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780" w:type="dxa"/>
            <w:vAlign w:val="bottom"/>
            <w:gridSpan w:val="19"/>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Controls and Procedures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44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2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8"/>
              </w:rPr>
            </w:pPr>
            <w:hyperlink w:anchor="page43">
              <w:r>
                <w:rPr>
                  <w:rFonts w:ascii="Times New Roman" w:cs="Times New Roman" w:eastAsia="Times New Roman" w:hAnsi="Times New Roman"/>
                  <w:sz w:val="18"/>
                  <w:szCs w:val="18"/>
                  <w:b w:val="1"/>
                  <w:bCs w:val="1"/>
                  <w:color w:val="0000EE"/>
                  <w:w w:val="98"/>
                </w:rPr>
                <w:t>OTHER INFORMATION</w:t>
              </w:r>
            </w:hyperlink>
          </w:p>
        </w:tc>
        <w:tc>
          <w:tcPr>
            <w:tcW w:w="776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43">
              <w:r>
                <w:rPr>
                  <w:rFonts w:ascii="Times New Roman" w:cs="Times New Roman" w:eastAsia="Times New Roman" w:hAnsi="Times New Roman"/>
                  <w:sz w:val="18"/>
                  <w:szCs w:val="18"/>
                  <w:color w:val="0000EE"/>
                  <w:w w:val="98"/>
                </w:rPr>
                <w:t>Legal Proceedings</w:t>
              </w:r>
            </w:hyperlink>
          </w:p>
        </w:tc>
        <w:tc>
          <w:tcPr>
            <w:tcW w:w="8440" w:type="dxa"/>
            <w:vAlign w:val="bottom"/>
            <w:gridSpan w:val="15"/>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780" w:type="dxa"/>
            <w:vAlign w:val="bottom"/>
            <w:gridSpan w:val="19"/>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Risk Factors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44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780" w:type="dxa"/>
            <w:vAlign w:val="bottom"/>
            <w:gridSpan w:val="19"/>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Unregistered Sales of Equity Securities and Use of Proceeds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Defaults upon Senior Securities</w:t>
              </w:r>
            </w:hyperlink>
          </w:p>
        </w:tc>
        <w:tc>
          <w:tcPr>
            <w:tcW w:w="544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28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Mine Safety Disclosures</w:t>
              </w:r>
            </w:hyperlink>
          </w:p>
        </w:tc>
        <w:tc>
          <w:tcPr>
            <w:tcW w:w="750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63">
              <w:r>
                <w:rPr>
                  <w:rFonts w:ascii="Times New Roman" w:cs="Times New Roman" w:eastAsia="Times New Roman" w:hAnsi="Times New Roman"/>
                  <w:sz w:val="18"/>
                  <w:szCs w:val="18"/>
                  <w:color w:val="0000EE"/>
                  <w:w w:val="98"/>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802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780" w:type="dxa"/>
            <w:vAlign w:val="bottom"/>
            <w:gridSpan w:val="19"/>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Exhibits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04"/>
        </w:trPr>
        <w:tc>
          <w:tcPr>
            <w:tcW w:w="1240" w:type="dxa"/>
            <w:vAlign w:val="bottom"/>
            <w:gridSpan w:val="2"/>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85"/>
        </w:trPr>
        <w:tc>
          <w:tcPr>
            <w:tcW w:w="7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5900" w:type="dxa"/>
            <w:vAlign w:val="bottom"/>
            <w:gridSpan w:val="12"/>
          </w:tcPr>
          <w:p>
            <w:pPr>
              <w:ind w:left="442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320"/>
          </w:cols>
          <w:pgMar w:left="240" w:top="455"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Assets and Liabilities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2013</w:t>
            </w:r>
          </w:p>
        </w:tc>
        <w:tc>
          <w:tcPr>
            <w:tcW w:w="11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Non-control/non-affiliate investments (amortized cost of $63,469 and $61,609, respectively)</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79,008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Affiliate investments (amortized cost of $145,591 and $122,655, respectively)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168,143</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Control investments (amortized cost of $59,242 and $43,434, respectively)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83,826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investments at fair value (amortized cost of $268,302 and $227,698, respectively)</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330,977</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133,525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dividend receivable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1,782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fees (net of accumulated amortization of $2,420 and 1,898, respectively)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4,667</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473,268</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SBA debentures payable</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202,200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843</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203,546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ASSETS</w:t>
            </w: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partner’s capital</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Limited partners’ capital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77,358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$.01, 100,000,000 common shares authorized, 12,974,420 and 0 common shares issued and</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respectively</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190,158</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realized earnings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16,759</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appreciation on investments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62,675</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269,722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net assets</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473,268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20.79</w:t>
            </w:r>
          </w:p>
        </w:tc>
        <w:tc>
          <w:tcPr>
            <w:tcW w:w="16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0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 – Not Applicable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INVESTMENT INCOME</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Loan interest, fee and dividend income: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Non-control/Non-affiliate investments</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6,112</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Affiliate investments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2,815</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Control investments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loan interest, fee and dividend income</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Payment-in-kind interest income: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Non-control/Non-affiliate investments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Affiliate investments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Control investments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payment-in-kind interest income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23"/>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pass-through entities:</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Non-control/Non-affiliate investments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27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Affiliate investments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tcPr>
          <w:p>
            <w:pPr>
              <w:spacing w:after="0"/>
              <w:rPr>
                <w:sz w:val="18"/>
                <w:szCs w:val="18"/>
                <w:color w:val="auto"/>
              </w:rPr>
            </w:pPr>
          </w:p>
        </w:tc>
        <w:tc>
          <w:tcPr>
            <w:tcW w:w="1140" w:type="dxa"/>
            <w:vAlign w:val="bottom"/>
            <w:gridSpan w:val="2"/>
          </w:tcPr>
          <w:p>
            <w:pPr>
              <w:jc w:val="center"/>
              <w:ind w:left="27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Control investments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27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income from pass-through entities</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ind w:left="47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cash and cash equivalents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investment income</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8,801</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and amortization of deferred financing fees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INVESTMENT INCOME</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13,385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AND UNREALIZED GAIN (LOSS) ON INVESTMENTS: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 (loss) from investments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Non-control/Non-affiliate investments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Affiliate investments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(4,140)</w:t>
            </w:r>
          </w:p>
        </w:tc>
        <w:tc>
          <w:tcPr>
            <w:tcW w:w="280" w:type="dxa"/>
            <w:vAlign w:val="bottom"/>
          </w:tcPr>
          <w:p>
            <w:pPr>
              <w:spacing w:after="0"/>
              <w:rPr>
                <w:sz w:val="18"/>
                <w:szCs w:val="18"/>
                <w:color w:val="auto"/>
              </w:rPr>
            </w:pPr>
          </w:p>
        </w:tc>
        <w:tc>
          <w:tcPr>
            <w:tcW w:w="1140" w:type="dxa"/>
            <w:vAlign w:val="bottom"/>
            <w:gridSpan w:val="2"/>
          </w:tcPr>
          <w:p>
            <w:pPr>
              <w:jc w:val="center"/>
              <w:ind w:left="27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Control investments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27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realized gain from investments</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appreciation on investments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7,312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gain on investments</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7,508</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10,778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22,062</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30,874</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INCREASE IN NET ASSETS PER SHARE RESULTING FROM</w:t>
            </w: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58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OPERATIONS – BASIC AND DILUTED</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0.61</w:t>
            </w:r>
          </w:p>
        </w:tc>
        <w:tc>
          <w:tcPr>
            <w:tcW w:w="280" w:type="dxa"/>
            <w:vAlign w:val="bottom"/>
          </w:tcPr>
          <w:p>
            <w:pPr>
              <w:spacing w:after="0"/>
              <w:rPr>
                <w:sz w:val="20"/>
                <w:szCs w:val="20"/>
                <w:color w:val="auto"/>
              </w:rPr>
            </w:pPr>
          </w:p>
        </w:tc>
        <w:tc>
          <w:tcPr>
            <w:tcW w:w="114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center"/>
              <w:ind w:left="411"/>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STOCK OUTSTANDING - BASIC AND</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12,974,420</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12,974,420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 – Not Applicable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units)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2"/>
                <w:szCs w:val="12"/>
                <w:b w:val="1"/>
                <w:bCs w:val="1"/>
                <w:color w:val="auto"/>
              </w:rPr>
              <w:t>(4, 5)</w:t>
            </w:r>
          </w:p>
        </w:tc>
        <w:tc>
          <w:tcPr>
            <w:tcW w:w="2440" w:type="dxa"/>
            <w:vAlign w:val="bottom"/>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200" w:type="dxa"/>
            <w:vAlign w:val="bottom"/>
          </w:tcPr>
          <w:p>
            <w:pPr>
              <w:spacing w:after="0"/>
              <w:rPr>
                <w:sz w:val="13"/>
                <w:szCs w:val="13"/>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Interest Rate /</w:t>
            </w:r>
          </w:p>
        </w:tc>
        <w:tc>
          <w:tcPr>
            <w:tcW w:w="20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6"/>
        </w:trPr>
        <w:tc>
          <w:tcPr>
            <w:tcW w:w="2940" w:type="dxa"/>
            <w:vAlign w:val="bottom"/>
            <w:gridSpan w:val="2"/>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0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vMerge w:val="continue"/>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920" w:type="dxa"/>
            <w:vAlign w:val="bottom"/>
            <w:tcBorders>
              <w:top w:val="single" w:sz="8" w:color="auto"/>
            </w:tcBorders>
          </w:tcPr>
          <w:p>
            <w:pPr>
              <w:spacing w:after="0"/>
              <w:rPr>
                <w:sz w:val="7"/>
                <w:szCs w:val="7"/>
                <w:color w:val="auto"/>
              </w:rPr>
            </w:pPr>
          </w:p>
        </w:tc>
        <w:tc>
          <w:tcPr>
            <w:tcW w:w="24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Non-control/Non-affiliated investments - 29.3%</w:t>
            </w: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tcBorders>
              <w:lef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AAE Acquisition, LLC</w:t>
            </w:r>
          </w:p>
        </w:tc>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Industrial Equipment Rental</w:t>
            </w:r>
          </w:p>
        </w:tc>
        <w:tc>
          <w:tcPr>
            <w:tcW w:w="26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Senior Secured Term Debt (12% Cash,</w:t>
            </w:r>
          </w:p>
        </w:tc>
        <w:tc>
          <w:tcPr>
            <w:tcW w:w="10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  19,000</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3"/>
              </w:rPr>
              <w:t>$ 18,992</w:t>
            </w:r>
          </w:p>
        </w:tc>
        <w:tc>
          <w:tcPr>
            <w:tcW w:w="300" w:type="dxa"/>
            <w:vAlign w:val="bottom"/>
          </w:tcPr>
          <w:p>
            <w:pPr>
              <w:spacing w:after="0"/>
              <w:rPr>
                <w:sz w:val="20"/>
                <w:szCs w:val="20"/>
                <w:color w:val="auto"/>
              </w:rPr>
            </w:pP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w w:val="93"/>
              </w:rPr>
              <w:t>$ 19,000</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6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Due 5/6/15)</w:t>
            </w:r>
          </w:p>
        </w:tc>
        <w:tc>
          <w:tcPr>
            <w:tcW w:w="1060" w:type="dxa"/>
            <w:vAlign w:val="bottom"/>
            <w:gridSpan w:val="3"/>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9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AAE Acquisition, LLC</w:t>
            </w:r>
          </w:p>
        </w:tc>
        <w:tc>
          <w:tcPr>
            <w:tcW w:w="2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Industrial Equipment Rental</w:t>
            </w:r>
          </w:p>
        </w:tc>
        <w:tc>
          <w:tcPr>
            <w:tcW w:w="26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Membership Units (10,964 units)</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300" w:type="dxa"/>
            <w:vAlign w:val="bottom"/>
            <w:tcBorders>
              <w:lef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19,017</w:t>
            </w:r>
          </w:p>
        </w:tc>
        <w:tc>
          <w:tcPr>
            <w:tcW w:w="3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22,500</w:t>
            </w:r>
          </w:p>
        </w:tc>
        <w:tc>
          <w:tcPr>
            <w:tcW w:w="2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9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American Exteriors, LLC</w:t>
            </w:r>
          </w:p>
        </w:tc>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Replacement Window Manufacturer</w:t>
            </w:r>
          </w:p>
        </w:tc>
        <w:tc>
          <w:tcPr>
            <w:tcW w:w="264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Senior Secured Debt (14.0% Cash, Due</w:t>
            </w:r>
          </w:p>
        </w:tc>
        <w:tc>
          <w:tcPr>
            <w:tcW w:w="106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4,565</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w:t>
            </w:r>
          </w:p>
        </w:tc>
        <w:tc>
          <w:tcPr>
            <w:tcW w:w="300" w:type="dxa"/>
            <w:vAlign w:val="bottom"/>
            <w:tcBorders>
              <w:left w:val="single" w:sz="8" w:color="CCEEFF"/>
            </w:tcBorders>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4,565</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6/30/14)</w:t>
            </w:r>
          </w:p>
        </w:tc>
        <w:tc>
          <w:tcPr>
            <w:tcW w:w="1060" w:type="dxa"/>
            <w:vAlign w:val="bottom"/>
            <w:gridSpan w:val="3"/>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300" w:type="dxa"/>
            <w:vAlign w:val="bottom"/>
            <w:tcBorders>
              <w:left w:val="single" w:sz="8" w:color="CCEEFF"/>
            </w:tcBorders>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American Exteriors, LLC </w:t>
            </w:r>
            <w:r>
              <w:rPr>
                <w:rFonts w:ascii="Times New Roman" w:cs="Times New Roman" w:eastAsia="Times New Roman" w:hAnsi="Times New Roman"/>
                <w:sz w:val="12"/>
                <w:szCs w:val="12"/>
                <w:color w:val="auto"/>
              </w:rPr>
              <w:t>(1)</w:t>
            </w:r>
          </w:p>
        </w:tc>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Replacement Window Manufacturer</w:t>
            </w:r>
          </w:p>
        </w:tc>
        <w:tc>
          <w:tcPr>
            <w:tcW w:w="26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Jr. Convertible Note (10.0% Cash, Due</w:t>
            </w:r>
          </w:p>
        </w:tc>
        <w:tc>
          <w:tcPr>
            <w:tcW w:w="106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color w:val="auto"/>
              </w:rPr>
              <w:t>600</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300" w:type="dxa"/>
            <w:vAlign w:val="bottom"/>
          </w:tcPr>
          <w:p>
            <w:pPr>
              <w:spacing w:after="0"/>
              <w:rPr>
                <w:sz w:val="20"/>
                <w:szCs w:val="20"/>
                <w:color w:val="auto"/>
              </w:rPr>
            </w:pP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600</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6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6/30/15)</w:t>
            </w:r>
          </w:p>
        </w:tc>
        <w:tc>
          <w:tcPr>
            <w:tcW w:w="1060" w:type="dxa"/>
            <w:vAlign w:val="bottom"/>
            <w:gridSpan w:val="3"/>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9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American Exteriors, LLC</w:t>
            </w:r>
          </w:p>
        </w:tc>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Replacement Window Manufacturer</w:t>
            </w:r>
          </w:p>
        </w:tc>
        <w:tc>
          <w:tcPr>
            <w:tcW w:w="264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Common Stock Warrants (15% fully</w:t>
            </w:r>
          </w:p>
        </w:tc>
        <w:tc>
          <w:tcPr>
            <w:tcW w:w="2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left w:val="single" w:sz="8" w:color="CCEEFF"/>
            </w:tcBorders>
            <w:vMerge w:val="restart"/>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280" w:type="dxa"/>
            <w:vAlign w:val="bottom"/>
            <w:vMerge w:val="restart"/>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2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300" w:type="dxa"/>
            <w:vAlign w:val="bottom"/>
            <w:tcBorders>
              <w:left w:val="single" w:sz="8" w:color="CCEEFF"/>
            </w:tcBorders>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3,781</w:t>
            </w:r>
          </w:p>
        </w:tc>
        <w:tc>
          <w:tcPr>
            <w:tcW w:w="3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6,559</w:t>
            </w:r>
          </w:p>
        </w:tc>
        <w:tc>
          <w:tcPr>
            <w:tcW w:w="2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9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Boot Barn Holding Corporation</w:t>
            </w:r>
          </w:p>
        </w:tc>
        <w:tc>
          <w:tcPr>
            <w:tcW w:w="2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Western Wear Retail</w:t>
            </w:r>
          </w:p>
        </w:tc>
        <w:tc>
          <w:tcPr>
            <w:tcW w:w="26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Stock (2,400 shares)</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300" w:type="dxa"/>
            <w:vAlign w:val="bottom"/>
            <w:tcBorders>
              <w:lef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5,071</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2,400</w:t>
            </w:r>
          </w:p>
        </w:tc>
        <w:tc>
          <w:tcPr>
            <w:tcW w:w="3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5,071</w:t>
            </w:r>
          </w:p>
        </w:tc>
        <w:tc>
          <w:tcPr>
            <w:tcW w:w="2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9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Caregiver Services, Inc.</w:t>
            </w:r>
          </w:p>
        </w:tc>
        <w:tc>
          <w:tcPr>
            <w:tcW w:w="2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In-Home Healthcare Services</w:t>
            </w:r>
          </w:p>
        </w:tc>
        <w:tc>
          <w:tcPr>
            <w:tcW w:w="26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Stock (293,186 shares)</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30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Caregiver Services, Inc.</w:t>
            </w:r>
          </w:p>
        </w:tc>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In-Home Healthcare Services</w:t>
            </w:r>
          </w:p>
        </w:tc>
        <w:tc>
          <w:tcPr>
            <w:tcW w:w="26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Common Stock Warrants (2.98% fully</w:t>
            </w:r>
          </w:p>
        </w:tc>
        <w:tc>
          <w:tcPr>
            <w:tcW w:w="200" w:type="dxa"/>
            <w:vAlign w:val="bottom"/>
          </w:tcPr>
          <w:p>
            <w:pPr>
              <w:spacing w:after="0"/>
              <w:rPr>
                <w:sz w:val="20"/>
                <w:szCs w:val="20"/>
                <w:color w:val="auto"/>
              </w:rPr>
            </w:pPr>
          </w:p>
        </w:tc>
        <w:tc>
          <w:tcPr>
            <w:tcW w:w="8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300" w:type="dxa"/>
            <w:vAlign w:val="bottom"/>
          </w:tcPr>
          <w:p>
            <w:pPr>
              <w:spacing w:after="0"/>
              <w:rPr>
                <w:sz w:val="20"/>
                <w:szCs w:val="2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280" w:type="dxa"/>
            <w:vAlign w:val="bottom"/>
            <w:vMerge w:val="restart"/>
          </w:tcPr>
          <w:p>
            <w:pPr>
              <w:spacing w:after="0"/>
              <w:rPr>
                <w:sz w:val="20"/>
                <w:szCs w:val="2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6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522</w:t>
            </w:r>
          </w:p>
        </w:tc>
        <w:tc>
          <w:tcPr>
            <w:tcW w:w="300" w:type="dxa"/>
            <w:vAlign w:val="bottom"/>
            <w:tcBorders>
              <w:lef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874</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Immersive Media Tactical Solutions, LLC</w:t>
            </w:r>
          </w:p>
        </w:tc>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Specialty Defense Contractor</w:t>
            </w:r>
          </w:p>
        </w:tc>
        <w:tc>
          <w:tcPr>
            <w:tcW w:w="26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Senior Secured Term Debt (13% Cash,</w:t>
            </w: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940" w:type="dxa"/>
            <w:vAlign w:val="bottom"/>
            <w:gridSpan w:val="2"/>
            <w:vMerge w:val="continue"/>
          </w:tcPr>
          <w:p>
            <w:pPr>
              <w:spacing w:after="0"/>
              <w:rPr>
                <w:sz w:val="20"/>
                <w:szCs w:val="20"/>
                <w:color w:val="auto"/>
              </w:rPr>
            </w:pPr>
          </w:p>
        </w:tc>
        <w:tc>
          <w:tcPr>
            <w:tcW w:w="2440" w:type="dxa"/>
            <w:vAlign w:val="bottom"/>
            <w:vMerge w:val="continue"/>
          </w:tcPr>
          <w:p>
            <w:pPr>
              <w:spacing w:after="0"/>
              <w:rPr>
                <w:sz w:val="20"/>
                <w:szCs w:val="20"/>
                <w:color w:val="auto"/>
              </w:rPr>
            </w:pPr>
          </w:p>
        </w:tc>
        <w:tc>
          <w:tcPr>
            <w:tcW w:w="2640" w:type="dxa"/>
            <w:vAlign w:val="bottom"/>
            <w:gridSpan w:val="2"/>
            <w:vMerge w:val="continue"/>
          </w:tcPr>
          <w:p>
            <w:pPr>
              <w:spacing w:after="0"/>
              <w:rPr>
                <w:sz w:val="20"/>
                <w:szCs w:val="20"/>
                <w:color w:val="auto"/>
              </w:rPr>
            </w:pPr>
          </w:p>
        </w:tc>
        <w:tc>
          <w:tcPr>
            <w:tcW w:w="10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2,000</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300" w:type="dxa"/>
            <w:vAlign w:val="bottom"/>
          </w:tcPr>
          <w:p>
            <w:pPr>
              <w:spacing w:after="0"/>
              <w:rPr>
                <w:sz w:val="20"/>
                <w:szCs w:val="2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280" w:type="dxa"/>
            <w:vAlign w:val="bottom"/>
            <w:vMerge w:val="restart"/>
          </w:tcPr>
          <w:p>
            <w:pPr>
              <w:spacing w:after="0"/>
              <w:rPr>
                <w:sz w:val="20"/>
                <w:szCs w:val="2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6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Due 10/6/16)</w:t>
            </w:r>
          </w:p>
        </w:tc>
        <w:tc>
          <w:tcPr>
            <w:tcW w:w="1060" w:type="dxa"/>
            <w:vAlign w:val="bottom"/>
            <w:gridSpan w:val="3"/>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9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Immersive Media Tactical Solutions, LLC</w:t>
            </w:r>
          </w:p>
        </w:tc>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Specialty Defense Contractor</w:t>
            </w:r>
          </w:p>
        </w:tc>
        <w:tc>
          <w:tcPr>
            <w:tcW w:w="264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Common Unit Warrants (12% fully</w:t>
            </w:r>
          </w:p>
        </w:tc>
        <w:tc>
          <w:tcPr>
            <w:tcW w:w="2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left w:val="single" w:sz="8" w:color="CCEEFF"/>
            </w:tcBorders>
            <w:vMerge w:val="restart"/>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280" w:type="dxa"/>
            <w:vAlign w:val="bottom"/>
            <w:vMerge w:val="restart"/>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2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300" w:type="dxa"/>
            <w:vAlign w:val="bottom"/>
            <w:tcBorders>
              <w:left w:val="single" w:sz="8" w:color="CCEEFF"/>
            </w:tcBorders>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2,000</w:t>
            </w:r>
          </w:p>
        </w:tc>
        <w:tc>
          <w:tcPr>
            <w:tcW w:w="3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2,722</w:t>
            </w:r>
          </w:p>
        </w:tc>
        <w:tc>
          <w:tcPr>
            <w:tcW w:w="2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9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Medical Depot, Inc.</w:t>
            </w:r>
          </w:p>
        </w:tc>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Medical Device Manufacturer</w:t>
            </w:r>
          </w:p>
        </w:tc>
        <w:tc>
          <w:tcPr>
            <w:tcW w:w="264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Subordinated Debt (14% Cash, Due</w:t>
            </w:r>
          </w:p>
        </w:tc>
        <w:tc>
          <w:tcPr>
            <w:tcW w:w="106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4,667</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4,667</w:t>
            </w:r>
          </w:p>
        </w:tc>
        <w:tc>
          <w:tcPr>
            <w:tcW w:w="300" w:type="dxa"/>
            <w:vAlign w:val="bottom"/>
            <w:tcBorders>
              <w:left w:val="single" w:sz="8" w:color="CCEEFF"/>
            </w:tcBorders>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4,667</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10/11/16)</w:t>
            </w:r>
          </w:p>
        </w:tc>
        <w:tc>
          <w:tcPr>
            <w:tcW w:w="1060" w:type="dxa"/>
            <w:vAlign w:val="bottom"/>
            <w:gridSpan w:val="3"/>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300" w:type="dxa"/>
            <w:vAlign w:val="bottom"/>
            <w:tcBorders>
              <w:left w:val="single" w:sz="8" w:color="CCEEFF"/>
            </w:tcBorders>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Medical Depot, Inc.</w:t>
            </w:r>
          </w:p>
        </w:tc>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Medical Device Manufacturer</w:t>
            </w:r>
          </w:p>
        </w:tc>
        <w:tc>
          <w:tcPr>
            <w:tcW w:w="26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Series C Convertible Preferred Stock</w:t>
            </w:r>
          </w:p>
        </w:tc>
        <w:tc>
          <w:tcPr>
            <w:tcW w:w="200" w:type="dxa"/>
            <w:vAlign w:val="bottom"/>
          </w:tcPr>
          <w:p>
            <w:pPr>
              <w:spacing w:after="0"/>
              <w:rPr>
                <w:sz w:val="20"/>
                <w:szCs w:val="20"/>
                <w:color w:val="auto"/>
              </w:rPr>
            </w:pPr>
          </w:p>
        </w:tc>
        <w:tc>
          <w:tcPr>
            <w:tcW w:w="8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300" w:type="dxa"/>
            <w:vAlign w:val="bottom"/>
          </w:tcPr>
          <w:p>
            <w:pPr>
              <w:spacing w:after="0"/>
              <w:rPr>
                <w:sz w:val="20"/>
                <w:szCs w:val="2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1,788</w:t>
            </w:r>
          </w:p>
        </w:tc>
        <w:tc>
          <w:tcPr>
            <w:tcW w:w="280" w:type="dxa"/>
            <w:vAlign w:val="bottom"/>
            <w:vMerge w:val="restart"/>
          </w:tcPr>
          <w:p>
            <w:pPr>
              <w:spacing w:after="0"/>
              <w:rPr>
                <w:sz w:val="20"/>
                <w:szCs w:val="2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6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(740 shares)</w:t>
            </w: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300" w:type="dxa"/>
            <w:vAlign w:val="bottom"/>
            <w:tcBorders>
              <w:lef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6,455</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Naples Lumber &amp; Supply Co </w:t>
            </w:r>
            <w:r>
              <w:rPr>
                <w:rFonts w:ascii="Times New Roman" w:cs="Times New Roman" w:eastAsia="Times New Roman" w:hAnsi="Times New Roman"/>
                <w:sz w:val="12"/>
                <w:szCs w:val="12"/>
                <w:color w:val="auto"/>
              </w:rPr>
              <w:t>(1)</w:t>
            </w:r>
          </w:p>
        </w:tc>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Building Supplies</w:t>
            </w:r>
          </w:p>
        </w:tc>
        <w:tc>
          <w:tcPr>
            <w:tcW w:w="26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Subordinated Debt (6% cash, Due</w:t>
            </w: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940" w:type="dxa"/>
            <w:vAlign w:val="bottom"/>
            <w:gridSpan w:val="2"/>
            <w:vMerge w:val="continue"/>
          </w:tcPr>
          <w:p>
            <w:pPr>
              <w:spacing w:after="0"/>
              <w:rPr>
                <w:sz w:val="20"/>
                <w:szCs w:val="20"/>
                <w:color w:val="auto"/>
              </w:rPr>
            </w:pPr>
          </w:p>
        </w:tc>
        <w:tc>
          <w:tcPr>
            <w:tcW w:w="2440" w:type="dxa"/>
            <w:vAlign w:val="bottom"/>
            <w:vMerge w:val="continue"/>
          </w:tcPr>
          <w:p>
            <w:pPr>
              <w:spacing w:after="0"/>
              <w:rPr>
                <w:sz w:val="20"/>
                <w:szCs w:val="20"/>
                <w:color w:val="auto"/>
              </w:rPr>
            </w:pPr>
          </w:p>
        </w:tc>
        <w:tc>
          <w:tcPr>
            <w:tcW w:w="2640" w:type="dxa"/>
            <w:vAlign w:val="bottom"/>
            <w:gridSpan w:val="2"/>
            <w:vMerge w:val="continue"/>
          </w:tcPr>
          <w:p>
            <w:pPr>
              <w:spacing w:after="0"/>
              <w:rPr>
                <w:sz w:val="20"/>
                <w:szCs w:val="20"/>
                <w:color w:val="auto"/>
              </w:rPr>
            </w:pPr>
          </w:p>
        </w:tc>
        <w:tc>
          <w:tcPr>
            <w:tcW w:w="10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1,969</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300" w:type="dxa"/>
            <w:vAlign w:val="bottom"/>
          </w:tcPr>
          <w:p>
            <w:pPr>
              <w:spacing w:after="0"/>
              <w:rPr>
                <w:sz w:val="20"/>
                <w:szCs w:val="2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1,969</w:t>
            </w:r>
          </w:p>
        </w:tc>
        <w:tc>
          <w:tcPr>
            <w:tcW w:w="280" w:type="dxa"/>
            <w:vAlign w:val="bottom"/>
            <w:vMerge w:val="restart"/>
          </w:tcPr>
          <w:p>
            <w:pPr>
              <w:spacing w:after="0"/>
              <w:rPr>
                <w:sz w:val="20"/>
                <w:szCs w:val="2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6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2/15/14)</w:t>
            </w:r>
          </w:p>
        </w:tc>
        <w:tc>
          <w:tcPr>
            <w:tcW w:w="1060" w:type="dxa"/>
            <w:vAlign w:val="bottom"/>
            <w:gridSpan w:val="3"/>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9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Naples Lumber &amp; Supply Co</w:t>
            </w:r>
          </w:p>
        </w:tc>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Building Supplies</w:t>
            </w:r>
          </w:p>
        </w:tc>
        <w:tc>
          <w:tcPr>
            <w:tcW w:w="264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Common Stock Warrants (10% fully</w:t>
            </w:r>
          </w:p>
        </w:tc>
        <w:tc>
          <w:tcPr>
            <w:tcW w:w="2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left w:val="single" w:sz="8" w:color="CCEEFF"/>
            </w:tcBorders>
            <w:vMerge w:val="restart"/>
            <w:shd w:val="clear" w:color="auto" w:fill="CCEEFF"/>
          </w:tcPr>
          <w:p>
            <w:pPr>
              <w:spacing w:after="0"/>
              <w:rPr>
                <w:sz w:val="10"/>
                <w:szCs w:val="10"/>
                <w:color w:val="auto"/>
              </w:rPr>
            </w:pPr>
          </w:p>
        </w:tc>
        <w:tc>
          <w:tcPr>
            <w:tcW w:w="4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2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300" w:type="dxa"/>
            <w:vAlign w:val="bottom"/>
            <w:tcBorders>
              <w:left w:val="single" w:sz="8" w:color="CCEEFF"/>
            </w:tcBorders>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1,309</w:t>
            </w:r>
          </w:p>
        </w:tc>
        <w:tc>
          <w:tcPr>
            <w:tcW w:w="3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1,969</w:t>
            </w:r>
          </w:p>
        </w:tc>
        <w:tc>
          <w:tcPr>
            <w:tcW w:w="2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9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Precision Manufacturing, LLC</w:t>
            </w:r>
          </w:p>
        </w:tc>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Industrial Boiler Manufacturer</w:t>
            </w:r>
          </w:p>
        </w:tc>
        <w:tc>
          <w:tcPr>
            <w:tcW w:w="264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Senior Secured Term Debt (13% Cash,</w:t>
            </w:r>
          </w:p>
        </w:tc>
        <w:tc>
          <w:tcPr>
            <w:tcW w:w="106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2,500</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300" w:type="dxa"/>
            <w:vAlign w:val="bottom"/>
            <w:tcBorders>
              <w:left w:val="single" w:sz="8" w:color="CCEEFF"/>
            </w:tcBorders>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2,447</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Due 2/10/17)</w:t>
            </w:r>
          </w:p>
        </w:tc>
        <w:tc>
          <w:tcPr>
            <w:tcW w:w="1060" w:type="dxa"/>
            <w:vAlign w:val="bottom"/>
            <w:gridSpan w:val="3"/>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300" w:type="dxa"/>
            <w:vAlign w:val="bottom"/>
            <w:tcBorders>
              <w:left w:val="single" w:sz="8" w:color="CCEEFF"/>
            </w:tcBorders>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Precision Manufacturing, LLC</w:t>
            </w:r>
          </w:p>
        </w:tc>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Industrial Boiler Manufacturer</w:t>
            </w:r>
          </w:p>
        </w:tc>
        <w:tc>
          <w:tcPr>
            <w:tcW w:w="26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Membership Unit Warrants (6.65% fully</w:t>
            </w:r>
          </w:p>
        </w:tc>
        <w:tc>
          <w:tcPr>
            <w:tcW w:w="200" w:type="dxa"/>
            <w:vAlign w:val="bottom"/>
          </w:tcPr>
          <w:p>
            <w:pPr>
              <w:spacing w:after="0"/>
              <w:rPr>
                <w:sz w:val="20"/>
                <w:szCs w:val="20"/>
                <w:color w:val="auto"/>
              </w:rPr>
            </w:pPr>
          </w:p>
        </w:tc>
        <w:tc>
          <w:tcPr>
            <w:tcW w:w="8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spacing w:after="0"/>
              <w:rPr>
                <w:sz w:val="20"/>
                <w:szCs w:val="20"/>
                <w:color w:val="auto"/>
              </w:rPr>
            </w:pPr>
          </w:p>
        </w:tc>
        <w:tc>
          <w:tcPr>
            <w:tcW w:w="4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spacing w:after="0"/>
              <w:rPr>
                <w:sz w:val="20"/>
                <w:szCs w:val="2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6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300" w:type="dxa"/>
            <w:vAlign w:val="bottom"/>
            <w:tcBorders>
              <w:lef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2,447</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Southern Pump &amp; Tank Company, LLC </w:t>
            </w:r>
            <w:r>
              <w:rPr>
                <w:rFonts w:ascii="Times New Roman" w:cs="Times New Roman" w:eastAsia="Times New Roman" w:hAnsi="Times New Roman"/>
                <w:sz w:val="12"/>
                <w:szCs w:val="12"/>
                <w:color w:val="auto"/>
              </w:rPr>
              <w:t>(1)</w:t>
            </w:r>
          </w:p>
        </w:tc>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Petroleum Equipment Supplier</w:t>
            </w:r>
          </w:p>
        </w:tc>
        <w:tc>
          <w:tcPr>
            <w:tcW w:w="26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Senior Secured Term Debt (13% Cash,</w:t>
            </w: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940" w:type="dxa"/>
            <w:vAlign w:val="bottom"/>
            <w:gridSpan w:val="2"/>
            <w:vMerge w:val="continue"/>
          </w:tcPr>
          <w:p>
            <w:pPr>
              <w:spacing w:after="0"/>
              <w:rPr>
                <w:sz w:val="20"/>
                <w:szCs w:val="20"/>
                <w:color w:val="auto"/>
              </w:rPr>
            </w:pPr>
          </w:p>
        </w:tc>
        <w:tc>
          <w:tcPr>
            <w:tcW w:w="2440" w:type="dxa"/>
            <w:vAlign w:val="bottom"/>
            <w:vMerge w:val="continue"/>
          </w:tcPr>
          <w:p>
            <w:pPr>
              <w:spacing w:after="0"/>
              <w:rPr>
                <w:sz w:val="20"/>
                <w:szCs w:val="20"/>
                <w:color w:val="auto"/>
              </w:rPr>
            </w:pPr>
          </w:p>
        </w:tc>
        <w:tc>
          <w:tcPr>
            <w:tcW w:w="2640" w:type="dxa"/>
            <w:vAlign w:val="bottom"/>
            <w:gridSpan w:val="2"/>
            <w:vMerge w:val="continue"/>
          </w:tcPr>
          <w:p>
            <w:pPr>
              <w:spacing w:after="0"/>
              <w:rPr>
                <w:sz w:val="20"/>
                <w:szCs w:val="20"/>
                <w:color w:val="auto"/>
              </w:rPr>
            </w:pPr>
          </w:p>
        </w:tc>
        <w:tc>
          <w:tcPr>
            <w:tcW w:w="10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3,974</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300" w:type="dxa"/>
            <w:vAlign w:val="bottom"/>
          </w:tcPr>
          <w:p>
            <w:pPr>
              <w:spacing w:after="0"/>
              <w:rPr>
                <w:sz w:val="20"/>
                <w:szCs w:val="2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3,481</w:t>
            </w:r>
          </w:p>
        </w:tc>
        <w:tc>
          <w:tcPr>
            <w:tcW w:w="280" w:type="dxa"/>
            <w:vAlign w:val="bottom"/>
            <w:vMerge w:val="restart"/>
          </w:tcPr>
          <w:p>
            <w:pPr>
              <w:spacing w:after="0"/>
              <w:rPr>
                <w:sz w:val="20"/>
                <w:szCs w:val="2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6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6% PIK, Due 6/15/14)</w:t>
            </w:r>
          </w:p>
        </w:tc>
        <w:tc>
          <w:tcPr>
            <w:tcW w:w="1060" w:type="dxa"/>
            <w:vAlign w:val="bottom"/>
            <w:gridSpan w:val="3"/>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9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Southern Pump &amp; Tank Company, LLC</w:t>
            </w:r>
          </w:p>
        </w:tc>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Petroleum Equipment Supplier</w:t>
            </w:r>
          </w:p>
        </w:tc>
        <w:tc>
          <w:tcPr>
            <w:tcW w:w="264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Common Stock Warrants (10% fully</w:t>
            </w:r>
          </w:p>
        </w:tc>
        <w:tc>
          <w:tcPr>
            <w:tcW w:w="2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left w:val="single" w:sz="8" w:color="CCEEFF"/>
            </w:tcBorders>
            <w:vMerge w:val="restart"/>
            <w:shd w:val="clear" w:color="auto" w:fill="CCEEFF"/>
          </w:tcPr>
          <w:p>
            <w:pPr>
              <w:spacing w:after="0"/>
              <w:rPr>
                <w:sz w:val="10"/>
                <w:szCs w:val="10"/>
                <w:color w:val="auto"/>
              </w:rPr>
            </w:pPr>
          </w:p>
        </w:tc>
        <w:tc>
          <w:tcPr>
            <w:tcW w:w="4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2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300" w:type="dxa"/>
            <w:vAlign w:val="bottom"/>
            <w:tcBorders>
              <w:left w:val="single" w:sz="8" w:color="CCEEFF"/>
            </w:tcBorders>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3,213</w:t>
            </w:r>
          </w:p>
        </w:tc>
        <w:tc>
          <w:tcPr>
            <w:tcW w:w="3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3,481</w:t>
            </w:r>
          </w:p>
        </w:tc>
        <w:tc>
          <w:tcPr>
            <w:tcW w:w="2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9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Stoddard Hill Media Holdings, LLC</w:t>
            </w:r>
          </w:p>
        </w:tc>
        <w:tc>
          <w:tcPr>
            <w:tcW w:w="2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IT Hosting Services</w:t>
            </w:r>
          </w:p>
        </w:tc>
        <w:tc>
          <w:tcPr>
            <w:tcW w:w="26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Class D Preferred Units (132,159 shares)</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300" w:type="dxa"/>
            <w:vAlign w:val="bottom"/>
            <w:tcBorders>
              <w:lef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587</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300</w:t>
            </w:r>
          </w:p>
        </w:tc>
        <w:tc>
          <w:tcPr>
            <w:tcW w:w="3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587</w:t>
            </w:r>
          </w:p>
        </w:tc>
        <w:tc>
          <w:tcPr>
            <w:tcW w:w="2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2"/>
                <w:szCs w:val="12"/>
                <w:b w:val="1"/>
                <w:bCs w:val="1"/>
                <w:color w:val="auto"/>
              </w:rPr>
              <w:t>(4, 5)</w:t>
            </w:r>
          </w:p>
        </w:tc>
        <w:tc>
          <w:tcPr>
            <w:tcW w:w="244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200" w:type="dxa"/>
            <w:vAlign w:val="bottom"/>
          </w:tcPr>
          <w:p>
            <w:pPr>
              <w:spacing w:after="0"/>
              <w:rPr>
                <w:sz w:val="13"/>
                <w:szCs w:val="13"/>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Interest Rate /</w:t>
            </w:r>
          </w:p>
        </w:tc>
        <w:tc>
          <w:tcPr>
            <w:tcW w:w="20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7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6"/>
        </w:trPr>
        <w:tc>
          <w:tcPr>
            <w:tcW w:w="2960" w:type="dxa"/>
            <w:vAlign w:val="bottom"/>
            <w:gridSpan w:val="3"/>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vMerge w:val="continue"/>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7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4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Tenere, Inc.</w:t>
            </w:r>
          </w:p>
        </w:tc>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Industrial Manufacturing</w:t>
            </w:r>
          </w:p>
        </w:tc>
        <w:tc>
          <w:tcPr>
            <w:tcW w:w="262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Senior Secured Term Debt (11% Cash,</w:t>
            </w:r>
          </w:p>
        </w:tc>
        <w:tc>
          <w:tcPr>
            <w:tcW w:w="106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3,396</w:t>
            </w:r>
          </w:p>
        </w:tc>
        <w:tc>
          <w:tcPr>
            <w:tcW w:w="7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3,396</w:t>
            </w:r>
          </w:p>
        </w:tc>
        <w:tc>
          <w:tcPr>
            <w:tcW w:w="7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3,396</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 PIK, Due 5/30/18)</w:t>
            </w:r>
          </w:p>
        </w:tc>
        <w:tc>
          <w:tcPr>
            <w:tcW w:w="106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3,396</w:t>
            </w:r>
          </w:p>
        </w:tc>
        <w:tc>
          <w:tcPr>
            <w:tcW w:w="3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3,396</w:t>
            </w:r>
          </w:p>
        </w:tc>
        <w:tc>
          <w:tcPr>
            <w:tcW w:w="2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Worklife America, Inc.</w:t>
            </w:r>
          </w:p>
        </w:tc>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Professional Employer Organization</w:t>
            </w:r>
          </w:p>
        </w:tc>
        <w:tc>
          <w:tcPr>
            <w:tcW w:w="262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Senior Secured Debt (12% Cash, Due</w:t>
            </w:r>
          </w:p>
        </w:tc>
        <w:tc>
          <w:tcPr>
            <w:tcW w:w="106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19,031</w:t>
            </w:r>
          </w:p>
        </w:tc>
        <w:tc>
          <w:tcPr>
            <w:tcW w:w="7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19,031</w:t>
            </w:r>
          </w:p>
        </w:tc>
        <w:tc>
          <w:tcPr>
            <w:tcW w:w="7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19,031</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12/28/16)</w:t>
            </w:r>
          </w:p>
        </w:tc>
        <w:tc>
          <w:tcPr>
            <w:tcW w:w="106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Worklife America, Inc.</w:t>
            </w:r>
          </w:p>
        </w:tc>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Professional Employer Organization</w:t>
            </w:r>
          </w:p>
        </w:tc>
        <w:tc>
          <w:tcPr>
            <w:tcW w:w="2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Common Unit Warrants (3.84%</w:t>
            </w:r>
          </w:p>
        </w:tc>
        <w:tc>
          <w:tcPr>
            <w:tcW w:w="200" w:type="dxa"/>
            <w:vAlign w:val="bottom"/>
          </w:tcPr>
          <w:p>
            <w:pPr>
              <w:spacing w:after="0"/>
              <w:rPr>
                <w:sz w:val="20"/>
                <w:szCs w:val="20"/>
                <w:color w:val="auto"/>
              </w:rPr>
            </w:pPr>
          </w:p>
        </w:tc>
        <w:tc>
          <w:tcPr>
            <w:tcW w:w="8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3,351</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ownership)</w:t>
            </w: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Worklife America, Inc.</w:t>
            </w:r>
          </w:p>
        </w:tc>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Professional Employer Organization</w:t>
            </w:r>
          </w:p>
        </w:tc>
        <w:tc>
          <w:tcPr>
            <w:tcW w:w="262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Preferred Unit Warrants (3.84%</w:t>
            </w:r>
          </w:p>
        </w:tc>
        <w:tc>
          <w:tcPr>
            <w:tcW w:w="2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280" w:type="dxa"/>
            <w:vAlign w:val="bottom"/>
            <w:vMerge w:val="restart"/>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ownership)</w:t>
            </w:r>
          </w:p>
        </w:tc>
        <w:tc>
          <w:tcPr>
            <w:tcW w:w="2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19,031</w:t>
            </w:r>
          </w:p>
        </w:tc>
        <w:tc>
          <w:tcPr>
            <w:tcW w:w="300" w:type="dxa"/>
            <w:vAlign w:val="bottom"/>
            <w:vMerge w:val="continue"/>
          </w:tcPr>
          <w:p>
            <w:pPr>
              <w:spacing w:after="0"/>
              <w:rPr>
                <w:sz w:val="14"/>
                <w:szCs w:val="14"/>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22,947</w:t>
            </w:r>
          </w:p>
        </w:tc>
        <w:tc>
          <w:tcPr>
            <w:tcW w:w="280" w:type="dxa"/>
            <w:vAlign w:val="bottom"/>
            <w:vMerge w:val="continue"/>
          </w:tcPr>
          <w:p>
            <w:pPr>
              <w:spacing w:after="0"/>
              <w:rPr>
                <w:sz w:val="14"/>
                <w:szCs w:val="14"/>
                <w:color w:val="auto"/>
              </w:rPr>
            </w:pPr>
          </w:p>
        </w:tc>
        <w:tc>
          <w:tcPr>
            <w:tcW w:w="8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2660" w:type="dxa"/>
            <w:vAlign w:val="bottom"/>
            <w:gridSpan w:val="2"/>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400" w:type="dxa"/>
            <w:vAlign w:val="bottom"/>
            <w:gridSpan w:val="4"/>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Sub Total Non-control/Non-affiliated investments</w:t>
            </w:r>
          </w:p>
        </w:tc>
        <w:tc>
          <w:tcPr>
            <w:tcW w:w="2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63,469</w:t>
            </w:r>
          </w:p>
        </w:tc>
        <w:tc>
          <w:tcPr>
            <w:tcW w:w="30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79,008</w:t>
            </w:r>
          </w:p>
        </w:tc>
        <w:tc>
          <w:tcPr>
            <w:tcW w:w="280" w:type="dxa"/>
            <w:vAlign w:val="bottom"/>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Affiliate investments - 62.3%</w:t>
            </w: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Chef’N Corporation</w:t>
            </w:r>
          </w:p>
        </w:tc>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Culinary Products</w:t>
            </w:r>
          </w:p>
        </w:tc>
        <w:tc>
          <w:tcPr>
            <w:tcW w:w="2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Subordinated Debt (15% Cash, 3%</w:t>
            </w:r>
          </w:p>
        </w:tc>
        <w:tc>
          <w:tcPr>
            <w:tcW w:w="10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   6,300</w:t>
            </w: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$ 6,300</w:t>
            </w: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$ 6,300</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optional PIK, Due 5/16/18)</w:t>
            </w:r>
          </w:p>
        </w:tc>
        <w:tc>
          <w:tcPr>
            <w:tcW w:w="1060" w:type="dxa"/>
            <w:vAlign w:val="bottom"/>
            <w:gridSpan w:val="3"/>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Chef’N Corporation</w:t>
            </w:r>
          </w:p>
        </w:tc>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Culinary Products</w:t>
            </w:r>
          </w:p>
        </w:tc>
        <w:tc>
          <w:tcPr>
            <w:tcW w:w="262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Series A Preferred Stock (1,000,000</w:t>
            </w:r>
          </w:p>
        </w:tc>
        <w:tc>
          <w:tcPr>
            <w:tcW w:w="2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1,000</w:t>
            </w:r>
          </w:p>
        </w:tc>
        <w:tc>
          <w:tcPr>
            <w:tcW w:w="7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3,893</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shares)</w:t>
            </w:r>
          </w:p>
        </w:tc>
        <w:tc>
          <w:tcPr>
            <w:tcW w:w="2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7,300</w:t>
            </w:r>
          </w:p>
        </w:tc>
        <w:tc>
          <w:tcPr>
            <w:tcW w:w="3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10,193</w:t>
            </w:r>
          </w:p>
        </w:tc>
        <w:tc>
          <w:tcPr>
            <w:tcW w:w="2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City Gear, LLC</w:t>
            </w:r>
          </w:p>
        </w:tc>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Footwear Retail</w:t>
            </w:r>
          </w:p>
        </w:tc>
        <w:tc>
          <w:tcPr>
            <w:tcW w:w="262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Subordinated Debt (13% Cash, Due</w:t>
            </w:r>
          </w:p>
        </w:tc>
        <w:tc>
          <w:tcPr>
            <w:tcW w:w="106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8,231</w:t>
            </w:r>
          </w:p>
        </w:tc>
        <w:tc>
          <w:tcPr>
            <w:tcW w:w="7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8,231</w:t>
            </w:r>
          </w:p>
        </w:tc>
        <w:tc>
          <w:tcPr>
            <w:tcW w:w="7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8,231</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9/28/16)</w:t>
            </w:r>
          </w:p>
        </w:tc>
        <w:tc>
          <w:tcPr>
            <w:tcW w:w="106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City Gear, LLC </w:t>
            </w:r>
            <w:r>
              <w:rPr>
                <w:rFonts w:ascii="Times New Roman" w:cs="Times New Roman" w:eastAsia="Times New Roman" w:hAnsi="Times New Roman"/>
                <w:sz w:val="12"/>
                <w:szCs w:val="12"/>
                <w:color w:val="auto"/>
              </w:rPr>
              <w:t>(6)</w:t>
            </w:r>
          </w:p>
        </w:tc>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Footwear Retail</w:t>
            </w:r>
          </w:p>
        </w:tc>
        <w:tc>
          <w:tcPr>
            <w:tcW w:w="2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Preferred Membership Units (scheduled</w:t>
            </w:r>
          </w:p>
        </w:tc>
        <w:tc>
          <w:tcPr>
            <w:tcW w:w="200" w:type="dxa"/>
            <w:vAlign w:val="bottom"/>
          </w:tcPr>
          <w:p>
            <w:pPr>
              <w:spacing w:after="0"/>
              <w:rPr>
                <w:sz w:val="20"/>
                <w:szCs w:val="20"/>
                <w:color w:val="auto"/>
              </w:rPr>
            </w:pPr>
          </w:p>
        </w:tc>
        <w:tc>
          <w:tcPr>
            <w:tcW w:w="8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1,269</w:t>
            </w: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1,412</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9% dividend)</w:t>
            </w: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City Gear, LLC</w:t>
            </w:r>
          </w:p>
        </w:tc>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Footwear Retail</w:t>
            </w:r>
          </w:p>
        </w:tc>
        <w:tc>
          <w:tcPr>
            <w:tcW w:w="262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Membership Unit Warrants (14.152%</w:t>
            </w:r>
          </w:p>
        </w:tc>
        <w:tc>
          <w:tcPr>
            <w:tcW w:w="2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280" w:type="dxa"/>
            <w:vAlign w:val="bottom"/>
            <w:vMerge w:val="restart"/>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fully diluted)</w:t>
            </w:r>
          </w:p>
        </w:tc>
        <w:tc>
          <w:tcPr>
            <w:tcW w:w="2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9,500</w:t>
            </w:r>
          </w:p>
        </w:tc>
        <w:tc>
          <w:tcPr>
            <w:tcW w:w="3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11,446</w:t>
            </w:r>
          </w:p>
        </w:tc>
        <w:tc>
          <w:tcPr>
            <w:tcW w:w="2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Corporate Visions, Inc.</w:t>
            </w:r>
          </w:p>
        </w:tc>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Sales &amp; Marketing Services</w:t>
            </w:r>
          </w:p>
        </w:tc>
        <w:tc>
          <w:tcPr>
            <w:tcW w:w="262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Subordinated Debt (14% Cash, 2% PIK,</w:t>
            </w:r>
          </w:p>
        </w:tc>
        <w:tc>
          <w:tcPr>
            <w:tcW w:w="106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11,117</w:t>
            </w:r>
          </w:p>
        </w:tc>
        <w:tc>
          <w:tcPr>
            <w:tcW w:w="7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11,117</w:t>
            </w:r>
          </w:p>
        </w:tc>
        <w:tc>
          <w:tcPr>
            <w:tcW w:w="7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11,117</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Due 3/22/18)</w:t>
            </w:r>
          </w:p>
        </w:tc>
        <w:tc>
          <w:tcPr>
            <w:tcW w:w="106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2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Corporate Visions, Inc.</w:t>
            </w:r>
          </w:p>
        </w:tc>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Sales &amp; Marketing Services</w:t>
            </w:r>
          </w:p>
        </w:tc>
        <w:tc>
          <w:tcPr>
            <w:tcW w:w="2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Common Stock (2,206,463 shares)</w:t>
            </w:r>
          </w:p>
        </w:tc>
        <w:tc>
          <w:tcPr>
            <w:tcW w:w="200" w:type="dxa"/>
            <w:vAlign w:val="bottom"/>
          </w:tcPr>
          <w:p>
            <w:pPr>
              <w:spacing w:after="0"/>
              <w:rPr>
                <w:sz w:val="23"/>
                <w:szCs w:val="23"/>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2,576</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8,140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Corporate Visions, Inc.</w:t>
            </w:r>
          </w:p>
        </w:tc>
        <w:tc>
          <w:tcPr>
            <w:tcW w:w="2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 &amp; Marketing Services</w:t>
            </w:r>
          </w:p>
        </w:tc>
        <w:tc>
          <w:tcPr>
            <w:tcW w:w="26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Stock Warrant (302,534 shares)</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1,641</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13,693</w:t>
            </w:r>
          </w:p>
        </w:tc>
        <w:tc>
          <w:tcPr>
            <w:tcW w:w="3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20,898</w:t>
            </w:r>
          </w:p>
        </w:tc>
        <w:tc>
          <w:tcPr>
            <w:tcW w:w="2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 Communications, Inc.</w:t>
            </w:r>
          </w:p>
        </w:tc>
        <w:tc>
          <w:tcPr>
            <w:tcW w:w="2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Advertising &amp; Marketing Services</w:t>
            </w:r>
          </w:p>
        </w:tc>
        <w:tc>
          <w:tcPr>
            <w:tcW w:w="26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Series A-1 Preferred Stock (1,998 shares)</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1,998</w:t>
            </w: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2,324</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34"/>
        </w:trPr>
        <w:tc>
          <w:tcPr>
            <w:tcW w:w="2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GA Communications, Inc.</w:t>
            </w:r>
          </w:p>
        </w:tc>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Advertising &amp; Marketing Services</w:t>
            </w:r>
          </w:p>
        </w:tc>
        <w:tc>
          <w:tcPr>
            <w:tcW w:w="2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Series B-1 Common Stock (200,000</w:t>
            </w:r>
          </w:p>
        </w:tc>
        <w:tc>
          <w:tcPr>
            <w:tcW w:w="200" w:type="dxa"/>
            <w:vAlign w:val="bottom"/>
          </w:tcPr>
          <w:p>
            <w:pPr>
              <w:spacing w:after="0"/>
              <w:rPr>
                <w:sz w:val="20"/>
                <w:szCs w:val="20"/>
                <w:color w:val="auto"/>
              </w:rPr>
            </w:pPr>
          </w:p>
        </w:tc>
        <w:tc>
          <w:tcPr>
            <w:tcW w:w="8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2</w:t>
            </w: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2,746</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shares)</w:t>
            </w: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5,070</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
        </w:trPr>
        <w:tc>
          <w:tcPr>
            <w:tcW w:w="2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 xml:space="preserve">Impresa Aerospace Holdings, LLC </w:t>
            </w:r>
            <w:r>
              <w:rPr>
                <w:rFonts w:ascii="Times New Roman" w:cs="Times New Roman" w:eastAsia="Times New Roman" w:hAnsi="Times New Roman"/>
                <w:sz w:val="12"/>
                <w:szCs w:val="12"/>
                <w:color w:val="auto"/>
              </w:rPr>
              <w:t>(2, 3)</w:t>
            </w:r>
          </w:p>
        </w:tc>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Aerospace Parts Manufacturer</w:t>
            </w:r>
          </w:p>
        </w:tc>
        <w:tc>
          <w:tcPr>
            <w:tcW w:w="26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Subordinated Debt (9% Cash, 6% PIK,</w:t>
            </w: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960" w:type="dxa"/>
            <w:vAlign w:val="bottom"/>
            <w:gridSpan w:val="3"/>
            <w:vMerge w:val="continue"/>
          </w:tcPr>
          <w:p>
            <w:pPr>
              <w:spacing w:after="0"/>
              <w:rPr>
                <w:sz w:val="20"/>
                <w:szCs w:val="20"/>
                <w:color w:val="auto"/>
              </w:rPr>
            </w:pPr>
          </w:p>
        </w:tc>
        <w:tc>
          <w:tcPr>
            <w:tcW w:w="2440" w:type="dxa"/>
            <w:vAlign w:val="bottom"/>
            <w:vMerge w:val="continue"/>
          </w:tcPr>
          <w:p>
            <w:pPr>
              <w:spacing w:after="0"/>
              <w:rPr>
                <w:sz w:val="20"/>
                <w:szCs w:val="20"/>
                <w:color w:val="auto"/>
              </w:rPr>
            </w:pPr>
          </w:p>
        </w:tc>
        <w:tc>
          <w:tcPr>
            <w:tcW w:w="2620" w:type="dxa"/>
            <w:vAlign w:val="bottom"/>
            <w:gridSpan w:val="2"/>
            <w:vMerge w:val="continue"/>
          </w:tcPr>
          <w:p>
            <w:pPr>
              <w:spacing w:after="0"/>
              <w:rPr>
                <w:sz w:val="20"/>
                <w:szCs w:val="20"/>
                <w:color w:val="auto"/>
              </w:rPr>
            </w:pPr>
          </w:p>
        </w:tc>
        <w:tc>
          <w:tcPr>
            <w:tcW w:w="10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12,320</w:t>
            </w: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12,299</w:t>
            </w: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7,910</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Due 4/28/16)</w:t>
            </w:r>
          </w:p>
        </w:tc>
        <w:tc>
          <w:tcPr>
            <w:tcW w:w="1060" w:type="dxa"/>
            <w:vAlign w:val="bottom"/>
            <w:gridSpan w:val="3"/>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Impresa Aerospace Holdings, LLC</w:t>
            </w:r>
          </w:p>
        </w:tc>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Aerospace Parts Manufacturer</w:t>
            </w:r>
          </w:p>
        </w:tc>
        <w:tc>
          <w:tcPr>
            <w:tcW w:w="262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Class A Membership Units (1,006,621</w:t>
            </w:r>
          </w:p>
        </w:tc>
        <w:tc>
          <w:tcPr>
            <w:tcW w:w="2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900</w:t>
            </w:r>
          </w:p>
        </w:tc>
        <w:tc>
          <w:tcPr>
            <w:tcW w:w="7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shares)</w:t>
            </w:r>
          </w:p>
        </w:tc>
        <w:tc>
          <w:tcPr>
            <w:tcW w:w="2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Impresa Aerospace Holdings, LLC</w:t>
            </w:r>
          </w:p>
        </w:tc>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Aerospace Parts Manufacturer</w:t>
            </w:r>
          </w:p>
        </w:tc>
        <w:tc>
          <w:tcPr>
            <w:tcW w:w="2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Class C Membership Units (362,416</w:t>
            </w:r>
          </w:p>
        </w:tc>
        <w:tc>
          <w:tcPr>
            <w:tcW w:w="200" w:type="dxa"/>
            <w:vAlign w:val="bottom"/>
          </w:tcPr>
          <w:p>
            <w:pPr>
              <w:spacing w:after="0"/>
              <w:rPr>
                <w:sz w:val="20"/>
                <w:szCs w:val="20"/>
                <w:color w:val="auto"/>
              </w:rPr>
            </w:pPr>
          </w:p>
        </w:tc>
        <w:tc>
          <w:tcPr>
            <w:tcW w:w="8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362</w:t>
            </w:r>
          </w:p>
        </w:tc>
        <w:tc>
          <w:tcPr>
            <w:tcW w:w="7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shares)</w:t>
            </w: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Impresa Aerospace Holdings, LLC</w:t>
            </w:r>
          </w:p>
        </w:tc>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Aerospace Parts Manufacturer</w:t>
            </w:r>
          </w:p>
        </w:tc>
        <w:tc>
          <w:tcPr>
            <w:tcW w:w="262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Class F Membership Units (257,235</w:t>
            </w:r>
          </w:p>
        </w:tc>
        <w:tc>
          <w:tcPr>
            <w:tcW w:w="2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262</w:t>
            </w:r>
          </w:p>
        </w:tc>
        <w:tc>
          <w:tcPr>
            <w:tcW w:w="7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shares)</w:t>
            </w:r>
          </w:p>
        </w:tc>
        <w:tc>
          <w:tcPr>
            <w:tcW w:w="2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13,823</w:t>
            </w:r>
          </w:p>
        </w:tc>
        <w:tc>
          <w:tcPr>
            <w:tcW w:w="3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7,910</w:t>
            </w:r>
          </w:p>
        </w:tc>
        <w:tc>
          <w:tcPr>
            <w:tcW w:w="2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J&amp;J Produce Holdings, Inc.</w:t>
            </w:r>
          </w:p>
        </w:tc>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Produce Distribution</w:t>
            </w:r>
          </w:p>
        </w:tc>
        <w:tc>
          <w:tcPr>
            <w:tcW w:w="262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Subordinated Debt (13% Cash, Due</w:t>
            </w:r>
          </w:p>
        </w:tc>
        <w:tc>
          <w:tcPr>
            <w:tcW w:w="106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5,182</w:t>
            </w:r>
          </w:p>
        </w:tc>
        <w:tc>
          <w:tcPr>
            <w:tcW w:w="7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5,182</w:t>
            </w:r>
          </w:p>
        </w:tc>
        <w:tc>
          <w:tcPr>
            <w:tcW w:w="7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5,182</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7/16/18)</w:t>
            </w:r>
          </w:p>
        </w:tc>
        <w:tc>
          <w:tcPr>
            <w:tcW w:w="106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2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J&amp;J Produce Holdings, Inc.</w:t>
            </w:r>
          </w:p>
        </w:tc>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Produce Distribution</w:t>
            </w:r>
          </w:p>
        </w:tc>
        <w:tc>
          <w:tcPr>
            <w:tcW w:w="2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Common Stock (8,182 shares)</w:t>
            </w:r>
          </w:p>
        </w:tc>
        <w:tc>
          <w:tcPr>
            <w:tcW w:w="200" w:type="dxa"/>
            <w:vAlign w:val="bottom"/>
          </w:tcPr>
          <w:p>
            <w:pPr>
              <w:spacing w:after="0"/>
              <w:rPr>
                <w:sz w:val="23"/>
                <w:szCs w:val="23"/>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818</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1,096</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J&amp;J Produce Holdings, Inc.</w:t>
            </w:r>
          </w:p>
        </w:tc>
        <w:tc>
          <w:tcPr>
            <w:tcW w:w="2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Produce Distribution</w:t>
            </w:r>
          </w:p>
        </w:tc>
        <w:tc>
          <w:tcPr>
            <w:tcW w:w="26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Stock Warrants (4,318 shares)</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604</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6,000</w:t>
            </w:r>
          </w:p>
        </w:tc>
        <w:tc>
          <w:tcPr>
            <w:tcW w:w="3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6,882</w:t>
            </w:r>
          </w:p>
        </w:tc>
        <w:tc>
          <w:tcPr>
            <w:tcW w:w="2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LJS Partners, LLC</w:t>
            </w:r>
          </w:p>
        </w:tc>
        <w:tc>
          <w:tcPr>
            <w:tcW w:w="2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QSR Franchisor</w:t>
            </w:r>
          </w:p>
        </w:tc>
        <w:tc>
          <w:tcPr>
            <w:tcW w:w="26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Stock (1,500,000 shares)</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14,904</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1,500</w:t>
            </w:r>
          </w:p>
        </w:tc>
        <w:tc>
          <w:tcPr>
            <w:tcW w:w="3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14,904</w:t>
            </w:r>
          </w:p>
        </w:tc>
        <w:tc>
          <w:tcPr>
            <w:tcW w:w="2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MJC Holdings, LLC</w:t>
            </w:r>
          </w:p>
        </w:tc>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Specialty Clothing</w:t>
            </w:r>
          </w:p>
        </w:tc>
        <w:tc>
          <w:tcPr>
            <w:tcW w:w="262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Subordinated Debt (12% Cash, 2% PIK,</w:t>
            </w:r>
          </w:p>
        </w:tc>
        <w:tc>
          <w:tcPr>
            <w:tcW w:w="106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7,500</w:t>
            </w:r>
          </w:p>
        </w:tc>
        <w:tc>
          <w:tcPr>
            <w:tcW w:w="7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7,500</w:t>
            </w:r>
          </w:p>
        </w:tc>
        <w:tc>
          <w:tcPr>
            <w:tcW w:w="7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7,500</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Due 1/16/18)</w:t>
            </w:r>
          </w:p>
        </w:tc>
        <w:tc>
          <w:tcPr>
            <w:tcW w:w="106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2"/>
                <w:szCs w:val="12"/>
                <w:b w:val="1"/>
                <w:bCs w:val="1"/>
                <w:color w:val="auto"/>
              </w:rPr>
              <w:t>(4, 5)</w:t>
            </w:r>
          </w:p>
        </w:tc>
        <w:tc>
          <w:tcPr>
            <w:tcW w:w="26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26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Investment Interest Rate /</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6"/>
        </w:trPr>
        <w:tc>
          <w:tcPr>
            <w:tcW w:w="2960" w:type="dxa"/>
            <w:vAlign w:val="bottom"/>
            <w:gridSpan w:val="3"/>
            <w:vMerge w:val="continue"/>
          </w:tcPr>
          <w:p>
            <w:pPr>
              <w:spacing w:after="0"/>
              <w:rPr>
                <w:sz w:val="15"/>
                <w:szCs w:val="15"/>
                <w:color w:val="auto"/>
              </w:rPr>
            </w:pPr>
          </w:p>
        </w:tc>
        <w:tc>
          <w:tcPr>
            <w:tcW w:w="2680" w:type="dxa"/>
            <w:vAlign w:val="bottom"/>
            <w:gridSpan w:val="2"/>
            <w:vMerge w:val="continue"/>
          </w:tcPr>
          <w:p>
            <w:pPr>
              <w:spacing w:after="0"/>
              <w:rPr>
                <w:sz w:val="15"/>
                <w:szCs w:val="15"/>
                <w:color w:val="auto"/>
              </w:rPr>
            </w:pPr>
          </w:p>
        </w:tc>
        <w:tc>
          <w:tcPr>
            <w:tcW w:w="266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vMerge w:val="continue"/>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7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4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MJC Holdings, LLC</w:t>
            </w:r>
          </w:p>
        </w:tc>
        <w:tc>
          <w:tcPr>
            <w:tcW w:w="2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Specialty Clothing</w:t>
            </w:r>
          </w:p>
        </w:tc>
        <w:tc>
          <w:tcPr>
            <w:tcW w:w="2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Series A Preferred Units (2,000,000</w:t>
            </w:r>
          </w:p>
        </w:tc>
        <w:tc>
          <w:tcPr>
            <w:tcW w:w="8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80" w:type="dxa"/>
            <w:vAlign w:val="bottom"/>
            <w:vMerge w:val="restart"/>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w:t>
            </w:r>
          </w:p>
        </w:tc>
        <w:tc>
          <w:tcPr>
            <w:tcW w:w="280" w:type="dxa"/>
            <w:vAlign w:val="bottom"/>
            <w:vMerge w:val="restart"/>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gridSpan w:val="2"/>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9,500</w:t>
            </w:r>
          </w:p>
        </w:tc>
        <w:tc>
          <w:tcPr>
            <w:tcW w:w="280" w:type="dxa"/>
            <w:vAlign w:val="bottom"/>
            <w:vMerge w:val="continue"/>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11,173</w:t>
            </w:r>
          </w:p>
        </w:tc>
        <w:tc>
          <w:tcPr>
            <w:tcW w:w="2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MMI Holdings, LLC</w:t>
            </w:r>
          </w:p>
        </w:tc>
        <w:tc>
          <w:tcPr>
            <w:tcW w:w="2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Medical Device Distributor</w:t>
            </w:r>
          </w:p>
        </w:tc>
        <w:tc>
          <w:tcPr>
            <w:tcW w:w="2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Subordinated Debt (6% Cash, Due</w:t>
            </w:r>
          </w:p>
        </w:tc>
        <w:tc>
          <w:tcPr>
            <w:tcW w:w="8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400</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2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400</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8/15/15)</w:t>
            </w:r>
          </w:p>
        </w:tc>
        <w:tc>
          <w:tcPr>
            <w:tcW w:w="2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MMI Holdings, LLC</w:t>
            </w:r>
          </w:p>
        </w:tc>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Medical Device Distributor</w:t>
            </w: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Senior Secured Debt (12% Cash, Due</w:t>
            </w: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2,600</w:t>
            </w: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2,600</w:t>
            </w:r>
          </w:p>
        </w:tc>
        <w:tc>
          <w:tcPr>
            <w:tcW w:w="7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2,600</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10/17/14)</w:t>
            </w: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MMI Holdings, LLC</w:t>
            </w:r>
          </w:p>
        </w:tc>
        <w:tc>
          <w:tcPr>
            <w:tcW w:w="2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Medical Device Distributor</w:t>
            </w:r>
          </w:p>
        </w:tc>
        <w:tc>
          <w:tcPr>
            <w:tcW w:w="2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 Units (1,000 shares)</w:t>
            </w:r>
          </w:p>
        </w:tc>
        <w:tc>
          <w:tcPr>
            <w:tcW w:w="8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1,052</w:t>
            </w: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57"/>
        </w:trPr>
        <w:tc>
          <w:tcPr>
            <w:tcW w:w="2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MMI Holdings, LLC</w:t>
            </w:r>
          </w:p>
        </w:tc>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Medical Device Distributor</w:t>
            </w: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Units (120 shares)</w:t>
            </w: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28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4,040</w:t>
            </w: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4,328</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
        </w:trPr>
        <w:tc>
          <w:tcPr>
            <w:tcW w:w="2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MTI Holdings, LLC</w:t>
            </w:r>
          </w:p>
        </w:tc>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Retail Display &amp; Security Services</w:t>
            </w:r>
          </w:p>
        </w:tc>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Subordinated Debt (12% Cash, Due</w:t>
            </w: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960" w:type="dxa"/>
            <w:vAlign w:val="bottom"/>
            <w:gridSpan w:val="3"/>
            <w:vMerge w:val="continue"/>
          </w:tcPr>
          <w:p>
            <w:pPr>
              <w:spacing w:after="0"/>
              <w:rPr>
                <w:sz w:val="20"/>
                <w:szCs w:val="20"/>
                <w:color w:val="auto"/>
              </w:rPr>
            </w:pPr>
          </w:p>
        </w:tc>
        <w:tc>
          <w:tcPr>
            <w:tcW w:w="2680" w:type="dxa"/>
            <w:vAlign w:val="bottom"/>
            <w:gridSpan w:val="2"/>
            <w:vMerge w:val="continue"/>
          </w:tcPr>
          <w:p>
            <w:pPr>
              <w:spacing w:after="0"/>
              <w:rPr>
                <w:sz w:val="20"/>
                <w:szCs w:val="20"/>
                <w:color w:val="auto"/>
              </w:rPr>
            </w:pPr>
          </w:p>
        </w:tc>
        <w:tc>
          <w:tcPr>
            <w:tcW w:w="2660" w:type="dxa"/>
            <w:vAlign w:val="bottom"/>
            <w:gridSpan w:val="2"/>
            <w:vMerge w:val="continue"/>
          </w:tcPr>
          <w:p>
            <w:pPr>
              <w:spacing w:after="0"/>
              <w:rPr>
                <w:sz w:val="20"/>
                <w:szCs w:val="20"/>
                <w:color w:val="auto"/>
              </w:rPr>
            </w:pP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8,000</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280" w:type="dxa"/>
            <w:vAlign w:val="bottom"/>
            <w:vMerge w:val="restart"/>
          </w:tcPr>
          <w:p>
            <w:pPr>
              <w:spacing w:after="0"/>
              <w:rPr>
                <w:sz w:val="20"/>
                <w:szCs w:val="2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280" w:type="dxa"/>
            <w:vAlign w:val="bottom"/>
            <w:vMerge w:val="restart"/>
          </w:tcPr>
          <w:p>
            <w:pPr>
              <w:spacing w:after="0"/>
              <w:rPr>
                <w:sz w:val="20"/>
                <w:szCs w:val="2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11/1/18)</w:t>
            </w: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MTI Holdings, LLC</w:t>
            </w:r>
          </w:p>
        </w:tc>
        <w:tc>
          <w:tcPr>
            <w:tcW w:w="2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Retail Display &amp; Security Services</w:t>
            </w:r>
          </w:p>
        </w:tc>
        <w:tc>
          <w:tcPr>
            <w:tcW w:w="2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 Units (2,000,000 units)</w:t>
            </w:r>
          </w:p>
        </w:tc>
        <w:tc>
          <w:tcPr>
            <w:tcW w:w="8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10,000</w:t>
            </w:r>
          </w:p>
        </w:tc>
        <w:tc>
          <w:tcPr>
            <w:tcW w:w="280" w:type="dxa"/>
            <w:vAlign w:val="bottom"/>
            <w:vMerge w:val="continue"/>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10,000</w:t>
            </w:r>
          </w:p>
        </w:tc>
        <w:tc>
          <w:tcPr>
            <w:tcW w:w="2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Pickaway Plains Ambulance Services,</w:t>
            </w:r>
          </w:p>
        </w:tc>
        <w:tc>
          <w:tcPr>
            <w:tcW w:w="2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Medical Transportation Services</w:t>
            </w:r>
          </w:p>
        </w:tc>
        <w:tc>
          <w:tcPr>
            <w:tcW w:w="2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Senior Secured Term Debt (13.0% Cash,</w:t>
            </w:r>
          </w:p>
        </w:tc>
        <w:tc>
          <w:tcPr>
            <w:tcW w:w="8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1,548</w:t>
            </w:r>
          </w:p>
        </w:tc>
        <w:tc>
          <w:tcPr>
            <w:tcW w:w="74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Inc. </w:t>
            </w:r>
            <w:r>
              <w:rPr>
                <w:rFonts w:ascii="Times New Roman" w:cs="Times New Roman" w:eastAsia="Times New Roman" w:hAnsi="Times New Roman"/>
                <w:sz w:val="12"/>
                <w:szCs w:val="12"/>
                <w:color w:val="auto"/>
              </w:rPr>
              <w:t>(1, 2)</w:t>
            </w:r>
          </w:p>
        </w:tc>
        <w:tc>
          <w:tcPr>
            <w:tcW w:w="2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12/31/15)</w:t>
            </w:r>
          </w:p>
        </w:tc>
        <w:tc>
          <w:tcPr>
            <w:tcW w:w="86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Pickaway Plains Ambulance Services, Inc.</w:t>
            </w:r>
          </w:p>
        </w:tc>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Medical Transportation Services</w:t>
            </w: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 Warrants (5% fully</w:t>
            </w:r>
          </w:p>
        </w:tc>
        <w:tc>
          <w:tcPr>
            <w:tcW w:w="8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spacing w:after="0"/>
              <w:rPr>
                <w:sz w:val="20"/>
                <w:szCs w:val="20"/>
                <w:color w:val="auto"/>
              </w:rPr>
            </w:pP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spacing w:after="0"/>
              <w:rPr>
                <w:sz w:val="20"/>
                <w:szCs w:val="2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w:t>
            </w:r>
          </w:p>
        </w:tc>
        <w:tc>
          <w:tcPr>
            <w:tcW w:w="86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0"/>
        </w:trPr>
        <w:tc>
          <w:tcPr>
            <w:tcW w:w="2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Source Capital ABUTEC, LLC</w:t>
            </w:r>
          </w:p>
        </w:tc>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Oil &amp; Gas Services</w:t>
            </w:r>
          </w:p>
        </w:tc>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Senior Secured Debt (10% Cash, Due</w:t>
            </w: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960" w:type="dxa"/>
            <w:vAlign w:val="bottom"/>
            <w:gridSpan w:val="3"/>
            <w:vMerge w:val="continue"/>
          </w:tcPr>
          <w:p>
            <w:pPr>
              <w:spacing w:after="0"/>
              <w:rPr>
                <w:sz w:val="20"/>
                <w:szCs w:val="20"/>
                <w:color w:val="auto"/>
              </w:rPr>
            </w:pPr>
          </w:p>
        </w:tc>
        <w:tc>
          <w:tcPr>
            <w:tcW w:w="2680" w:type="dxa"/>
            <w:vAlign w:val="bottom"/>
            <w:gridSpan w:val="2"/>
            <w:vMerge w:val="continue"/>
          </w:tcPr>
          <w:p>
            <w:pPr>
              <w:spacing w:after="0"/>
              <w:rPr>
                <w:sz w:val="20"/>
                <w:szCs w:val="20"/>
                <w:color w:val="auto"/>
              </w:rPr>
            </w:pPr>
          </w:p>
        </w:tc>
        <w:tc>
          <w:tcPr>
            <w:tcW w:w="2660" w:type="dxa"/>
            <w:vAlign w:val="bottom"/>
            <w:gridSpan w:val="2"/>
            <w:vMerge w:val="continue"/>
          </w:tcPr>
          <w:p>
            <w:pPr>
              <w:spacing w:after="0"/>
              <w:rPr>
                <w:sz w:val="20"/>
                <w:szCs w:val="20"/>
                <w:color w:val="auto"/>
              </w:rPr>
            </w:pP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1,000</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80" w:type="dxa"/>
            <w:vAlign w:val="bottom"/>
            <w:vMerge w:val="restart"/>
          </w:tcPr>
          <w:p>
            <w:pPr>
              <w:spacing w:after="0"/>
              <w:rPr>
                <w:sz w:val="20"/>
                <w:szCs w:val="2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280" w:type="dxa"/>
            <w:vAlign w:val="bottom"/>
            <w:vMerge w:val="restart"/>
          </w:tcPr>
          <w:p>
            <w:pPr>
              <w:spacing w:after="0"/>
              <w:rPr>
                <w:sz w:val="20"/>
                <w:szCs w:val="2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12/28/17)</w:t>
            </w: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Source Capital ABUTEC, LLC</w:t>
            </w:r>
          </w:p>
        </w:tc>
        <w:tc>
          <w:tcPr>
            <w:tcW w:w="2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Oil &amp; Gas Services</w:t>
            </w:r>
          </w:p>
        </w:tc>
        <w:tc>
          <w:tcPr>
            <w:tcW w:w="2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Subordinated Debt (12% Cash, 3% PIK,</w:t>
            </w:r>
          </w:p>
        </w:tc>
        <w:tc>
          <w:tcPr>
            <w:tcW w:w="8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4,093</w:t>
            </w:r>
          </w:p>
        </w:tc>
        <w:tc>
          <w:tcPr>
            <w:tcW w:w="7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4,093</w:t>
            </w:r>
          </w:p>
        </w:tc>
        <w:tc>
          <w:tcPr>
            <w:tcW w:w="7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4,021</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12/28/17)</w:t>
            </w:r>
          </w:p>
        </w:tc>
        <w:tc>
          <w:tcPr>
            <w:tcW w:w="86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Source Capital ABUTEC, LLC</w:t>
            </w:r>
          </w:p>
        </w:tc>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Oil &amp; Gas Services</w:t>
            </w: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Preferred Membership Units (15.5%</w:t>
            </w:r>
          </w:p>
        </w:tc>
        <w:tc>
          <w:tcPr>
            <w:tcW w:w="8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280" w:type="dxa"/>
            <w:vAlign w:val="bottom"/>
            <w:vMerge w:val="restart"/>
          </w:tcPr>
          <w:p>
            <w:pPr>
              <w:spacing w:after="0"/>
              <w:rPr>
                <w:sz w:val="20"/>
                <w:szCs w:val="2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80" w:type="dxa"/>
            <w:vAlign w:val="bottom"/>
            <w:vMerge w:val="restart"/>
          </w:tcPr>
          <w:p>
            <w:pPr>
              <w:spacing w:after="0"/>
              <w:rPr>
                <w:sz w:val="20"/>
                <w:szCs w:val="2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ownership)</w:t>
            </w:r>
          </w:p>
        </w:tc>
        <w:tc>
          <w:tcPr>
            <w:tcW w:w="86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6,332</w:t>
            </w: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5,519</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2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Source Capital Penray, LLC</w:t>
            </w:r>
          </w:p>
        </w:tc>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Automotive Chemicals &amp; Lubricants</w:t>
            </w:r>
          </w:p>
        </w:tc>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Subordinated Debt (13% Cash, Due</w:t>
            </w: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960" w:type="dxa"/>
            <w:vAlign w:val="bottom"/>
            <w:gridSpan w:val="3"/>
            <w:vMerge w:val="continue"/>
          </w:tcPr>
          <w:p>
            <w:pPr>
              <w:spacing w:after="0"/>
              <w:rPr>
                <w:sz w:val="20"/>
                <w:szCs w:val="20"/>
                <w:color w:val="auto"/>
              </w:rPr>
            </w:pPr>
          </w:p>
        </w:tc>
        <w:tc>
          <w:tcPr>
            <w:tcW w:w="2680" w:type="dxa"/>
            <w:vAlign w:val="bottom"/>
            <w:gridSpan w:val="2"/>
            <w:vMerge w:val="continue"/>
          </w:tcPr>
          <w:p>
            <w:pPr>
              <w:spacing w:after="0"/>
              <w:rPr>
                <w:sz w:val="20"/>
                <w:szCs w:val="20"/>
                <w:color w:val="auto"/>
              </w:rPr>
            </w:pPr>
          </w:p>
        </w:tc>
        <w:tc>
          <w:tcPr>
            <w:tcW w:w="2660" w:type="dxa"/>
            <w:vAlign w:val="bottom"/>
            <w:gridSpan w:val="2"/>
            <w:vMerge w:val="continue"/>
          </w:tcPr>
          <w:p>
            <w:pPr>
              <w:spacing w:after="0"/>
              <w:rPr>
                <w:sz w:val="20"/>
                <w:szCs w:val="20"/>
                <w:color w:val="auto"/>
              </w:rPr>
            </w:pP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2,500</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280" w:type="dxa"/>
            <w:vAlign w:val="bottom"/>
            <w:vMerge w:val="restart"/>
          </w:tcPr>
          <w:p>
            <w:pPr>
              <w:spacing w:after="0"/>
              <w:rPr>
                <w:sz w:val="20"/>
                <w:szCs w:val="2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2,447</w:t>
            </w:r>
          </w:p>
        </w:tc>
        <w:tc>
          <w:tcPr>
            <w:tcW w:w="280" w:type="dxa"/>
            <w:vAlign w:val="bottom"/>
            <w:vMerge w:val="restart"/>
          </w:tcPr>
          <w:p>
            <w:pPr>
              <w:spacing w:after="0"/>
              <w:rPr>
                <w:sz w:val="20"/>
                <w:szCs w:val="2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2/17/17)</w:t>
            </w: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Source Capital Penray, LLC</w:t>
            </w:r>
          </w:p>
        </w:tc>
        <w:tc>
          <w:tcPr>
            <w:tcW w:w="2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Automotive Chemicals &amp; Lubricants</w:t>
            </w:r>
          </w:p>
        </w:tc>
        <w:tc>
          <w:tcPr>
            <w:tcW w:w="2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Membership Units (136.12 units)</w:t>
            </w:r>
          </w:p>
        </w:tc>
        <w:tc>
          <w:tcPr>
            <w:tcW w:w="8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446</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34"/>
        </w:trPr>
        <w:tc>
          <w:tcPr>
            <w:tcW w:w="2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Source Capital Penray, LLC</w:t>
            </w:r>
          </w:p>
        </w:tc>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Automotive Chemicals &amp; Lubricants</w:t>
            </w: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 Warrants (6.65% fully</w:t>
            </w:r>
          </w:p>
        </w:tc>
        <w:tc>
          <w:tcPr>
            <w:tcW w:w="8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spacing w:after="0"/>
              <w:rPr>
                <w:sz w:val="20"/>
                <w:szCs w:val="2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280" w:type="dxa"/>
            <w:vAlign w:val="bottom"/>
            <w:vMerge w:val="restart"/>
          </w:tcPr>
          <w:p>
            <w:pPr>
              <w:spacing w:after="0"/>
              <w:rPr>
                <w:sz w:val="20"/>
                <w:szCs w:val="2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w:t>
            </w:r>
          </w:p>
        </w:tc>
        <w:tc>
          <w:tcPr>
            <w:tcW w:w="86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3,250</w:t>
            </w: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3,140</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2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Source Capital SSCR, LLC</w:t>
            </w:r>
          </w:p>
        </w:tc>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Suntan Lotion Manufacturer</w:t>
            </w:r>
          </w:p>
        </w:tc>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Senior Secured Term Debt (12% Cash,</w:t>
            </w: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960" w:type="dxa"/>
            <w:vAlign w:val="bottom"/>
            <w:gridSpan w:val="3"/>
            <w:vMerge w:val="continue"/>
          </w:tcPr>
          <w:p>
            <w:pPr>
              <w:spacing w:after="0"/>
              <w:rPr>
                <w:sz w:val="20"/>
                <w:szCs w:val="20"/>
                <w:color w:val="auto"/>
              </w:rPr>
            </w:pPr>
          </w:p>
        </w:tc>
        <w:tc>
          <w:tcPr>
            <w:tcW w:w="2680" w:type="dxa"/>
            <w:vAlign w:val="bottom"/>
            <w:gridSpan w:val="2"/>
            <w:vMerge w:val="continue"/>
          </w:tcPr>
          <w:p>
            <w:pPr>
              <w:spacing w:after="0"/>
              <w:rPr>
                <w:sz w:val="20"/>
                <w:szCs w:val="20"/>
                <w:color w:val="auto"/>
              </w:rPr>
            </w:pPr>
          </w:p>
        </w:tc>
        <w:tc>
          <w:tcPr>
            <w:tcW w:w="2660" w:type="dxa"/>
            <w:vAlign w:val="bottom"/>
            <w:gridSpan w:val="2"/>
            <w:vMerge w:val="continue"/>
          </w:tcPr>
          <w:p>
            <w:pPr>
              <w:spacing w:after="0"/>
              <w:rPr>
                <w:sz w:val="20"/>
                <w:szCs w:val="20"/>
                <w:color w:val="auto"/>
              </w:rPr>
            </w:pP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15,000</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80" w:type="dxa"/>
            <w:vAlign w:val="bottom"/>
            <w:vMerge w:val="restart"/>
          </w:tcPr>
          <w:p>
            <w:pPr>
              <w:spacing w:after="0"/>
              <w:rPr>
                <w:sz w:val="20"/>
                <w:szCs w:val="2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80" w:type="dxa"/>
            <w:vAlign w:val="bottom"/>
            <w:vMerge w:val="restart"/>
          </w:tcPr>
          <w:p>
            <w:pPr>
              <w:spacing w:after="0"/>
              <w:rPr>
                <w:sz w:val="20"/>
                <w:szCs w:val="2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7/6/17)</w:t>
            </w:r>
          </w:p>
        </w:tc>
        <w:tc>
          <w:tcPr>
            <w:tcW w:w="86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Source Capital SSCR, LLC</w:t>
            </w:r>
          </w:p>
        </w:tc>
        <w:tc>
          <w:tcPr>
            <w:tcW w:w="2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Suntan Lotion Manufacturer</w:t>
            </w:r>
          </w:p>
        </w:tc>
        <w:tc>
          <w:tcPr>
            <w:tcW w:w="2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Preferred Membership Units (14.44%</w:t>
            </w:r>
          </w:p>
        </w:tc>
        <w:tc>
          <w:tcPr>
            <w:tcW w:w="8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1,770</w:t>
            </w:r>
          </w:p>
        </w:tc>
        <w:tc>
          <w:tcPr>
            <w:tcW w:w="7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37</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w:t>
            </w:r>
          </w:p>
        </w:tc>
        <w:tc>
          <w:tcPr>
            <w:tcW w:w="86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Source Capital SSCR, LLC</w:t>
            </w:r>
          </w:p>
        </w:tc>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Suntan Lotion Manufacturer</w:t>
            </w: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Membership Unit Warrants (1.37%</w:t>
            </w:r>
          </w:p>
        </w:tc>
        <w:tc>
          <w:tcPr>
            <w:tcW w:w="8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spacing w:after="0"/>
              <w:rPr>
                <w:sz w:val="20"/>
                <w:szCs w:val="2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vMerge w:val="restart"/>
          </w:tcPr>
          <w:p>
            <w:pPr>
              <w:spacing w:after="0"/>
              <w:rPr>
                <w:sz w:val="20"/>
                <w:szCs w:val="2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w:t>
            </w:r>
          </w:p>
        </w:tc>
        <w:tc>
          <w:tcPr>
            <w:tcW w:w="86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16,770</w:t>
            </w: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15,039</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0"/>
        </w:trPr>
        <w:tc>
          <w:tcPr>
            <w:tcW w:w="2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 xml:space="preserve">Source Recycling, LLC </w:t>
            </w:r>
            <w:r>
              <w:rPr>
                <w:rFonts w:ascii="Times New Roman" w:cs="Times New Roman" w:eastAsia="Times New Roman" w:hAnsi="Times New Roman"/>
                <w:sz w:val="12"/>
                <w:szCs w:val="12"/>
                <w:color w:val="auto"/>
              </w:rPr>
              <w:t>(2)</w:t>
            </w:r>
          </w:p>
        </w:tc>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Metal Recycler</w:t>
            </w:r>
          </w:p>
        </w:tc>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Subordinated Debt (13% Cash, Due</w:t>
            </w: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960" w:type="dxa"/>
            <w:vAlign w:val="bottom"/>
            <w:gridSpan w:val="3"/>
            <w:vMerge w:val="continue"/>
          </w:tcPr>
          <w:p>
            <w:pPr>
              <w:spacing w:after="0"/>
              <w:rPr>
                <w:sz w:val="20"/>
                <w:szCs w:val="20"/>
                <w:color w:val="auto"/>
              </w:rPr>
            </w:pPr>
          </w:p>
        </w:tc>
        <w:tc>
          <w:tcPr>
            <w:tcW w:w="2680" w:type="dxa"/>
            <w:vAlign w:val="bottom"/>
            <w:gridSpan w:val="2"/>
            <w:vMerge w:val="continue"/>
          </w:tcPr>
          <w:p>
            <w:pPr>
              <w:spacing w:after="0"/>
              <w:rPr>
                <w:sz w:val="20"/>
                <w:szCs w:val="20"/>
                <w:color w:val="auto"/>
              </w:rPr>
            </w:pPr>
          </w:p>
        </w:tc>
        <w:tc>
          <w:tcPr>
            <w:tcW w:w="2660" w:type="dxa"/>
            <w:vAlign w:val="bottom"/>
            <w:gridSpan w:val="2"/>
            <w:vMerge w:val="continue"/>
          </w:tcPr>
          <w:p>
            <w:pPr>
              <w:spacing w:after="0"/>
              <w:rPr>
                <w:sz w:val="20"/>
                <w:szCs w:val="20"/>
                <w:color w:val="auto"/>
              </w:rPr>
            </w:pP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5,000</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280" w:type="dxa"/>
            <w:vAlign w:val="bottom"/>
            <w:vMerge w:val="restart"/>
          </w:tcPr>
          <w:p>
            <w:pPr>
              <w:spacing w:after="0"/>
              <w:rPr>
                <w:sz w:val="20"/>
                <w:szCs w:val="2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3,031</w:t>
            </w:r>
          </w:p>
        </w:tc>
        <w:tc>
          <w:tcPr>
            <w:tcW w:w="280" w:type="dxa"/>
            <w:vAlign w:val="bottom"/>
            <w:vMerge w:val="restart"/>
          </w:tcPr>
          <w:p>
            <w:pPr>
              <w:spacing w:after="0"/>
              <w:rPr>
                <w:sz w:val="20"/>
                <w:szCs w:val="2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9/2/16)</w:t>
            </w: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Source Recycling, LLC</w:t>
            </w:r>
          </w:p>
        </w:tc>
        <w:tc>
          <w:tcPr>
            <w:tcW w:w="2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Metal Recycler</w:t>
            </w:r>
          </w:p>
        </w:tc>
        <w:tc>
          <w:tcPr>
            <w:tcW w:w="2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Membership Units (68,658 shares)</w:t>
            </w:r>
          </w:p>
        </w:tc>
        <w:tc>
          <w:tcPr>
            <w:tcW w:w="8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1,540</w:t>
            </w:r>
          </w:p>
        </w:tc>
        <w:tc>
          <w:tcPr>
            <w:tcW w:w="7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34"/>
        </w:trPr>
        <w:tc>
          <w:tcPr>
            <w:tcW w:w="2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Source Recycling, LLC</w:t>
            </w:r>
          </w:p>
        </w:tc>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Metal Recycler</w:t>
            </w: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Membership Unit Warrants (.97% fully</w:t>
            </w:r>
          </w:p>
        </w:tc>
        <w:tc>
          <w:tcPr>
            <w:tcW w:w="8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spacing w:after="0"/>
              <w:rPr>
                <w:sz w:val="20"/>
                <w:szCs w:val="20"/>
                <w:color w:val="auto"/>
              </w:rPr>
            </w:pP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spacing w:after="0"/>
              <w:rPr>
                <w:sz w:val="20"/>
                <w:szCs w:val="2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w:t>
            </w:r>
          </w:p>
        </w:tc>
        <w:tc>
          <w:tcPr>
            <w:tcW w:w="86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6,540</w:t>
            </w: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3,031</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2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Sparus Holdings</w:t>
            </w:r>
          </w:p>
        </w:tc>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Energy Services</w:t>
            </w:r>
          </w:p>
        </w:tc>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Subordinated Debt (12% Cash, Due</w:t>
            </w: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960" w:type="dxa"/>
            <w:vAlign w:val="bottom"/>
            <w:gridSpan w:val="3"/>
            <w:vMerge w:val="continue"/>
          </w:tcPr>
          <w:p>
            <w:pPr>
              <w:spacing w:after="0"/>
              <w:rPr>
                <w:sz w:val="20"/>
                <w:szCs w:val="20"/>
                <w:color w:val="auto"/>
              </w:rPr>
            </w:pPr>
          </w:p>
        </w:tc>
        <w:tc>
          <w:tcPr>
            <w:tcW w:w="2680" w:type="dxa"/>
            <w:vAlign w:val="bottom"/>
            <w:gridSpan w:val="2"/>
            <w:vMerge w:val="continue"/>
          </w:tcPr>
          <w:p>
            <w:pPr>
              <w:spacing w:after="0"/>
              <w:rPr>
                <w:sz w:val="20"/>
                <w:szCs w:val="20"/>
                <w:color w:val="auto"/>
              </w:rPr>
            </w:pPr>
          </w:p>
        </w:tc>
        <w:tc>
          <w:tcPr>
            <w:tcW w:w="2660" w:type="dxa"/>
            <w:vAlign w:val="bottom"/>
            <w:gridSpan w:val="2"/>
            <w:vMerge w:val="continue"/>
          </w:tcPr>
          <w:p>
            <w:pPr>
              <w:spacing w:after="0"/>
              <w:rPr>
                <w:sz w:val="20"/>
                <w:szCs w:val="20"/>
                <w:color w:val="auto"/>
              </w:rPr>
            </w:pP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7,150</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7,150</w:t>
            </w:r>
          </w:p>
        </w:tc>
        <w:tc>
          <w:tcPr>
            <w:tcW w:w="280" w:type="dxa"/>
            <w:vAlign w:val="bottom"/>
            <w:vMerge w:val="restart"/>
          </w:tcPr>
          <w:p>
            <w:pPr>
              <w:spacing w:after="0"/>
              <w:rPr>
                <w:sz w:val="20"/>
                <w:szCs w:val="2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7,150</w:t>
            </w:r>
          </w:p>
        </w:tc>
        <w:tc>
          <w:tcPr>
            <w:tcW w:w="280" w:type="dxa"/>
            <w:vAlign w:val="bottom"/>
            <w:vMerge w:val="restart"/>
          </w:tcPr>
          <w:p>
            <w:pPr>
              <w:spacing w:after="0"/>
              <w:rPr>
                <w:sz w:val="20"/>
                <w:szCs w:val="2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3/18/14)</w:t>
            </w: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Sparus Holdings</w:t>
            </w:r>
          </w:p>
        </w:tc>
        <w:tc>
          <w:tcPr>
            <w:tcW w:w="2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Energy Services</w:t>
            </w:r>
          </w:p>
        </w:tc>
        <w:tc>
          <w:tcPr>
            <w:tcW w:w="2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Series B Preferred Stock (5,704 shares)</w:t>
            </w:r>
          </w:p>
        </w:tc>
        <w:tc>
          <w:tcPr>
            <w:tcW w:w="8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1,173</w:t>
            </w: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1,415</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57"/>
        </w:trPr>
        <w:tc>
          <w:tcPr>
            <w:tcW w:w="2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Sparus Holdings</w:t>
            </w:r>
          </w:p>
        </w:tc>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Energy Services</w:t>
            </w: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 Warrants (3,491 shares)</w:t>
            </w: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2"/>
                <w:szCs w:val="22"/>
                <w:color w:val="auto"/>
              </w:rPr>
            </w:pPr>
          </w:p>
        </w:tc>
        <w:tc>
          <w:tcPr>
            <w:tcW w:w="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8,323</w:t>
            </w: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8,565</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
        </w:trPr>
        <w:tc>
          <w:tcPr>
            <w:tcW w:w="2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 xml:space="preserve">STX Healthcare Management Services, Inc. </w:t>
            </w:r>
            <w:r>
              <w:rPr>
                <w:rFonts w:ascii="Times New Roman" w:cs="Times New Roman" w:eastAsia="Times New Roman" w:hAnsi="Times New Roman"/>
                <w:sz w:val="12"/>
                <w:szCs w:val="12"/>
                <w:color w:val="auto"/>
              </w:rPr>
              <w:t>(1)</w:t>
            </w:r>
          </w:p>
        </w:tc>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Dentistry Services</w:t>
            </w:r>
          </w:p>
        </w:tc>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Subordinated Debt (14% Cash, Due</w:t>
            </w: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960" w:type="dxa"/>
            <w:vAlign w:val="bottom"/>
            <w:gridSpan w:val="3"/>
            <w:vMerge w:val="continue"/>
          </w:tcPr>
          <w:p>
            <w:pPr>
              <w:spacing w:after="0"/>
              <w:rPr>
                <w:sz w:val="20"/>
                <w:szCs w:val="20"/>
                <w:color w:val="auto"/>
              </w:rPr>
            </w:pPr>
          </w:p>
        </w:tc>
        <w:tc>
          <w:tcPr>
            <w:tcW w:w="2680" w:type="dxa"/>
            <w:vAlign w:val="bottom"/>
            <w:gridSpan w:val="2"/>
            <w:vMerge w:val="continue"/>
          </w:tcPr>
          <w:p>
            <w:pPr>
              <w:spacing w:after="0"/>
              <w:rPr>
                <w:sz w:val="20"/>
                <w:szCs w:val="20"/>
                <w:color w:val="auto"/>
              </w:rPr>
            </w:pPr>
          </w:p>
        </w:tc>
        <w:tc>
          <w:tcPr>
            <w:tcW w:w="2660" w:type="dxa"/>
            <w:vAlign w:val="bottom"/>
            <w:gridSpan w:val="2"/>
            <w:vMerge w:val="continue"/>
          </w:tcPr>
          <w:p>
            <w:pPr>
              <w:spacing w:after="0"/>
              <w:rPr>
                <w:sz w:val="20"/>
                <w:szCs w:val="20"/>
                <w:color w:val="auto"/>
              </w:rPr>
            </w:pP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7,425</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7,425</w:t>
            </w:r>
          </w:p>
        </w:tc>
        <w:tc>
          <w:tcPr>
            <w:tcW w:w="280" w:type="dxa"/>
            <w:vAlign w:val="bottom"/>
            <w:vMerge w:val="restart"/>
          </w:tcPr>
          <w:p>
            <w:pPr>
              <w:spacing w:after="0"/>
              <w:rPr>
                <w:sz w:val="20"/>
                <w:szCs w:val="2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7,425</w:t>
            </w:r>
          </w:p>
        </w:tc>
        <w:tc>
          <w:tcPr>
            <w:tcW w:w="280" w:type="dxa"/>
            <w:vAlign w:val="bottom"/>
            <w:vMerge w:val="restart"/>
          </w:tcPr>
          <w:p>
            <w:pPr>
              <w:spacing w:after="0"/>
              <w:rPr>
                <w:sz w:val="20"/>
                <w:szCs w:val="2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7/31/15)</w:t>
            </w: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2"/>
                <w:szCs w:val="12"/>
                <w:b w:val="1"/>
                <w:bCs w:val="1"/>
                <w:color w:val="auto"/>
              </w:rPr>
              <w:t>(4, 5)</w:t>
            </w:r>
          </w:p>
        </w:tc>
        <w:tc>
          <w:tcPr>
            <w:tcW w:w="262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26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Investment Interest Rate /</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3"/>
                <w:szCs w:val="13"/>
                <w:color w:val="auto"/>
              </w:rPr>
            </w:pPr>
          </w:p>
        </w:tc>
        <w:tc>
          <w:tcPr>
            <w:tcW w:w="6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6"/>
        </w:trPr>
        <w:tc>
          <w:tcPr>
            <w:tcW w:w="2840" w:type="dxa"/>
            <w:vAlign w:val="bottom"/>
            <w:gridSpan w:val="3"/>
            <w:vMerge w:val="continue"/>
          </w:tcPr>
          <w:p>
            <w:pPr>
              <w:spacing w:after="0"/>
              <w:rPr>
                <w:sz w:val="15"/>
                <w:szCs w:val="15"/>
                <w:color w:val="auto"/>
              </w:rPr>
            </w:pPr>
          </w:p>
        </w:tc>
        <w:tc>
          <w:tcPr>
            <w:tcW w:w="2620" w:type="dxa"/>
            <w:vAlign w:val="bottom"/>
            <w:gridSpan w:val="2"/>
            <w:vMerge w:val="continue"/>
          </w:tcPr>
          <w:p>
            <w:pPr>
              <w:spacing w:after="0"/>
              <w:rPr>
                <w:sz w:val="15"/>
                <w:szCs w:val="15"/>
                <w:color w:val="auto"/>
              </w:rPr>
            </w:pPr>
          </w:p>
        </w:tc>
        <w:tc>
          <w:tcPr>
            <w:tcW w:w="262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8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6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STX Healthcare Management Services, Inc.</w:t>
            </w:r>
          </w:p>
        </w:tc>
        <w:tc>
          <w:tcPr>
            <w:tcW w:w="2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Dentistry Services</w:t>
            </w:r>
          </w:p>
        </w:tc>
        <w:tc>
          <w:tcPr>
            <w:tcW w:w="2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(1,200,000 shares)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926</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34"/>
        </w:trPr>
        <w:tc>
          <w:tcPr>
            <w:tcW w:w="2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STX Healthcare Management Services, Inc.</w:t>
            </w: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Dentistry Services</w:t>
            </w: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 Warrants (1,154,254</w:t>
            </w:r>
          </w:p>
        </w:tc>
        <w:tc>
          <w:tcPr>
            <w:tcW w:w="140" w:type="dxa"/>
            <w:vAlign w:val="bottom"/>
          </w:tcPr>
          <w:p>
            <w:pPr>
              <w:spacing w:after="0"/>
              <w:rPr>
                <w:sz w:val="20"/>
                <w:szCs w:val="20"/>
                <w:color w:val="auto"/>
              </w:rPr>
            </w:pPr>
          </w:p>
        </w:tc>
        <w:tc>
          <w:tcPr>
            <w:tcW w:w="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280" w:type="dxa"/>
            <w:vAlign w:val="bottom"/>
            <w:vMerge w:val="restart"/>
          </w:tcPr>
          <w:p>
            <w:pPr>
              <w:spacing w:after="0"/>
              <w:rPr>
                <w:sz w:val="20"/>
                <w:szCs w:val="2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8,843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9,334</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
        </w:trPr>
        <w:tc>
          <w:tcPr>
            <w:tcW w:w="2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Take 5 Oil Change, LLC</w:t>
            </w: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Quick Lube Services</w:t>
            </w: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 (10,692 shares)</w:t>
            </w:r>
          </w:p>
        </w:tc>
        <w:tc>
          <w:tcPr>
            <w:tcW w:w="140" w:type="dxa"/>
            <w:vAlign w:val="bottom"/>
          </w:tcPr>
          <w:p>
            <w:pPr>
              <w:spacing w:after="0"/>
              <w:rPr>
                <w:sz w:val="22"/>
                <w:szCs w:val="22"/>
                <w:color w:val="auto"/>
              </w:rPr>
            </w:pP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1,069</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1,523</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1,069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1,523</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0"/>
        </w:trPr>
        <w:tc>
          <w:tcPr>
            <w:tcW w:w="2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TCSafety, Inc.</w:t>
            </w:r>
          </w:p>
        </w:tc>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Oil &amp; Gas Services</w:t>
            </w:r>
          </w:p>
        </w:tc>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Subordinated Debt (12% Cash, 2% PIK,</w:t>
            </w: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840" w:type="dxa"/>
            <w:vAlign w:val="bottom"/>
            <w:gridSpan w:val="3"/>
            <w:vMerge w:val="continue"/>
          </w:tcPr>
          <w:p>
            <w:pPr>
              <w:spacing w:after="0"/>
              <w:rPr>
                <w:sz w:val="20"/>
                <w:szCs w:val="20"/>
                <w:color w:val="auto"/>
              </w:rPr>
            </w:pPr>
          </w:p>
        </w:tc>
        <w:tc>
          <w:tcPr>
            <w:tcW w:w="2620" w:type="dxa"/>
            <w:vAlign w:val="bottom"/>
            <w:gridSpan w:val="2"/>
            <w:vMerge w:val="continue"/>
          </w:tcPr>
          <w:p>
            <w:pPr>
              <w:spacing w:after="0"/>
              <w:rPr>
                <w:sz w:val="20"/>
                <w:szCs w:val="20"/>
                <w:color w:val="auto"/>
              </w:rPr>
            </w:pPr>
          </w:p>
        </w:tc>
        <w:tc>
          <w:tcPr>
            <w:tcW w:w="26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12,027</w:t>
            </w:r>
          </w:p>
        </w:tc>
        <w:tc>
          <w:tcPr>
            <w:tcW w:w="80" w:type="dxa"/>
            <w:vAlign w:val="bottom"/>
          </w:tcPr>
          <w:p>
            <w:pPr>
              <w:spacing w:after="0"/>
              <w:rPr>
                <w:sz w:val="20"/>
                <w:szCs w:val="2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12,027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12,027</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11/22/18)</w:t>
            </w: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TCSafety, Inc.</w:t>
            </w:r>
          </w:p>
        </w:tc>
        <w:tc>
          <w:tcPr>
            <w:tcW w:w="2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Oil &amp; Gas Services</w:t>
            </w:r>
          </w:p>
        </w:tc>
        <w:tc>
          <w:tcPr>
            <w:tcW w:w="2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A Common Stock (2,100 shares)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2,100</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14,127</w:t>
            </w:r>
          </w:p>
        </w:tc>
        <w:tc>
          <w:tcPr>
            <w:tcW w:w="1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14,127</w:t>
            </w:r>
          </w:p>
        </w:tc>
        <w:tc>
          <w:tcPr>
            <w:tcW w:w="2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V12 Holdings</w:t>
            </w:r>
          </w:p>
        </w:tc>
        <w:tc>
          <w:tcPr>
            <w:tcW w:w="2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Data Processing &amp; Digital Marketing</w:t>
            </w:r>
          </w:p>
        </w:tc>
        <w:tc>
          <w:tcPr>
            <w:tcW w:w="2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Bridge Note (0% Cash, Due 12/31/14)</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663</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663</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74"/>
        </w:trPr>
        <w:tc>
          <w:tcPr>
            <w:tcW w:w="2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V12 Holdings</w:t>
            </w: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Data Processing &amp; Digital Marketing</w:t>
            </w: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Tier 2 Note (0% Cash, Due 12/31/14)</w:t>
            </w:r>
          </w:p>
        </w:tc>
        <w:tc>
          <w:tcPr>
            <w:tcW w:w="140" w:type="dxa"/>
            <w:vAlign w:val="bottom"/>
          </w:tcPr>
          <w:p>
            <w:pPr>
              <w:spacing w:after="0"/>
              <w:rPr>
                <w:sz w:val="23"/>
                <w:szCs w:val="23"/>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81</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8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V12 Holdings</w:t>
            </w:r>
          </w:p>
        </w:tc>
        <w:tc>
          <w:tcPr>
            <w:tcW w:w="2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Data Processing &amp; Digital Marketing</w:t>
            </w:r>
          </w:p>
        </w:tc>
        <w:tc>
          <w:tcPr>
            <w:tcW w:w="2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Senior Subordinated Note (0% Cash, Due</w:t>
            </w: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3,598</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2,369</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3,598</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12/31/14)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2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V12 Holdings</w:t>
            </w: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Data Processing &amp; Digital Marketing</w:t>
            </w: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Tier 3 Note (0% Cash, Due 12/31/14)</w:t>
            </w:r>
          </w:p>
        </w:tc>
        <w:tc>
          <w:tcPr>
            <w:tcW w:w="140" w:type="dxa"/>
            <w:vAlign w:val="bottom"/>
          </w:tcPr>
          <w:p>
            <w:pPr>
              <w:spacing w:after="0"/>
              <w:rPr>
                <w:sz w:val="23"/>
                <w:szCs w:val="23"/>
                <w:color w:val="auto"/>
              </w:rPr>
            </w:pP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314</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8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V12 Holdings</w:t>
            </w:r>
          </w:p>
        </w:tc>
        <w:tc>
          <w:tcPr>
            <w:tcW w:w="2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Data Processing &amp; Digital Marketing</w:t>
            </w:r>
          </w:p>
        </w:tc>
        <w:tc>
          <w:tcPr>
            <w:tcW w:w="2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Jr. Subordinated Note (0% Cash, Due</w:t>
            </w: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2,750</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405</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12/31/14)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2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V12 Holdings</w:t>
            </w: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Data Processing &amp; Digital Marketing</w:t>
            </w: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Tier 4 Note (0% Cash, Due 12/31/14)</w:t>
            </w:r>
          </w:p>
        </w:tc>
        <w:tc>
          <w:tcPr>
            <w:tcW w:w="140" w:type="dxa"/>
            <w:vAlign w:val="bottom"/>
          </w:tcPr>
          <w:p>
            <w:pPr>
              <w:spacing w:after="0"/>
              <w:rPr>
                <w:sz w:val="23"/>
                <w:szCs w:val="23"/>
                <w:color w:val="auto"/>
              </w:rPr>
            </w:pP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8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V12 Holdings</w:t>
            </w:r>
          </w:p>
        </w:tc>
        <w:tc>
          <w:tcPr>
            <w:tcW w:w="2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Data Processing &amp; Digital Marketing</w:t>
            </w:r>
          </w:p>
        </w:tc>
        <w:tc>
          <w:tcPr>
            <w:tcW w:w="2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Series A-1 Preferred Stock (11,025</w:t>
            </w: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V12 Holdings</w:t>
            </w: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Data Processing &amp; Digital Marketing</w:t>
            </w: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Series A-3 Preferred Stock (204,082</w:t>
            </w:r>
          </w:p>
        </w:tc>
        <w:tc>
          <w:tcPr>
            <w:tcW w:w="140" w:type="dxa"/>
            <w:vAlign w:val="bottom"/>
          </w:tcPr>
          <w:p>
            <w:pPr>
              <w:spacing w:after="0"/>
              <w:rPr>
                <w:sz w:val="20"/>
                <w:szCs w:val="20"/>
                <w:color w:val="auto"/>
              </w:rPr>
            </w:pPr>
          </w:p>
        </w:tc>
        <w:tc>
          <w:tcPr>
            <w:tcW w:w="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V12 Holdings</w:t>
            </w:r>
          </w:p>
        </w:tc>
        <w:tc>
          <w:tcPr>
            <w:tcW w:w="2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Data Processing &amp; Digital Marketing</w:t>
            </w:r>
          </w:p>
        </w:tc>
        <w:tc>
          <w:tcPr>
            <w:tcW w:w="2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Series A-5 Preferred Stock (8,409 shares)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34"/>
        </w:trPr>
        <w:tc>
          <w:tcPr>
            <w:tcW w:w="2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V12 Holdings</w:t>
            </w: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Data Processing &amp; Digital Marketing</w:t>
            </w: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 Warrants (880,541</w:t>
            </w:r>
          </w:p>
        </w:tc>
        <w:tc>
          <w:tcPr>
            <w:tcW w:w="140" w:type="dxa"/>
            <w:vAlign w:val="bottom"/>
          </w:tcPr>
          <w:p>
            <w:pPr>
              <w:spacing w:after="0"/>
              <w:rPr>
                <w:sz w:val="20"/>
                <w:szCs w:val="20"/>
                <w:color w:val="auto"/>
              </w:rPr>
            </w:pPr>
          </w:p>
        </w:tc>
        <w:tc>
          <w:tcPr>
            <w:tcW w:w="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spacing w:after="0"/>
              <w:rPr>
                <w:sz w:val="20"/>
                <w:szCs w:val="2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2,981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5,061</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Sub Total Affiliate investments</w:t>
            </w:r>
          </w:p>
        </w:tc>
        <w:tc>
          <w:tcPr>
            <w:tcW w:w="2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145,591</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168,143</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62.3%</w:t>
            </w:r>
          </w:p>
        </w:tc>
        <w:tc>
          <w:tcPr>
            <w:tcW w:w="0" w:type="dxa"/>
            <w:vAlign w:val="bottom"/>
          </w:tcPr>
          <w:p>
            <w:pPr>
              <w:spacing w:after="0"/>
              <w:rPr>
                <w:sz w:val="1"/>
                <w:szCs w:val="1"/>
                <w:color w:val="auto"/>
              </w:rPr>
            </w:pPr>
          </w:p>
        </w:tc>
      </w:tr>
      <w:tr>
        <w:trPr>
          <w:trHeight w:val="281"/>
        </w:trPr>
        <w:tc>
          <w:tcPr>
            <w:tcW w:w="2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Control investments - 31.1%</w:t>
            </w: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8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Best In Class</w:t>
            </w:r>
          </w:p>
        </w:tc>
        <w:tc>
          <w:tcPr>
            <w:tcW w:w="2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Corporate Fulfillment</w:t>
            </w:r>
          </w:p>
        </w:tc>
        <w:tc>
          <w:tcPr>
            <w:tcW w:w="2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Subordinated Debt (12.5% Cash, Due</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1,455</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1,413</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1,455</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12/31/13)</w:t>
            </w:r>
          </w:p>
        </w:tc>
        <w:tc>
          <w:tcPr>
            <w:tcW w:w="2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2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Best In Class</w:t>
            </w: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Corporate Fulfillment</w:t>
            </w: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Class A Preferred Units (178 shares)</w:t>
            </w:r>
          </w:p>
        </w:tc>
        <w:tc>
          <w:tcPr>
            <w:tcW w:w="140" w:type="dxa"/>
            <w:vAlign w:val="bottom"/>
          </w:tcPr>
          <w:p>
            <w:pPr>
              <w:spacing w:after="0"/>
              <w:rPr>
                <w:sz w:val="23"/>
                <w:szCs w:val="23"/>
                <w:color w:val="auto"/>
              </w:rPr>
            </w:pP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647</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Best In Class</w:t>
            </w:r>
          </w:p>
        </w:tc>
        <w:tc>
          <w:tcPr>
            <w:tcW w:w="2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Corporate Fulfillment</w:t>
            </w:r>
          </w:p>
        </w:tc>
        <w:tc>
          <w:tcPr>
            <w:tcW w:w="2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B Preferred Units (91 shares)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2,089</w:t>
            </w:r>
          </w:p>
        </w:tc>
        <w:tc>
          <w:tcPr>
            <w:tcW w:w="1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2,193</w:t>
            </w:r>
          </w:p>
        </w:tc>
        <w:tc>
          <w:tcPr>
            <w:tcW w:w="2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8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CableOrganizer Acquisition, LLC</w:t>
            </w:r>
          </w:p>
        </w:tc>
        <w:tc>
          <w:tcPr>
            <w:tcW w:w="2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Computer Supply Retail</w:t>
            </w:r>
          </w:p>
        </w:tc>
        <w:tc>
          <w:tcPr>
            <w:tcW w:w="2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Senior Secured Term Debt (12% Cash,</w:t>
            </w: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6,518</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6,518</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6,518</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4% PIK, Due 5/24/18)</w:t>
            </w: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CableOrganizer Acquisition, LLC</w:t>
            </w: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Computer Supply Retail</w:t>
            </w: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 (193,333 shares)</w:t>
            </w:r>
          </w:p>
        </w:tc>
        <w:tc>
          <w:tcPr>
            <w:tcW w:w="140" w:type="dxa"/>
            <w:vAlign w:val="bottom"/>
          </w:tcPr>
          <w:p>
            <w:pPr>
              <w:spacing w:after="0"/>
              <w:rPr>
                <w:sz w:val="22"/>
                <w:szCs w:val="22"/>
                <w:color w:val="auto"/>
              </w:rPr>
            </w:pP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1,125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1,031</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7,643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7,549</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0"/>
        </w:trPr>
        <w:tc>
          <w:tcPr>
            <w:tcW w:w="2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 xml:space="preserve">KBP Investments, LLC </w:t>
            </w:r>
            <w:r>
              <w:rPr>
                <w:rFonts w:ascii="Times New Roman" w:cs="Times New Roman" w:eastAsia="Times New Roman" w:hAnsi="Times New Roman"/>
                <w:sz w:val="12"/>
                <w:szCs w:val="12"/>
                <w:color w:val="auto"/>
              </w:rPr>
              <w:t>(6)</w:t>
            </w:r>
          </w:p>
        </w:tc>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QSR Franchisee</w:t>
            </w:r>
          </w:p>
        </w:tc>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Preferred Stock (scheduled 10%</w:t>
            </w: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840" w:type="dxa"/>
            <w:vAlign w:val="bottom"/>
            <w:gridSpan w:val="3"/>
            <w:vMerge w:val="continue"/>
          </w:tcPr>
          <w:p>
            <w:pPr>
              <w:spacing w:after="0"/>
              <w:rPr>
                <w:sz w:val="20"/>
                <w:szCs w:val="20"/>
                <w:color w:val="auto"/>
              </w:rPr>
            </w:pPr>
          </w:p>
        </w:tc>
        <w:tc>
          <w:tcPr>
            <w:tcW w:w="2620" w:type="dxa"/>
            <w:vAlign w:val="bottom"/>
            <w:gridSpan w:val="2"/>
            <w:vMerge w:val="continue"/>
          </w:tcPr>
          <w:p>
            <w:pPr>
              <w:spacing w:after="0"/>
              <w:rPr>
                <w:sz w:val="20"/>
                <w:szCs w:val="20"/>
                <w:color w:val="auto"/>
              </w:rPr>
            </w:pPr>
          </w:p>
        </w:tc>
        <w:tc>
          <w:tcPr>
            <w:tcW w:w="26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8,269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8,269</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w:t>
            </w: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KBP Investments, LLC</w:t>
            </w:r>
          </w:p>
        </w:tc>
        <w:tc>
          <w:tcPr>
            <w:tcW w:w="2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QSR Franchisee</w:t>
            </w:r>
          </w:p>
        </w:tc>
        <w:tc>
          <w:tcPr>
            <w:tcW w:w="2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A Common Stock (380,413 shares)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20,701</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8,269</w:t>
            </w:r>
          </w:p>
        </w:tc>
        <w:tc>
          <w:tcPr>
            <w:tcW w:w="1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28,970</w:t>
            </w:r>
          </w:p>
        </w:tc>
        <w:tc>
          <w:tcPr>
            <w:tcW w:w="2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8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Market E, Inc.</w:t>
            </w:r>
          </w:p>
        </w:tc>
        <w:tc>
          <w:tcPr>
            <w:tcW w:w="2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Online Travel Sales &amp; Marketing</w:t>
            </w:r>
          </w:p>
        </w:tc>
        <w:tc>
          <w:tcPr>
            <w:tcW w:w="2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Senior Secured Debt (10% Cash, 9%</w:t>
            </w: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3,014</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2,897</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2,504</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PIK, Due 12/31/13)</w:t>
            </w: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2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Market E, Inc.</w:t>
            </w: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Online Travel Sales &amp; Marketing</w:t>
            </w: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Class A Preferred Stock (540 shares)</w:t>
            </w:r>
          </w:p>
        </w:tc>
        <w:tc>
          <w:tcPr>
            <w:tcW w:w="140" w:type="dxa"/>
            <w:vAlign w:val="bottom"/>
          </w:tcPr>
          <w:p>
            <w:pPr>
              <w:spacing w:after="0"/>
              <w:rPr>
                <w:sz w:val="23"/>
                <w:szCs w:val="23"/>
                <w:color w:val="auto"/>
              </w:rPr>
            </w:pP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2"/>
                <w:szCs w:val="12"/>
                <w:b w:val="1"/>
                <w:bCs w:val="1"/>
                <w:color w:val="auto"/>
              </w:rPr>
              <w:t>(4, 5)</w:t>
            </w:r>
          </w:p>
        </w:tc>
        <w:tc>
          <w:tcPr>
            <w:tcW w:w="238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200" w:type="dxa"/>
            <w:vAlign w:val="bottom"/>
          </w:tcPr>
          <w:p>
            <w:pPr>
              <w:spacing w:after="0"/>
              <w:rPr>
                <w:sz w:val="13"/>
                <w:szCs w:val="13"/>
                <w:color w:val="auto"/>
              </w:rPr>
            </w:pPr>
          </w:p>
        </w:tc>
        <w:tc>
          <w:tcPr>
            <w:tcW w:w="2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 Interest Rate /</w:t>
            </w:r>
          </w:p>
        </w:tc>
        <w:tc>
          <w:tcPr>
            <w:tcW w:w="94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6"/>
        </w:trPr>
        <w:tc>
          <w:tcPr>
            <w:tcW w:w="2920" w:type="dxa"/>
            <w:vAlign w:val="bottom"/>
            <w:gridSpan w:val="3"/>
            <w:vMerge w:val="continue"/>
          </w:tcPr>
          <w:p>
            <w:pPr>
              <w:spacing w:after="0"/>
              <w:rPr>
                <w:sz w:val="15"/>
                <w:szCs w:val="15"/>
                <w:color w:val="auto"/>
              </w:rPr>
            </w:pPr>
          </w:p>
        </w:tc>
        <w:tc>
          <w:tcPr>
            <w:tcW w:w="23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940" w:type="dxa"/>
            <w:vAlign w:val="bottom"/>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Net Assets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7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3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3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Market E, Inc.</w:t>
            </w:r>
          </w:p>
        </w:tc>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Online Travel Sales &amp; Marketing</w:t>
            </w:r>
          </w:p>
        </w:tc>
        <w:tc>
          <w:tcPr>
            <w:tcW w:w="2760" w:type="dxa"/>
            <w:vAlign w:val="bottom"/>
            <w:gridSpan w:val="3"/>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Class B Preferred Stock (2,170 shares)</w:t>
            </w:r>
          </w:p>
        </w:tc>
        <w:tc>
          <w:tcPr>
            <w:tcW w:w="940" w:type="dxa"/>
            <w:vAlign w:val="bottom"/>
            <w:gridSpan w:val="3"/>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965</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57"/>
        </w:trPr>
        <w:tc>
          <w:tcPr>
            <w:tcW w:w="2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Market E, Inc.</w:t>
            </w:r>
          </w:p>
        </w:tc>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Online Travel Sales &amp; Marketing</w:t>
            </w:r>
          </w:p>
        </w:tc>
        <w:tc>
          <w:tcPr>
            <w:tcW w:w="276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Class A Common Stock (540 shares)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4,102</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2,504</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0"/>
        </w:trPr>
        <w:tc>
          <w:tcPr>
            <w:tcW w:w="2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Micro Precision, LLC</w:t>
            </w:r>
          </w:p>
        </w:tc>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Conglomerate</w:t>
            </w:r>
          </w:p>
        </w:tc>
        <w:tc>
          <w:tcPr>
            <w:tcW w:w="27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color w:val="auto"/>
              </w:rPr>
              <w:t>Subordinated Debt (10% Cash, Due</w:t>
            </w: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920" w:type="dxa"/>
            <w:vAlign w:val="bottom"/>
            <w:gridSpan w:val="3"/>
            <w:vMerge w:val="continue"/>
          </w:tcPr>
          <w:p>
            <w:pPr>
              <w:spacing w:after="0"/>
              <w:rPr>
                <w:sz w:val="20"/>
                <w:szCs w:val="20"/>
                <w:color w:val="auto"/>
              </w:rPr>
            </w:pPr>
          </w:p>
        </w:tc>
        <w:tc>
          <w:tcPr>
            <w:tcW w:w="2380" w:type="dxa"/>
            <w:vAlign w:val="bottom"/>
            <w:vMerge w:val="continue"/>
          </w:tcPr>
          <w:p>
            <w:pPr>
              <w:spacing w:after="0"/>
              <w:rPr>
                <w:sz w:val="20"/>
                <w:szCs w:val="20"/>
                <w:color w:val="auto"/>
              </w:rPr>
            </w:pPr>
          </w:p>
        </w:tc>
        <w:tc>
          <w:tcPr>
            <w:tcW w:w="2760" w:type="dxa"/>
            <w:vAlign w:val="bottom"/>
            <w:gridSpan w:val="3"/>
            <w:vMerge w:val="continue"/>
          </w:tcPr>
          <w:p>
            <w:pPr>
              <w:spacing w:after="0"/>
              <w:rPr>
                <w:sz w:val="20"/>
                <w:szCs w:val="20"/>
                <w:color w:val="auto"/>
              </w:rPr>
            </w:pPr>
          </w:p>
        </w:tc>
        <w:tc>
          <w:tcPr>
            <w:tcW w:w="8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1,862</w:t>
            </w:r>
          </w:p>
        </w:tc>
        <w:tc>
          <w:tcPr>
            <w:tcW w:w="80" w:type="dxa"/>
            <w:vAlign w:val="bottom"/>
          </w:tcPr>
          <w:p>
            <w:pPr>
              <w:spacing w:after="0"/>
              <w:rPr>
                <w:sz w:val="20"/>
                <w:szCs w:val="2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20" w:type="dxa"/>
            <w:vAlign w:val="bottom"/>
            <w:vMerge w:val="restart"/>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280" w:type="dxa"/>
            <w:vAlign w:val="bottom"/>
            <w:vMerge w:val="restart"/>
          </w:tcPr>
          <w:p>
            <w:pPr>
              <w:spacing w:after="0"/>
              <w:rPr>
                <w:sz w:val="20"/>
                <w:szCs w:val="20"/>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5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9/16/16)</w:t>
            </w: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Micro Precision, LLC</w:t>
            </w:r>
          </w:p>
        </w:tc>
        <w:tc>
          <w:tcPr>
            <w:tcW w:w="2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Conglomerate</w:t>
            </w:r>
          </w:p>
        </w:tc>
        <w:tc>
          <w:tcPr>
            <w:tcW w:w="2760" w:type="dxa"/>
            <w:vAlign w:val="bottom"/>
            <w:gridSpan w:val="3"/>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Subordinated Debt (14% Cash, 4% PIK,</w:t>
            </w:r>
          </w:p>
        </w:tc>
        <w:tc>
          <w:tcPr>
            <w:tcW w:w="860" w:type="dxa"/>
            <w:vAlign w:val="bottom"/>
            <w:gridSpan w:val="2"/>
            <w:vMerge w:val="restart"/>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3,525</w:t>
            </w:r>
          </w:p>
        </w:tc>
        <w:tc>
          <w:tcPr>
            <w:tcW w:w="8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3,525</w:t>
            </w: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3,525</w:t>
            </w: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Due 9/16/16)</w:t>
            </w: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Micro Precision, LLC</w:t>
            </w:r>
          </w:p>
        </w:tc>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Conglomerate</w:t>
            </w:r>
          </w:p>
        </w:tc>
        <w:tc>
          <w:tcPr>
            <w:tcW w:w="276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Common Stock (47 shares)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28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7,016</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7,551</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0"/>
        </w:trPr>
        <w:tc>
          <w:tcPr>
            <w:tcW w:w="2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Navis Holdings, Inc.</w:t>
            </w:r>
          </w:p>
        </w:tc>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Textile Equipment Manufacturer</w:t>
            </w:r>
          </w:p>
        </w:tc>
        <w:tc>
          <w:tcPr>
            <w:tcW w:w="27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color w:val="auto"/>
              </w:rPr>
              <w:t>Senior Secured Term (14% Cash, 3%</w:t>
            </w: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920" w:type="dxa"/>
            <w:vAlign w:val="bottom"/>
            <w:gridSpan w:val="3"/>
            <w:vMerge w:val="continue"/>
          </w:tcPr>
          <w:p>
            <w:pPr>
              <w:spacing w:after="0"/>
              <w:rPr>
                <w:sz w:val="20"/>
                <w:szCs w:val="20"/>
                <w:color w:val="auto"/>
              </w:rPr>
            </w:pPr>
          </w:p>
        </w:tc>
        <w:tc>
          <w:tcPr>
            <w:tcW w:w="2380" w:type="dxa"/>
            <w:vAlign w:val="bottom"/>
            <w:vMerge w:val="continue"/>
          </w:tcPr>
          <w:p>
            <w:pPr>
              <w:spacing w:after="0"/>
              <w:rPr>
                <w:sz w:val="20"/>
                <w:szCs w:val="20"/>
                <w:color w:val="auto"/>
              </w:rPr>
            </w:pPr>
          </w:p>
        </w:tc>
        <w:tc>
          <w:tcPr>
            <w:tcW w:w="2760" w:type="dxa"/>
            <w:vAlign w:val="bottom"/>
            <w:gridSpan w:val="3"/>
            <w:vMerge w:val="continue"/>
          </w:tcPr>
          <w:p>
            <w:pPr>
              <w:spacing w:after="0"/>
              <w:rPr>
                <w:sz w:val="20"/>
                <w:szCs w:val="20"/>
                <w:color w:val="auto"/>
              </w:rPr>
            </w:pPr>
          </w:p>
        </w:tc>
        <w:tc>
          <w:tcPr>
            <w:tcW w:w="8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6,735</w:t>
            </w:r>
          </w:p>
        </w:tc>
        <w:tc>
          <w:tcPr>
            <w:tcW w:w="80" w:type="dxa"/>
            <w:vAlign w:val="bottom"/>
          </w:tcPr>
          <w:p>
            <w:pPr>
              <w:spacing w:after="0"/>
              <w:rPr>
                <w:sz w:val="20"/>
                <w:szCs w:val="2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6,735</w:t>
            </w:r>
          </w:p>
        </w:tc>
        <w:tc>
          <w:tcPr>
            <w:tcW w:w="20" w:type="dxa"/>
            <w:vAlign w:val="bottom"/>
            <w:vMerge w:val="restart"/>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6,735</w:t>
            </w:r>
          </w:p>
        </w:tc>
        <w:tc>
          <w:tcPr>
            <w:tcW w:w="280" w:type="dxa"/>
            <w:vAlign w:val="bottom"/>
            <w:vMerge w:val="restart"/>
          </w:tcPr>
          <w:p>
            <w:pPr>
              <w:spacing w:after="0"/>
              <w:rPr>
                <w:sz w:val="20"/>
                <w:szCs w:val="20"/>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76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PIK, Due 2/1/16)</w:t>
            </w: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Navis Holdings, Inc.</w:t>
            </w:r>
          </w:p>
        </w:tc>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Textile Equipment Manufacturer</w:t>
            </w:r>
          </w:p>
        </w:tc>
        <w:tc>
          <w:tcPr>
            <w:tcW w:w="2760" w:type="dxa"/>
            <w:vAlign w:val="bottom"/>
            <w:gridSpan w:val="3"/>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Class A Preferred Stock (1,000 shares)</w:t>
            </w:r>
          </w:p>
        </w:tc>
        <w:tc>
          <w:tcPr>
            <w:tcW w:w="940" w:type="dxa"/>
            <w:vAlign w:val="bottom"/>
            <w:gridSpan w:val="3"/>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1,154</w:t>
            </w: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57"/>
        </w:trPr>
        <w:tc>
          <w:tcPr>
            <w:tcW w:w="2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Navis Holdings, Inc.</w:t>
            </w:r>
          </w:p>
        </w:tc>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Textile Equipment Manufacturer</w:t>
            </w:r>
          </w:p>
        </w:tc>
        <w:tc>
          <w:tcPr>
            <w:tcW w:w="276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Common Stock (300,000 shares)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28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7,736</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9,301</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2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On-Site Fuel Services, Inc.</w:t>
            </w:r>
          </w:p>
        </w:tc>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Fuel Transportation Services</w:t>
            </w:r>
          </w:p>
        </w:tc>
        <w:tc>
          <w:tcPr>
            <w:tcW w:w="27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color w:val="auto"/>
              </w:rPr>
              <w:t>Subordinated Debt (14% Cash, 4% PIK,</w:t>
            </w: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920" w:type="dxa"/>
            <w:vAlign w:val="bottom"/>
            <w:gridSpan w:val="3"/>
            <w:vMerge w:val="continue"/>
          </w:tcPr>
          <w:p>
            <w:pPr>
              <w:spacing w:after="0"/>
              <w:rPr>
                <w:sz w:val="20"/>
                <w:szCs w:val="20"/>
                <w:color w:val="auto"/>
              </w:rPr>
            </w:pPr>
          </w:p>
        </w:tc>
        <w:tc>
          <w:tcPr>
            <w:tcW w:w="2380" w:type="dxa"/>
            <w:vAlign w:val="bottom"/>
            <w:vMerge w:val="continue"/>
          </w:tcPr>
          <w:p>
            <w:pPr>
              <w:spacing w:after="0"/>
              <w:rPr>
                <w:sz w:val="20"/>
                <w:szCs w:val="20"/>
                <w:color w:val="auto"/>
              </w:rPr>
            </w:pPr>
          </w:p>
        </w:tc>
        <w:tc>
          <w:tcPr>
            <w:tcW w:w="2760" w:type="dxa"/>
            <w:vAlign w:val="bottom"/>
            <w:gridSpan w:val="3"/>
            <w:vMerge w:val="continue"/>
          </w:tcPr>
          <w:p>
            <w:pPr>
              <w:spacing w:after="0"/>
              <w:rPr>
                <w:sz w:val="20"/>
                <w:szCs w:val="20"/>
                <w:color w:val="auto"/>
              </w:rPr>
            </w:pPr>
          </w:p>
        </w:tc>
        <w:tc>
          <w:tcPr>
            <w:tcW w:w="8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4,799</w:t>
            </w:r>
          </w:p>
        </w:tc>
        <w:tc>
          <w:tcPr>
            <w:tcW w:w="80" w:type="dxa"/>
            <w:vAlign w:val="bottom"/>
          </w:tcPr>
          <w:p>
            <w:pPr>
              <w:spacing w:after="0"/>
              <w:rPr>
                <w:sz w:val="20"/>
                <w:szCs w:val="2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4,799</w:t>
            </w:r>
          </w:p>
        </w:tc>
        <w:tc>
          <w:tcPr>
            <w:tcW w:w="20" w:type="dxa"/>
            <w:vAlign w:val="bottom"/>
            <w:vMerge w:val="restart"/>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4,799</w:t>
            </w:r>
          </w:p>
        </w:tc>
        <w:tc>
          <w:tcPr>
            <w:tcW w:w="280" w:type="dxa"/>
            <w:vAlign w:val="bottom"/>
            <w:vMerge w:val="restart"/>
          </w:tcPr>
          <w:p>
            <w:pPr>
              <w:spacing w:after="0"/>
              <w:rPr>
                <w:sz w:val="20"/>
                <w:szCs w:val="20"/>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76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Due 12/19/16)</w:t>
            </w: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On-Site Fuel Services, Inc.</w:t>
            </w:r>
          </w:p>
        </w:tc>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Fuel Transportation Services</w:t>
            </w:r>
          </w:p>
        </w:tc>
        <w:tc>
          <w:tcPr>
            <w:tcW w:w="2760" w:type="dxa"/>
            <w:vAlign w:val="bottom"/>
            <w:gridSpan w:val="3"/>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Series A Preferred Stock (32,797 shares)</w:t>
            </w:r>
          </w:p>
        </w:tc>
        <w:tc>
          <w:tcPr>
            <w:tcW w:w="940" w:type="dxa"/>
            <w:vAlign w:val="bottom"/>
            <w:gridSpan w:val="3"/>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3,278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3,022</w:t>
            </w: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34"/>
        </w:trPr>
        <w:tc>
          <w:tcPr>
            <w:tcW w:w="2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On-Site Fuel Services, Inc. </w:t>
            </w:r>
            <w:r>
              <w:rPr>
                <w:rFonts w:ascii="Times New Roman" w:cs="Times New Roman" w:eastAsia="Times New Roman" w:hAnsi="Times New Roman"/>
                <w:sz w:val="12"/>
                <w:szCs w:val="12"/>
                <w:color w:val="auto"/>
              </w:rPr>
              <w:t>(6)</w:t>
            </w:r>
          </w:p>
        </w:tc>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Fuel Transportation Services</w:t>
            </w:r>
          </w:p>
        </w:tc>
        <w:tc>
          <w:tcPr>
            <w:tcW w:w="276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Series B Preferred Stock (14%</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76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color w:val="auto"/>
              </w:rPr>
              <w:t>scheduled cash dividend, 4% PIK</w:t>
            </w:r>
          </w:p>
        </w:tc>
        <w:tc>
          <w:tcPr>
            <w:tcW w:w="940" w:type="dxa"/>
            <w:vAlign w:val="bottom"/>
            <w:gridSpan w:val="3"/>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2,365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2,365</w:t>
            </w: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76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dividend)</w:t>
            </w:r>
          </w:p>
        </w:tc>
        <w:tc>
          <w:tcPr>
            <w:tcW w:w="940" w:type="dxa"/>
            <w:vAlign w:val="bottom"/>
            <w:gridSpan w:val="3"/>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On-Site Fuel Services, Inc.</w:t>
            </w:r>
          </w:p>
        </w:tc>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Fuel Transportation Services</w:t>
            </w:r>
          </w:p>
        </w:tc>
        <w:tc>
          <w:tcPr>
            <w:tcW w:w="2760" w:type="dxa"/>
            <w:vAlign w:val="bottom"/>
            <w:gridSpan w:val="3"/>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Stock (33,107 shares)</w:t>
            </w:r>
          </w:p>
        </w:tc>
        <w:tc>
          <w:tcPr>
            <w:tcW w:w="8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10,475</w:t>
            </w:r>
          </w:p>
        </w:tc>
        <w:tc>
          <w:tcPr>
            <w:tcW w:w="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10,186</w:t>
            </w:r>
          </w:p>
        </w:tc>
        <w:tc>
          <w:tcPr>
            <w:tcW w:w="28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Print Direction, Inc. </w:t>
            </w:r>
            <w:r>
              <w:rPr>
                <w:rFonts w:ascii="Times New Roman" w:cs="Times New Roman" w:eastAsia="Times New Roman" w:hAnsi="Times New Roman"/>
                <w:sz w:val="12"/>
                <w:szCs w:val="12"/>
                <w:color w:val="auto"/>
              </w:rPr>
              <w:t>(1)</w:t>
            </w:r>
          </w:p>
        </w:tc>
        <w:tc>
          <w:tcPr>
            <w:tcW w:w="2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Printing Services</w:t>
            </w:r>
          </w:p>
        </w:tc>
        <w:tc>
          <w:tcPr>
            <w:tcW w:w="2760" w:type="dxa"/>
            <w:vAlign w:val="bottom"/>
            <w:gridSpan w:val="3"/>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Subordinated Debt (12% Cash, 6% PIK,</w:t>
            </w:r>
          </w:p>
        </w:tc>
        <w:tc>
          <w:tcPr>
            <w:tcW w:w="860" w:type="dxa"/>
            <w:vAlign w:val="bottom"/>
            <w:gridSpan w:val="2"/>
            <w:vMerge w:val="restart"/>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4,356</w:t>
            </w:r>
          </w:p>
        </w:tc>
        <w:tc>
          <w:tcPr>
            <w:tcW w:w="8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4,322</w:t>
            </w: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4,356</w:t>
            </w: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Due 7/25/2018)</w:t>
            </w: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Print Direction, Inc. </w:t>
            </w:r>
            <w:r>
              <w:rPr>
                <w:rFonts w:ascii="Times New Roman" w:cs="Times New Roman" w:eastAsia="Times New Roman" w:hAnsi="Times New Roman"/>
                <w:sz w:val="12"/>
                <w:szCs w:val="12"/>
                <w:color w:val="auto"/>
              </w:rPr>
              <w:t>(1)</w:t>
            </w:r>
          </w:p>
        </w:tc>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Printing Services</w:t>
            </w:r>
          </w:p>
        </w:tc>
        <w:tc>
          <w:tcPr>
            <w:tcW w:w="276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Subordinated Debt (14% Cash, Due</w:t>
            </w:r>
          </w:p>
        </w:tc>
        <w:tc>
          <w:tcPr>
            <w:tcW w:w="8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4,600</w:t>
            </w:r>
          </w:p>
        </w:tc>
        <w:tc>
          <w:tcPr>
            <w:tcW w:w="80" w:type="dxa"/>
            <w:vAlign w:val="bottom"/>
          </w:tcPr>
          <w:p>
            <w:pPr>
              <w:spacing w:after="0"/>
              <w:rPr>
                <w:sz w:val="20"/>
                <w:szCs w:val="20"/>
                <w:color w:val="auto"/>
              </w:rPr>
            </w:pPr>
          </w:p>
        </w:tc>
        <w:tc>
          <w:tcPr>
            <w:tcW w:w="5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4,600</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4,600</w:t>
            </w: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5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7/31/18)</w:t>
            </w: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Print Direction, Inc.</w:t>
            </w:r>
          </w:p>
        </w:tc>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Printing Services</w:t>
            </w:r>
          </w:p>
        </w:tc>
        <w:tc>
          <w:tcPr>
            <w:tcW w:w="2760" w:type="dxa"/>
            <w:vAlign w:val="bottom"/>
            <w:gridSpan w:val="3"/>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Stock (19,363 shares)</w:t>
            </w:r>
          </w:p>
        </w:tc>
        <w:tc>
          <w:tcPr>
            <w:tcW w:w="940" w:type="dxa"/>
            <w:vAlign w:val="bottom"/>
            <w:gridSpan w:val="3"/>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2,990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6,336</w:t>
            </w: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34"/>
        </w:trPr>
        <w:tc>
          <w:tcPr>
            <w:tcW w:w="2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Print Direction, Inc.</w:t>
            </w:r>
          </w:p>
        </w:tc>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Printing Services</w:t>
            </w:r>
          </w:p>
        </w:tc>
        <w:tc>
          <w:tcPr>
            <w:tcW w:w="276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Common Stock Warrants (3% fully</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vMerge w:val="restart"/>
          </w:tcPr>
          <w:p>
            <w:pPr>
              <w:spacing w:after="0"/>
              <w:rPr>
                <w:sz w:val="20"/>
                <w:szCs w:val="20"/>
                <w:color w:val="auto"/>
              </w:rPr>
            </w:pPr>
          </w:p>
        </w:tc>
        <w:tc>
          <w:tcPr>
            <w:tcW w:w="4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restart"/>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280" w:type="dxa"/>
            <w:vAlign w:val="bottom"/>
            <w:vMerge w:val="restart"/>
          </w:tcPr>
          <w:p>
            <w:pPr>
              <w:spacing w:after="0"/>
              <w:rPr>
                <w:sz w:val="20"/>
                <w:szCs w:val="20"/>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76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8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11,912</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15,572</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Sub Total Control investments</w:t>
            </w:r>
          </w:p>
        </w:tc>
        <w:tc>
          <w:tcPr>
            <w:tcW w:w="2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59,242</w:t>
            </w:r>
          </w:p>
        </w:tc>
        <w:tc>
          <w:tcPr>
            <w:tcW w:w="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83,826</w:t>
            </w: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20"/>
        </w:trPr>
        <w:tc>
          <w:tcPr>
            <w:tcW w:w="2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INVESTMENTS - 122.7%</w:t>
            </w:r>
          </w:p>
        </w:tc>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268,302</w:t>
            </w:r>
          </w:p>
        </w:tc>
        <w:tc>
          <w:tcPr>
            <w:tcW w:w="20" w:type="dxa"/>
            <w:vAlign w:val="bottom"/>
          </w:tcPr>
          <w:p>
            <w:pPr>
              <w:spacing w:after="0"/>
              <w:rPr>
                <w:sz w:val="22"/>
                <w:szCs w:val="22"/>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330,977</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of the original investment has been extended</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deterioration in credit quality, this investment is on non-accrual status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deterioration in credit quality, the subordinated debt interest rate has been amended from its original 14% cash and 3% PIK</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investments are income producing. Equity and warrant investments are non-income producing, unless otherwise noted.</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are based on net assets of $269,722 as of September 30, 2013.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investment is income producing.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units)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9"/>
        </w:trPr>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(3, 4)</w:t>
            </w:r>
          </w:p>
        </w:tc>
        <w:tc>
          <w:tcPr>
            <w:tcW w:w="2800" w:type="dxa"/>
            <w:vAlign w:val="bottom"/>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2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Investment Interest Rate / Maturity</w:t>
            </w:r>
          </w:p>
        </w:tc>
        <w:tc>
          <w:tcPr>
            <w:tcW w:w="780" w:type="dxa"/>
            <w:vAlign w:val="bottom"/>
            <w:gridSpan w:val="2"/>
            <w:vMerge w:val="continue"/>
          </w:tcPr>
          <w:p>
            <w:pPr>
              <w:spacing w:after="0"/>
              <w:rPr>
                <w:sz w:val="12"/>
                <w:szCs w:val="12"/>
                <w:color w:val="auto"/>
              </w:rPr>
            </w:pPr>
          </w:p>
        </w:tc>
        <w:tc>
          <w:tcPr>
            <w:tcW w:w="6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660" w:type="dxa"/>
            <w:vAlign w:val="bottom"/>
            <w:gridSpan w:val="2"/>
            <w:vMerge w:val="continue"/>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3020" w:type="dxa"/>
            <w:vAlign w:val="bottom"/>
            <w:gridSpan w:val="2"/>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gridSpan w:val="2"/>
            <w:vMerge w:val="continue"/>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gridSpan w:val="2"/>
            <w:vMerge w:val="continue"/>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Non-control/Non-affiliated investments - 55.3%</w:t>
            </w:r>
          </w:p>
        </w:tc>
        <w:tc>
          <w:tcPr>
            <w:tcW w:w="2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AAE Acquisition, LLC</w:t>
            </w:r>
          </w:p>
        </w:tc>
        <w:tc>
          <w:tcPr>
            <w:tcW w:w="280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Industrial Equipment Rental</w:t>
            </w:r>
          </w:p>
        </w:tc>
        <w:tc>
          <w:tcPr>
            <w:tcW w:w="292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Senior Secured Term Debt (13% Cash, Due</w:t>
            </w: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14,500</w:t>
            </w: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3"/>
              </w:rPr>
              <w:t>$ 14,488</w:t>
            </w: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w w:val="93"/>
              </w:rPr>
              <w:t>$ 14,500</w:t>
            </w:r>
          </w:p>
        </w:tc>
        <w:tc>
          <w:tcPr>
            <w:tcW w:w="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5/6/15)</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AAE Acquisition, LLC</w:t>
            </w:r>
          </w:p>
        </w:tc>
        <w:tc>
          <w:tcPr>
            <w:tcW w:w="28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Industrial Equipment Rental</w:t>
            </w:r>
          </w:p>
        </w:tc>
        <w:tc>
          <w:tcPr>
            <w:tcW w:w="292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Membership Units (10,964 units)</w:t>
            </w:r>
          </w:p>
        </w:tc>
        <w:tc>
          <w:tcPr>
            <w:tcW w:w="7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3,501</w:t>
            </w: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14,513</w:t>
            </w:r>
          </w:p>
        </w:tc>
        <w:tc>
          <w:tcPr>
            <w:tcW w:w="2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18,001</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3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American Exteriors, LLC (1, 2)</w:t>
            </w:r>
          </w:p>
        </w:tc>
        <w:tc>
          <w:tcPr>
            <w:tcW w:w="280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Replacement Window Manufacturer</w:t>
            </w:r>
          </w:p>
        </w:tc>
        <w:tc>
          <w:tcPr>
            <w:tcW w:w="292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Senior Secured Debt (14.0% Cash, Due</w:t>
            </w: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4,565</w:t>
            </w:r>
          </w:p>
        </w:tc>
        <w:tc>
          <w:tcPr>
            <w:tcW w:w="6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3,365</w:t>
            </w: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5,137</w:t>
            </w: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6/30/14)</w:t>
            </w: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American Exteriors, LLC</w:t>
            </w:r>
          </w:p>
        </w:tc>
        <w:tc>
          <w:tcPr>
            <w:tcW w:w="280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Replacement Window Manufacturer</w:t>
            </w:r>
          </w:p>
        </w:tc>
        <w:tc>
          <w:tcPr>
            <w:tcW w:w="292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Jr. Convertible Note (10.0% Cash, Due</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w w:val="85"/>
              </w:rPr>
              <w:t>125</w:t>
            </w:r>
          </w:p>
        </w:tc>
        <w:tc>
          <w:tcPr>
            <w:tcW w:w="200" w:type="dxa"/>
            <w:vAlign w:val="bottom"/>
          </w:tcPr>
          <w:p>
            <w:pPr>
              <w:spacing w:after="0"/>
              <w:rPr>
                <w:sz w:val="10"/>
                <w:szCs w:val="10"/>
                <w:color w:val="auto"/>
              </w:rPr>
            </w:pPr>
          </w:p>
        </w:tc>
        <w:tc>
          <w:tcPr>
            <w:tcW w:w="6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125</w:t>
            </w:r>
          </w:p>
        </w:tc>
        <w:tc>
          <w:tcPr>
            <w:tcW w:w="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6/30/15)</w:t>
            </w: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American Exteriors, LLC</w:t>
            </w:r>
          </w:p>
        </w:tc>
        <w:tc>
          <w:tcPr>
            <w:tcW w:w="28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Replacement Window Manufacturer</w:t>
            </w:r>
          </w:p>
        </w:tc>
        <w:tc>
          <w:tcPr>
            <w:tcW w:w="292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Stock Warrants (15% fully diluted)</w:t>
            </w:r>
          </w:p>
        </w:tc>
        <w:tc>
          <w:tcPr>
            <w:tcW w:w="7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3,365</w:t>
            </w:r>
          </w:p>
        </w:tc>
        <w:tc>
          <w:tcPr>
            <w:tcW w:w="2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5,585</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3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Boot Barn Holding Corporation</w:t>
            </w:r>
          </w:p>
        </w:tc>
        <w:tc>
          <w:tcPr>
            <w:tcW w:w="280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Western Wear Retail</w:t>
            </w:r>
          </w:p>
        </w:tc>
        <w:tc>
          <w:tcPr>
            <w:tcW w:w="292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Subordinated Debt (12.5% Cash, Due</w:t>
            </w: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15,000</w:t>
            </w:r>
          </w:p>
        </w:tc>
        <w:tc>
          <w:tcPr>
            <w:tcW w:w="6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15,000</w:t>
            </w: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15,000</w:t>
            </w: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12/12/16)</w:t>
            </w: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Boot Barn Holding Corporation</w:t>
            </w:r>
          </w:p>
        </w:tc>
        <w:tc>
          <w:tcPr>
            <w:tcW w:w="28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Western Wear Retail</w:t>
            </w:r>
          </w:p>
        </w:tc>
        <w:tc>
          <w:tcPr>
            <w:tcW w:w="292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Stock (2,400 shares)</w:t>
            </w:r>
          </w:p>
        </w:tc>
        <w:tc>
          <w:tcPr>
            <w:tcW w:w="7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4,928</w:t>
            </w: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17,400</w:t>
            </w: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19,928</w:t>
            </w: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Caregiver Services, Inc.</w:t>
            </w:r>
          </w:p>
        </w:tc>
        <w:tc>
          <w:tcPr>
            <w:tcW w:w="28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In-Home Healthcare Services</w:t>
            </w:r>
          </w:p>
        </w:tc>
        <w:tc>
          <w:tcPr>
            <w:tcW w:w="29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Common Stock (146,593 shares)</w:t>
            </w:r>
          </w:p>
        </w:tc>
        <w:tc>
          <w:tcPr>
            <w:tcW w:w="7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20" w:type="dxa"/>
            <w:vAlign w:val="bottom"/>
            <w:gridSpan w:val="2"/>
            <w:vMerge w:val="continue"/>
          </w:tcPr>
          <w:p>
            <w:pPr>
              <w:spacing w:after="0"/>
              <w:rPr>
                <w:sz w:val="13"/>
                <w:szCs w:val="13"/>
                <w:color w:val="auto"/>
              </w:rPr>
            </w:pPr>
          </w:p>
        </w:tc>
        <w:tc>
          <w:tcPr>
            <w:tcW w:w="2800" w:type="dxa"/>
            <w:vAlign w:val="bottom"/>
            <w:vMerge w:val="continue"/>
          </w:tcPr>
          <w:p>
            <w:pPr>
              <w:spacing w:after="0"/>
              <w:rPr>
                <w:sz w:val="13"/>
                <w:szCs w:val="13"/>
                <w:color w:val="auto"/>
              </w:rPr>
            </w:pPr>
          </w:p>
        </w:tc>
        <w:tc>
          <w:tcPr>
            <w:tcW w:w="292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140</w:t>
            </w:r>
          </w:p>
        </w:tc>
        <w:tc>
          <w:tcPr>
            <w:tcW w:w="2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116</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Caregiver Services, Inc.</w:t>
            </w:r>
          </w:p>
        </w:tc>
        <w:tc>
          <w:tcPr>
            <w:tcW w:w="28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In-Home Healthcare Services</w:t>
            </w:r>
          </w:p>
        </w:tc>
        <w:tc>
          <w:tcPr>
            <w:tcW w:w="292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Stock Warrants (1.49% fully diluted)</w:t>
            </w:r>
          </w:p>
        </w:tc>
        <w:tc>
          <w:tcPr>
            <w:tcW w:w="7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140</w:t>
            </w:r>
          </w:p>
        </w:tc>
        <w:tc>
          <w:tcPr>
            <w:tcW w:w="200" w:type="dxa"/>
            <w:vAlign w:val="bottom"/>
            <w:vMerge w:val="continue"/>
          </w:tcPr>
          <w:p>
            <w:pPr>
              <w:spacing w:after="0"/>
              <w:rPr>
                <w:sz w:val="14"/>
                <w:szCs w:val="14"/>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375</w:t>
            </w:r>
          </w:p>
        </w:tc>
        <w:tc>
          <w:tcPr>
            <w:tcW w:w="180" w:type="dxa"/>
            <w:vAlign w:val="bottom"/>
            <w:vMerge w:val="continue"/>
          </w:tcPr>
          <w:p>
            <w:pPr>
              <w:spacing w:after="0"/>
              <w:rPr>
                <w:sz w:val="14"/>
                <w:szCs w:val="14"/>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Highwinds Capital, Inc.</w:t>
            </w:r>
          </w:p>
        </w:tc>
        <w:tc>
          <w:tcPr>
            <w:tcW w:w="28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Usenet Hosting Services</w:t>
            </w:r>
          </w:p>
        </w:tc>
        <w:tc>
          <w:tcPr>
            <w:tcW w:w="292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Stock (33,176 shares)</w:t>
            </w:r>
          </w:p>
        </w:tc>
        <w:tc>
          <w:tcPr>
            <w:tcW w:w="7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4,739</w:t>
            </w: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Highwinds Capital, Inc.</w:t>
            </w:r>
          </w:p>
        </w:tc>
        <w:tc>
          <w:tcPr>
            <w:tcW w:w="28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Usenet Hosting Services</w:t>
            </w:r>
          </w:p>
        </w:tc>
        <w:tc>
          <w:tcPr>
            <w:tcW w:w="292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Stock Warrants (1,087 shares)</w:t>
            </w:r>
          </w:p>
        </w:tc>
        <w:tc>
          <w:tcPr>
            <w:tcW w:w="7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1,475</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6,214</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3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Immersive Media Tactical Solutions, LLC</w:t>
            </w:r>
          </w:p>
        </w:tc>
        <w:tc>
          <w:tcPr>
            <w:tcW w:w="280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Specialty Defense Contractor</w:t>
            </w:r>
          </w:p>
        </w:tc>
        <w:tc>
          <w:tcPr>
            <w:tcW w:w="292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Senior Secured Term Debt (13% Cash, Due</w:t>
            </w: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1,300</w:t>
            </w:r>
          </w:p>
        </w:tc>
        <w:tc>
          <w:tcPr>
            <w:tcW w:w="6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1,300</w:t>
            </w: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467</w:t>
            </w: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10/6/16)</w:t>
            </w: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Immersive Media Tactical Solutions, LLC</w:t>
            </w:r>
          </w:p>
        </w:tc>
        <w:tc>
          <w:tcPr>
            <w:tcW w:w="28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Specialty Defense Contractor</w:t>
            </w:r>
          </w:p>
        </w:tc>
        <w:tc>
          <w:tcPr>
            <w:tcW w:w="292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Unit Warrants (12% fully diluted)</w:t>
            </w:r>
          </w:p>
        </w:tc>
        <w:tc>
          <w:tcPr>
            <w:tcW w:w="7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1,300</w:t>
            </w: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467</w:t>
            </w: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Medical Depot, Inc.</w:t>
            </w:r>
          </w:p>
        </w:tc>
        <w:tc>
          <w:tcPr>
            <w:tcW w:w="28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Medical Device Manufacturer</w:t>
            </w:r>
          </w:p>
        </w:tc>
        <w:tc>
          <w:tcPr>
            <w:tcW w:w="29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Subordinated Debt (14% Cash, Due 10/11/16)</w:t>
            </w: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4,667</w:t>
            </w: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20" w:type="dxa"/>
            <w:vAlign w:val="bottom"/>
            <w:gridSpan w:val="2"/>
            <w:vMerge w:val="continue"/>
          </w:tcPr>
          <w:p>
            <w:pPr>
              <w:spacing w:after="0"/>
              <w:rPr>
                <w:sz w:val="13"/>
                <w:szCs w:val="13"/>
                <w:color w:val="auto"/>
              </w:rPr>
            </w:pPr>
          </w:p>
        </w:tc>
        <w:tc>
          <w:tcPr>
            <w:tcW w:w="2800" w:type="dxa"/>
            <w:vAlign w:val="bottom"/>
            <w:vMerge w:val="continue"/>
          </w:tcPr>
          <w:p>
            <w:pPr>
              <w:spacing w:after="0"/>
              <w:rPr>
                <w:sz w:val="13"/>
                <w:szCs w:val="13"/>
                <w:color w:val="auto"/>
              </w:rPr>
            </w:pPr>
          </w:p>
        </w:tc>
        <w:tc>
          <w:tcPr>
            <w:tcW w:w="292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4,667</w:t>
            </w:r>
          </w:p>
        </w:tc>
        <w:tc>
          <w:tcPr>
            <w:tcW w:w="2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4,667</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Medical Depot, Inc.</w:t>
            </w:r>
          </w:p>
        </w:tc>
        <w:tc>
          <w:tcPr>
            <w:tcW w:w="280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Medical Device Manufacturer</w:t>
            </w:r>
          </w:p>
        </w:tc>
        <w:tc>
          <w:tcPr>
            <w:tcW w:w="292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Series C Convertible Preferred Stock (740</w:t>
            </w:r>
          </w:p>
        </w:tc>
        <w:tc>
          <w:tcPr>
            <w:tcW w:w="7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1,333</w:t>
            </w: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1,619</w:t>
            </w: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2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7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6,000</w:t>
            </w:r>
          </w:p>
        </w:tc>
        <w:tc>
          <w:tcPr>
            <w:tcW w:w="2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6,286</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Naples Lumber &amp; Supply Co</w:t>
            </w:r>
          </w:p>
        </w:tc>
        <w:tc>
          <w:tcPr>
            <w:tcW w:w="28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Building Supplies</w:t>
            </w:r>
          </w:p>
        </w:tc>
        <w:tc>
          <w:tcPr>
            <w:tcW w:w="292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Subordinated Debt (6% Cash, Due 2/15/14)</w:t>
            </w:r>
          </w:p>
        </w:tc>
        <w:tc>
          <w:tcPr>
            <w:tcW w:w="58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w w:val="85"/>
              </w:rPr>
              <w:t>984</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394</w:t>
            </w: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972</w:t>
            </w: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Naples Lumber &amp; Supply Co</w:t>
            </w:r>
          </w:p>
        </w:tc>
        <w:tc>
          <w:tcPr>
            <w:tcW w:w="28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Building Supplies</w:t>
            </w:r>
          </w:p>
        </w:tc>
        <w:tc>
          <w:tcPr>
            <w:tcW w:w="292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Stock Warrants (5% fully diluted)</w:t>
            </w:r>
          </w:p>
        </w:tc>
        <w:tc>
          <w:tcPr>
            <w:tcW w:w="7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394</w:t>
            </w: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972</w:t>
            </w: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Precision Manufacturing, LLC</w:t>
            </w:r>
          </w:p>
        </w:tc>
        <w:tc>
          <w:tcPr>
            <w:tcW w:w="2800" w:type="dxa"/>
            <w:vAlign w:val="bottom"/>
            <w:vMerge w:val="restart"/>
          </w:tcPr>
          <w:p>
            <w:pPr>
              <w:ind w:left="100"/>
              <w:spacing w:after="0" w:line="153" w:lineRule="exact"/>
              <w:rPr>
                <w:sz w:val="20"/>
                <w:szCs w:val="20"/>
                <w:color w:val="auto"/>
              </w:rPr>
            </w:pPr>
            <w:r>
              <w:rPr>
                <w:rFonts w:ascii="Times New Roman" w:cs="Times New Roman" w:eastAsia="Times New Roman" w:hAnsi="Times New Roman"/>
                <w:sz w:val="14"/>
                <w:szCs w:val="14"/>
                <w:color w:val="auto"/>
              </w:rPr>
              <w:t>Industrial Boiler Manufacturer</w:t>
            </w:r>
          </w:p>
        </w:tc>
        <w:tc>
          <w:tcPr>
            <w:tcW w:w="2920" w:type="dxa"/>
            <w:vAlign w:val="bottom"/>
            <w:gridSpan w:val="3"/>
            <w:vMerge w:val="restart"/>
          </w:tcPr>
          <w:p>
            <w:pPr>
              <w:ind w:left="120"/>
              <w:spacing w:after="0" w:line="153" w:lineRule="exact"/>
              <w:rPr>
                <w:sz w:val="20"/>
                <w:szCs w:val="20"/>
                <w:color w:val="auto"/>
              </w:rPr>
            </w:pPr>
            <w:r>
              <w:rPr>
                <w:rFonts w:ascii="Times New Roman" w:cs="Times New Roman" w:eastAsia="Times New Roman" w:hAnsi="Times New Roman"/>
                <w:sz w:val="14"/>
                <w:szCs w:val="14"/>
                <w:color w:val="auto"/>
              </w:rPr>
              <w:t>Senior Secured Term Debt (13% Cash, Due</w:t>
            </w: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020" w:type="dxa"/>
            <w:vAlign w:val="bottom"/>
            <w:gridSpan w:val="2"/>
            <w:vMerge w:val="continue"/>
          </w:tcPr>
          <w:p>
            <w:pPr>
              <w:spacing w:after="0"/>
              <w:rPr>
                <w:sz w:val="11"/>
                <w:szCs w:val="11"/>
                <w:color w:val="auto"/>
              </w:rPr>
            </w:pPr>
          </w:p>
        </w:tc>
        <w:tc>
          <w:tcPr>
            <w:tcW w:w="2800" w:type="dxa"/>
            <w:vAlign w:val="bottom"/>
            <w:vMerge w:val="continue"/>
          </w:tcPr>
          <w:p>
            <w:pPr>
              <w:spacing w:after="0"/>
              <w:rPr>
                <w:sz w:val="11"/>
                <w:szCs w:val="11"/>
                <w:color w:val="auto"/>
              </w:rPr>
            </w:pPr>
          </w:p>
        </w:tc>
        <w:tc>
          <w:tcPr>
            <w:tcW w:w="2920" w:type="dxa"/>
            <w:vAlign w:val="bottom"/>
            <w:gridSpan w:val="3"/>
            <w:vMerge w:val="continue"/>
          </w:tcPr>
          <w:p>
            <w:pPr>
              <w:spacing w:after="0"/>
              <w:rPr>
                <w:sz w:val="11"/>
                <w:szCs w:val="11"/>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2,500</w:t>
            </w: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2,500</w:t>
            </w: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2,447</w:t>
            </w:r>
          </w:p>
        </w:tc>
        <w:tc>
          <w:tcPr>
            <w:tcW w:w="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2/10/17)</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Precision Manufacturing, LLC</w:t>
            </w:r>
          </w:p>
        </w:tc>
        <w:tc>
          <w:tcPr>
            <w:tcW w:w="280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Industrial Boiler Manufacturer</w:t>
            </w:r>
          </w:p>
        </w:tc>
        <w:tc>
          <w:tcPr>
            <w:tcW w:w="292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Membership Unit Warrants (6.65% fully</w:t>
            </w:r>
          </w:p>
        </w:tc>
        <w:tc>
          <w:tcPr>
            <w:tcW w:w="7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80" w:type="dxa"/>
            <w:vAlign w:val="bottom"/>
            <w:vMerge w:val="restart"/>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2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78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2,500</w:t>
            </w:r>
          </w:p>
        </w:tc>
        <w:tc>
          <w:tcPr>
            <w:tcW w:w="2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2,660</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3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Southern Pump &amp; Tank Company, LLC (1, 2)</w:t>
            </w:r>
          </w:p>
        </w:tc>
        <w:tc>
          <w:tcPr>
            <w:tcW w:w="280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Petroleum Equipment Supplier</w:t>
            </w:r>
          </w:p>
        </w:tc>
        <w:tc>
          <w:tcPr>
            <w:tcW w:w="292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Senior Secured Term Debt (13% Cash, 6%</w:t>
            </w: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1,679</w:t>
            </w:r>
          </w:p>
        </w:tc>
        <w:tc>
          <w:tcPr>
            <w:tcW w:w="6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1,679</w:t>
            </w: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1,679</w:t>
            </w: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2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PIK, Due 6/15/14)</w:t>
            </w:r>
          </w:p>
        </w:tc>
        <w:tc>
          <w:tcPr>
            <w:tcW w:w="7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Southern Pump &amp; Tank Company, LLC (1, 2)</w:t>
            </w:r>
          </w:p>
        </w:tc>
        <w:tc>
          <w:tcPr>
            <w:tcW w:w="280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Petroleum Equipment Supplier</w:t>
            </w:r>
          </w:p>
        </w:tc>
        <w:tc>
          <w:tcPr>
            <w:tcW w:w="292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Senior Secured Term Debt (4% Cash, 6% PIK,</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w w:val="85"/>
              </w:rPr>
              <w:t>877</w:t>
            </w:r>
          </w:p>
        </w:tc>
        <w:tc>
          <w:tcPr>
            <w:tcW w:w="20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644</w:t>
            </w: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877</w:t>
            </w:r>
          </w:p>
        </w:tc>
        <w:tc>
          <w:tcPr>
            <w:tcW w:w="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Due 6/15/14)</w:t>
            </w: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Southern Pump &amp; Tank Company, LLC (1, 2)</w:t>
            </w:r>
          </w:p>
        </w:tc>
        <w:tc>
          <w:tcPr>
            <w:tcW w:w="280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Petroleum Equipment Supplier</w:t>
            </w:r>
          </w:p>
        </w:tc>
        <w:tc>
          <w:tcPr>
            <w:tcW w:w="292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Senior Secured Term Debt (13% Cash, 6%</w:t>
            </w:r>
          </w:p>
        </w:tc>
        <w:tc>
          <w:tcPr>
            <w:tcW w:w="58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85"/>
              </w:rPr>
              <w:t>124</w:t>
            </w:r>
          </w:p>
        </w:tc>
        <w:tc>
          <w:tcPr>
            <w:tcW w:w="2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124</w:t>
            </w: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124</w:t>
            </w: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2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PIK, Due 6/15/14)</w:t>
            </w:r>
          </w:p>
        </w:tc>
        <w:tc>
          <w:tcPr>
            <w:tcW w:w="5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Southern Pump &amp; Tank Company, LLC</w:t>
            </w:r>
          </w:p>
        </w:tc>
        <w:tc>
          <w:tcPr>
            <w:tcW w:w="28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Petroleum Equipment Supplier</w:t>
            </w:r>
          </w:p>
        </w:tc>
        <w:tc>
          <w:tcPr>
            <w:tcW w:w="292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Stock Warrants (8% fully diluted)</w:t>
            </w:r>
          </w:p>
        </w:tc>
        <w:tc>
          <w:tcPr>
            <w:tcW w:w="7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2,447</w:t>
            </w: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2,680</w:t>
            </w: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Stoddard Hill Media Holdings, LLC</w:t>
            </w:r>
          </w:p>
        </w:tc>
        <w:tc>
          <w:tcPr>
            <w:tcW w:w="28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IT Hosting Services</w:t>
            </w:r>
          </w:p>
        </w:tc>
        <w:tc>
          <w:tcPr>
            <w:tcW w:w="29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Class D Preferred Units (132,159 shares)</w:t>
            </w:r>
          </w:p>
        </w:tc>
        <w:tc>
          <w:tcPr>
            <w:tcW w:w="7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20" w:type="dxa"/>
            <w:vAlign w:val="bottom"/>
            <w:gridSpan w:val="2"/>
            <w:vMerge w:val="continue"/>
          </w:tcPr>
          <w:p>
            <w:pPr>
              <w:spacing w:after="0"/>
              <w:rPr>
                <w:sz w:val="13"/>
                <w:szCs w:val="13"/>
                <w:color w:val="auto"/>
              </w:rPr>
            </w:pPr>
          </w:p>
        </w:tc>
        <w:tc>
          <w:tcPr>
            <w:tcW w:w="2800" w:type="dxa"/>
            <w:vAlign w:val="bottom"/>
            <w:vMerge w:val="continue"/>
          </w:tcPr>
          <w:p>
            <w:pPr>
              <w:spacing w:after="0"/>
              <w:rPr>
                <w:sz w:val="13"/>
                <w:szCs w:val="13"/>
                <w:color w:val="auto"/>
              </w:rPr>
            </w:pPr>
          </w:p>
        </w:tc>
        <w:tc>
          <w:tcPr>
            <w:tcW w:w="292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300</w:t>
            </w:r>
          </w:p>
        </w:tc>
        <w:tc>
          <w:tcPr>
            <w:tcW w:w="2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372</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372</w:t>
            </w: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Worklife America, Inc.</w:t>
            </w:r>
          </w:p>
        </w:tc>
        <w:tc>
          <w:tcPr>
            <w:tcW w:w="2800" w:type="dxa"/>
            <w:vAlign w:val="bottom"/>
            <w:vMerge w:val="restart"/>
          </w:tcPr>
          <w:p>
            <w:pPr>
              <w:ind w:left="100"/>
              <w:spacing w:after="0" w:line="153" w:lineRule="exact"/>
              <w:rPr>
                <w:sz w:val="20"/>
                <w:szCs w:val="20"/>
                <w:color w:val="auto"/>
              </w:rPr>
            </w:pPr>
            <w:r>
              <w:rPr>
                <w:rFonts w:ascii="Times New Roman" w:cs="Times New Roman" w:eastAsia="Times New Roman" w:hAnsi="Times New Roman"/>
                <w:sz w:val="14"/>
                <w:szCs w:val="14"/>
                <w:color w:val="auto"/>
              </w:rPr>
              <w:t>Professional Employer Organization</w:t>
            </w:r>
          </w:p>
        </w:tc>
        <w:tc>
          <w:tcPr>
            <w:tcW w:w="2920" w:type="dxa"/>
            <w:vAlign w:val="bottom"/>
            <w:gridSpan w:val="3"/>
            <w:vMerge w:val="restart"/>
          </w:tcPr>
          <w:p>
            <w:pPr>
              <w:ind w:left="120"/>
              <w:spacing w:after="0" w:line="153" w:lineRule="exact"/>
              <w:rPr>
                <w:sz w:val="20"/>
                <w:szCs w:val="20"/>
                <w:color w:val="auto"/>
              </w:rPr>
            </w:pPr>
            <w:r>
              <w:rPr>
                <w:rFonts w:ascii="Times New Roman" w:cs="Times New Roman" w:eastAsia="Times New Roman" w:hAnsi="Times New Roman"/>
                <w:sz w:val="14"/>
                <w:szCs w:val="14"/>
                <w:color w:val="auto"/>
              </w:rPr>
              <w:t>Senior Secured Debt (12% Cash, Due</w:t>
            </w: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020" w:type="dxa"/>
            <w:vAlign w:val="bottom"/>
            <w:gridSpan w:val="2"/>
            <w:vMerge w:val="continue"/>
          </w:tcPr>
          <w:p>
            <w:pPr>
              <w:spacing w:after="0"/>
              <w:rPr>
                <w:sz w:val="11"/>
                <w:szCs w:val="11"/>
                <w:color w:val="auto"/>
              </w:rPr>
            </w:pPr>
          </w:p>
        </w:tc>
        <w:tc>
          <w:tcPr>
            <w:tcW w:w="2800" w:type="dxa"/>
            <w:vAlign w:val="bottom"/>
            <w:vMerge w:val="continue"/>
          </w:tcPr>
          <w:p>
            <w:pPr>
              <w:spacing w:after="0"/>
              <w:rPr>
                <w:sz w:val="11"/>
                <w:szCs w:val="11"/>
                <w:color w:val="auto"/>
              </w:rPr>
            </w:pPr>
          </w:p>
        </w:tc>
        <w:tc>
          <w:tcPr>
            <w:tcW w:w="2920" w:type="dxa"/>
            <w:vAlign w:val="bottom"/>
            <w:gridSpan w:val="3"/>
            <w:vMerge w:val="continue"/>
          </w:tcPr>
          <w:p>
            <w:pPr>
              <w:spacing w:after="0"/>
              <w:rPr>
                <w:sz w:val="11"/>
                <w:szCs w:val="11"/>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13,250</w:t>
            </w: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13,250</w:t>
            </w: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13,250</w:t>
            </w:r>
          </w:p>
        </w:tc>
        <w:tc>
          <w:tcPr>
            <w:tcW w:w="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12/28/16)</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Worklife America, Inc.</w:t>
            </w:r>
          </w:p>
        </w:tc>
        <w:tc>
          <w:tcPr>
            <w:tcW w:w="28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Professional Employer Organization</w:t>
            </w:r>
          </w:p>
        </w:tc>
        <w:tc>
          <w:tcPr>
            <w:tcW w:w="292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Unit Warrants (3% fully diluted)</w:t>
            </w:r>
          </w:p>
        </w:tc>
        <w:tc>
          <w:tcPr>
            <w:tcW w:w="7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1,909</w:t>
            </w: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(3, 4)</w:t>
            </w:r>
          </w:p>
        </w:tc>
        <w:tc>
          <w:tcPr>
            <w:tcW w:w="278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2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Investment Interest Rate / Maturity</w:t>
            </w:r>
          </w:p>
        </w:tc>
        <w:tc>
          <w:tcPr>
            <w:tcW w:w="7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3200" w:type="dxa"/>
            <w:vAlign w:val="bottom"/>
            <w:gridSpan w:val="3"/>
            <w:vMerge w:val="continue"/>
          </w:tcPr>
          <w:p>
            <w:pPr>
              <w:spacing w:after="0"/>
              <w:rPr>
                <w:sz w:val="15"/>
                <w:szCs w:val="15"/>
                <w:color w:val="auto"/>
              </w:rPr>
            </w:pPr>
          </w:p>
        </w:tc>
        <w:tc>
          <w:tcPr>
            <w:tcW w:w="2780" w:type="dxa"/>
            <w:vAlign w:val="bottom"/>
            <w:gridSpan w:val="2"/>
            <w:vMerge w:val="continue"/>
          </w:tcPr>
          <w:p>
            <w:pPr>
              <w:spacing w:after="0"/>
              <w:rPr>
                <w:sz w:val="15"/>
                <w:szCs w:val="15"/>
                <w:color w:val="auto"/>
              </w:rPr>
            </w:pPr>
          </w:p>
        </w:tc>
        <w:tc>
          <w:tcPr>
            <w:tcW w:w="2760" w:type="dxa"/>
            <w:vAlign w:val="bottom"/>
            <w:gridSpan w:val="2"/>
            <w:vMerge w:val="continue"/>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Worklife America, Inc.</w:t>
            </w:r>
          </w:p>
        </w:tc>
        <w:tc>
          <w:tcPr>
            <w:tcW w:w="100" w:type="dxa"/>
            <w:vAlign w:val="bottom"/>
            <w:vMerge w:val="continue"/>
            <w:shd w:val="clear" w:color="auto" w:fill="CCEEFF"/>
          </w:tcPr>
          <w:p>
            <w:pPr>
              <w:spacing w:after="0"/>
              <w:rPr>
                <w:sz w:val="12"/>
                <w:szCs w:val="12"/>
                <w:color w:val="auto"/>
              </w:rPr>
            </w:pPr>
          </w:p>
        </w:tc>
        <w:tc>
          <w:tcPr>
            <w:tcW w:w="26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Professional Employer Organization</w:t>
            </w:r>
          </w:p>
        </w:tc>
        <w:tc>
          <w:tcPr>
            <w:tcW w:w="120" w:type="dxa"/>
            <w:vAlign w:val="bottom"/>
            <w:vMerge w:val="continue"/>
            <w:shd w:val="clear" w:color="auto" w:fill="CCEEFF"/>
          </w:tcPr>
          <w:p>
            <w:pPr>
              <w:spacing w:after="0"/>
              <w:rPr>
                <w:sz w:val="12"/>
                <w:szCs w:val="12"/>
                <w:color w:val="auto"/>
              </w:rPr>
            </w:pPr>
          </w:p>
        </w:tc>
        <w:tc>
          <w:tcPr>
            <w:tcW w:w="26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Preferred Unit Warrants (3% fully diluted)</w:t>
            </w:r>
          </w:p>
        </w:tc>
        <w:tc>
          <w:tcPr>
            <w:tcW w:w="1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w:t>
            </w:r>
          </w:p>
        </w:tc>
        <w:tc>
          <w:tcPr>
            <w:tcW w:w="180" w:type="dxa"/>
            <w:vAlign w:val="bottom"/>
            <w:vMerge w:val="continue"/>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13,250</w:t>
            </w: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15,229</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Sub Total Non-control/Non-affiliated investments</w:t>
            </w: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8"/>
              </w:rPr>
              <w:t>61,609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8"/>
              </w:rPr>
              <w:t>78,769</w:t>
            </w: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55.3%</w:t>
            </w:r>
          </w:p>
        </w:tc>
        <w:tc>
          <w:tcPr>
            <w:tcW w:w="0" w:type="dxa"/>
            <w:vAlign w:val="bottom"/>
          </w:tcPr>
          <w:p>
            <w:pPr>
              <w:spacing w:after="0"/>
              <w:rPr>
                <w:sz w:val="1"/>
                <w:szCs w:val="1"/>
                <w:color w:val="auto"/>
              </w:rPr>
            </w:pPr>
          </w:p>
        </w:tc>
      </w:tr>
      <w:tr>
        <w:trPr>
          <w:trHeight w:val="156"/>
        </w:trPr>
        <w:tc>
          <w:tcPr>
            <w:tcW w:w="320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Affiliate investments - 96.1%</w:t>
            </w: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Chef'N Corporation</w:t>
            </w:r>
          </w:p>
        </w:tc>
        <w:tc>
          <w:tcPr>
            <w:tcW w:w="27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Culinary Products</w:t>
            </w:r>
          </w:p>
        </w:tc>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Subordinated Debt (15% Cash, 3% optional</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6,300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6,300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6,300</w:t>
            </w: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PIK, Due 5/16/18)</w:t>
            </w:r>
          </w:p>
        </w:tc>
        <w:tc>
          <w:tcPr>
            <w:tcW w:w="140" w:type="dxa"/>
            <w:vAlign w:val="bottom"/>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Chef'N Corporation</w:t>
            </w:r>
          </w:p>
        </w:tc>
        <w:tc>
          <w:tcPr>
            <w:tcW w:w="2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Culinary Products</w:t>
            </w:r>
          </w:p>
        </w:tc>
        <w:tc>
          <w:tcPr>
            <w:tcW w:w="2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Series A Preferred Stock (1,000,000 shares)</w:t>
            </w:r>
          </w:p>
        </w:tc>
        <w:tc>
          <w:tcPr>
            <w:tcW w:w="140" w:type="dxa"/>
            <w:vAlign w:val="bottom"/>
          </w:tcPr>
          <w:p>
            <w:pPr>
              <w:spacing w:after="0"/>
              <w:rPr>
                <w:sz w:val="12"/>
                <w:szCs w:val="12"/>
                <w:color w:val="auto"/>
              </w:rPr>
            </w:pPr>
          </w:p>
        </w:tc>
        <w:tc>
          <w:tcPr>
            <w:tcW w:w="6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2,469</w:t>
            </w: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7,300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8,769</w:t>
            </w: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0"/>
        </w:trPr>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City Gear, LLC</w:t>
            </w:r>
          </w:p>
        </w:tc>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Footwear Retail</w:t>
            </w:r>
          </w:p>
        </w:tc>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Subordinated Debt (13% Cash, Due 9/28/16)</w:t>
            </w:r>
          </w:p>
        </w:tc>
        <w:tc>
          <w:tcPr>
            <w:tcW w:w="140" w:type="dxa"/>
            <w:vAlign w:val="bottom"/>
          </w:tcPr>
          <w:p>
            <w:pPr>
              <w:spacing w:after="0" w:line="20" w:lineRule="exact"/>
              <w:rPr>
                <w:sz w:val="1"/>
                <w:szCs w:val="1"/>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4,231</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0" w:type="dxa"/>
            <w:vAlign w:val="bottom"/>
            <w:gridSpan w:val="3"/>
            <w:vMerge w:val="continue"/>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7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4,231</w:t>
            </w: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4,231</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City Gear, LLC (5)</w:t>
            </w:r>
          </w:p>
        </w:tc>
        <w:tc>
          <w:tcPr>
            <w:tcW w:w="27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Footwear Retail</w:t>
            </w:r>
          </w:p>
        </w:tc>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Preferred Membership Units (scheduled 9%</w:t>
            </w:r>
          </w:p>
        </w:tc>
        <w:tc>
          <w:tcPr>
            <w:tcW w:w="1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1,269</w:t>
            </w: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1,825</w:t>
            </w: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w:t>
            </w:r>
          </w:p>
        </w:tc>
        <w:tc>
          <w:tcPr>
            <w:tcW w:w="1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City Gear, LLC</w:t>
            </w:r>
          </w:p>
        </w:tc>
        <w:tc>
          <w:tcPr>
            <w:tcW w:w="27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Footwear Retail</w:t>
            </w:r>
          </w:p>
        </w:tc>
        <w:tc>
          <w:tcPr>
            <w:tcW w:w="2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Membership Unit Warrants (9.817% fully</w:t>
            </w:r>
          </w:p>
        </w:tc>
        <w:tc>
          <w:tcPr>
            <w:tcW w:w="140" w:type="dxa"/>
            <w:vAlign w:val="bottom"/>
          </w:tcPr>
          <w:p>
            <w:pPr>
              <w:spacing w:after="0"/>
              <w:rPr>
                <w:sz w:val="10"/>
                <w:szCs w:val="10"/>
                <w:color w:val="auto"/>
              </w:rPr>
            </w:pPr>
          </w:p>
        </w:tc>
        <w:tc>
          <w:tcPr>
            <w:tcW w:w="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180" w:type="dxa"/>
            <w:vAlign w:val="bottom"/>
            <w:vMerge w:val="restart"/>
          </w:tcPr>
          <w:p>
            <w:pPr>
              <w:spacing w:after="0"/>
              <w:rPr>
                <w:sz w:val="10"/>
                <w:szCs w:val="10"/>
                <w:color w:val="auto"/>
              </w:rPr>
            </w:pPr>
          </w:p>
        </w:tc>
        <w:tc>
          <w:tcPr>
            <w:tcW w:w="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5,500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7,131</w:t>
            </w: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
        </w:trPr>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Corporate Visions, Inc.</w:t>
            </w:r>
          </w:p>
        </w:tc>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Sales &amp; Marketing Services</w:t>
            </w:r>
          </w:p>
        </w:tc>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Common Stock (2,000,000 shares)</w:t>
            </w:r>
          </w:p>
        </w:tc>
        <w:tc>
          <w:tcPr>
            <w:tcW w:w="140" w:type="dxa"/>
            <w:vAlign w:val="bottom"/>
          </w:tcPr>
          <w:p>
            <w:pPr>
              <w:spacing w:after="0" w:line="20" w:lineRule="exact"/>
              <w:rPr>
                <w:sz w:val="1"/>
                <w:szCs w:val="1"/>
                <w:color w:val="auto"/>
              </w:rPr>
            </w:pPr>
          </w:p>
        </w:tc>
        <w:tc>
          <w:tcPr>
            <w:tcW w:w="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0" w:type="dxa"/>
            <w:vAlign w:val="bottom"/>
            <w:gridSpan w:val="3"/>
            <w:vMerge w:val="continue"/>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7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2,000</w:t>
            </w: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5,928</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Corporate Visions, Inc.</w:t>
            </w:r>
          </w:p>
        </w:tc>
        <w:tc>
          <w:tcPr>
            <w:tcW w:w="27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 &amp; Marketing Services</w:t>
            </w:r>
          </w:p>
        </w:tc>
        <w:tc>
          <w:tcPr>
            <w:tcW w:w="27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Warrants (302,534 shares)</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2,000</w:t>
            </w: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7,008</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3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Fresh Food Concepts, Inc.</w:t>
            </w:r>
          </w:p>
        </w:tc>
        <w:tc>
          <w:tcPr>
            <w:tcW w:w="27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Salsa Manufacturer</w:t>
            </w:r>
          </w:p>
        </w:tc>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Subordinated Debt (13% Cash, 4% PIK, Due</w:t>
            </w:r>
          </w:p>
        </w:tc>
        <w:tc>
          <w:tcPr>
            <w:tcW w:w="1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3,240</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3,240</w:t>
            </w: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11/30/15)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Fresh Food Concepts, Inc.</w:t>
            </w:r>
          </w:p>
        </w:tc>
        <w:tc>
          <w:tcPr>
            <w:tcW w:w="2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Salsa Manufacturer</w:t>
            </w:r>
          </w:p>
        </w:tc>
        <w:tc>
          <w:tcPr>
            <w:tcW w:w="2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Class A Common Units (1,500 units)</w:t>
            </w:r>
          </w:p>
        </w:tc>
        <w:tc>
          <w:tcPr>
            <w:tcW w:w="140" w:type="dxa"/>
            <w:vAlign w:val="bottom"/>
          </w:tcPr>
          <w:p>
            <w:pPr>
              <w:spacing w:after="0"/>
              <w:rPr>
                <w:sz w:val="12"/>
                <w:szCs w:val="12"/>
                <w:color w:val="auto"/>
              </w:rPr>
            </w:pPr>
          </w:p>
        </w:tc>
        <w:tc>
          <w:tcPr>
            <w:tcW w:w="6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2"/>
                <w:szCs w:val="12"/>
                <w:color w:val="auto"/>
              </w:rPr>
            </w:pPr>
          </w:p>
        </w:tc>
        <w:tc>
          <w:tcPr>
            <w:tcW w:w="5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Fresh Food Concepts, Inc.</w:t>
            </w:r>
          </w:p>
        </w:tc>
        <w:tc>
          <w:tcPr>
            <w:tcW w:w="27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Salsa Manufacturer</w:t>
            </w:r>
          </w:p>
        </w:tc>
        <w:tc>
          <w:tcPr>
            <w:tcW w:w="27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C Common Unit Warrants (165 units)</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4,783</w:t>
            </w: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3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GA Communications, Inc.</w:t>
            </w:r>
          </w:p>
        </w:tc>
        <w:tc>
          <w:tcPr>
            <w:tcW w:w="27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Advertising &amp; Marketing Services</w:t>
            </w:r>
          </w:p>
        </w:tc>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Subordinated Debt (12.5% Cash, Due</w:t>
            </w:r>
          </w:p>
        </w:tc>
        <w:tc>
          <w:tcPr>
            <w:tcW w:w="1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13,000</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8"/>
              </w:rPr>
              <w:t>13,000</w:t>
            </w: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8"/>
              </w:rPr>
              <w:t>13,000</w:t>
            </w: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4/14/17)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 Communications, Inc.</w:t>
            </w:r>
          </w:p>
        </w:tc>
        <w:tc>
          <w:tcPr>
            <w:tcW w:w="2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Advertising &amp; Marketing Services</w:t>
            </w:r>
          </w:p>
        </w:tc>
        <w:tc>
          <w:tcPr>
            <w:tcW w:w="2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Series A-1 Preferred Stock (1,998 shares)</w:t>
            </w:r>
          </w:p>
        </w:tc>
        <w:tc>
          <w:tcPr>
            <w:tcW w:w="140" w:type="dxa"/>
            <w:vAlign w:val="bottom"/>
          </w:tcPr>
          <w:p>
            <w:pPr>
              <w:spacing w:after="0"/>
              <w:rPr>
                <w:sz w:val="12"/>
                <w:szCs w:val="12"/>
                <w:color w:val="auto"/>
              </w:rPr>
            </w:pPr>
          </w:p>
        </w:tc>
        <w:tc>
          <w:tcPr>
            <w:tcW w:w="6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1,998</w:t>
            </w: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2,194</w:t>
            </w: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 Communications, Inc.</w:t>
            </w:r>
          </w:p>
        </w:tc>
        <w:tc>
          <w:tcPr>
            <w:tcW w:w="27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Advertising &amp; Marketing Services</w:t>
            </w:r>
          </w:p>
        </w:tc>
        <w:tc>
          <w:tcPr>
            <w:tcW w:w="27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Series B-1 Common Stock (200,000 shares)</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3,260</w:t>
            </w: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15,000</w:t>
            </w: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18,454</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3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Impresa Aerospace Holdings, LLC (3)</w:t>
            </w:r>
          </w:p>
        </w:tc>
        <w:tc>
          <w:tcPr>
            <w:tcW w:w="27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Aerospace Parts Manufacturer</w:t>
            </w:r>
          </w:p>
        </w:tc>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Subordinated Debt (12% Cash, 3% PIK, Due</w:t>
            </w:r>
          </w:p>
        </w:tc>
        <w:tc>
          <w:tcPr>
            <w:tcW w:w="1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8,699</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8,699</w:t>
            </w: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5,219</w:t>
            </w: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4/28/16)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Impresa Aerospace Holdings, LLC</w:t>
            </w:r>
          </w:p>
        </w:tc>
        <w:tc>
          <w:tcPr>
            <w:tcW w:w="2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Aerospace Parts Manufacturer</w:t>
            </w:r>
          </w:p>
        </w:tc>
        <w:tc>
          <w:tcPr>
            <w:tcW w:w="2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Class A Membership Units (900,000 units)</w:t>
            </w:r>
          </w:p>
        </w:tc>
        <w:tc>
          <w:tcPr>
            <w:tcW w:w="140" w:type="dxa"/>
            <w:vAlign w:val="bottom"/>
          </w:tcPr>
          <w:p>
            <w:pPr>
              <w:spacing w:after="0"/>
              <w:rPr>
                <w:sz w:val="12"/>
                <w:szCs w:val="12"/>
                <w:color w:val="auto"/>
              </w:rPr>
            </w:pPr>
          </w:p>
        </w:tc>
        <w:tc>
          <w:tcPr>
            <w:tcW w:w="6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80" w:type="dxa"/>
            <w:vAlign w:val="bottom"/>
          </w:tcPr>
          <w:p>
            <w:pPr>
              <w:spacing w:after="0"/>
              <w:rPr>
                <w:sz w:val="12"/>
                <w:szCs w:val="12"/>
                <w:color w:val="auto"/>
              </w:rPr>
            </w:pPr>
          </w:p>
        </w:tc>
        <w:tc>
          <w:tcPr>
            <w:tcW w:w="5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Impresa Aerospace Holdings, LLC</w:t>
            </w:r>
          </w:p>
        </w:tc>
        <w:tc>
          <w:tcPr>
            <w:tcW w:w="27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Aerospace Parts Manufacturer</w:t>
            </w:r>
          </w:p>
        </w:tc>
        <w:tc>
          <w:tcPr>
            <w:tcW w:w="27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C Membership Units (317,114 shares)</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9,916</w:t>
            </w: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5,219</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J&amp;J Produce Holdings, Inc.</w:t>
            </w:r>
          </w:p>
        </w:tc>
        <w:tc>
          <w:tcPr>
            <w:tcW w:w="27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Produce Distribution</w:t>
            </w:r>
          </w:p>
        </w:tc>
        <w:tc>
          <w:tcPr>
            <w:tcW w:w="27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Subordinated Debt (13% Cash, Due 7/16/18)</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5,182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5,182</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5,182</w:t>
            </w: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J&amp;J Produce Holdings, Inc.</w:t>
            </w:r>
          </w:p>
        </w:tc>
        <w:tc>
          <w:tcPr>
            <w:tcW w:w="2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Produce Distribution</w:t>
            </w:r>
          </w:p>
        </w:tc>
        <w:tc>
          <w:tcPr>
            <w:tcW w:w="2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 Stock (8,182 shares)</w:t>
            </w:r>
          </w:p>
        </w:tc>
        <w:tc>
          <w:tcPr>
            <w:tcW w:w="140" w:type="dxa"/>
            <w:vAlign w:val="bottom"/>
          </w:tcPr>
          <w:p>
            <w:pPr>
              <w:spacing w:after="0"/>
              <w:rPr>
                <w:sz w:val="12"/>
                <w:szCs w:val="12"/>
                <w:color w:val="auto"/>
              </w:rPr>
            </w:pPr>
          </w:p>
        </w:tc>
        <w:tc>
          <w:tcPr>
            <w:tcW w:w="6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818</w:t>
            </w: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1,005</w:t>
            </w: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J&amp;J Produce Holdings, Inc.</w:t>
            </w:r>
          </w:p>
        </w:tc>
        <w:tc>
          <w:tcPr>
            <w:tcW w:w="27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Produce Distribution</w:t>
            </w:r>
          </w:p>
        </w:tc>
        <w:tc>
          <w:tcPr>
            <w:tcW w:w="27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Warrants (4,318 shares)</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535</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6,000</w:t>
            </w: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6,722</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LJS Partners, LLC</w:t>
            </w:r>
          </w:p>
        </w:tc>
        <w:tc>
          <w:tcPr>
            <w:tcW w:w="27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QSR Franchisor</w:t>
            </w:r>
          </w:p>
        </w:tc>
        <w:tc>
          <w:tcPr>
            <w:tcW w:w="27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(1,500,000 units)</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8"/>
              </w:rPr>
              <w:t>15,112</w:t>
            </w: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1,500</w:t>
            </w: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15,112</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3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MJC Holdings, LLC</w:t>
            </w:r>
          </w:p>
        </w:tc>
        <w:tc>
          <w:tcPr>
            <w:tcW w:w="27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Specialty Clothing</w:t>
            </w:r>
          </w:p>
        </w:tc>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Subordinated Debt (12% Cash, 2% PIK, Due</w:t>
            </w:r>
          </w:p>
        </w:tc>
        <w:tc>
          <w:tcPr>
            <w:tcW w:w="1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7,571</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7,571</w:t>
            </w: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7,571</w:t>
            </w: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1/16/18)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MJC Holdings, LLC</w:t>
            </w:r>
          </w:p>
        </w:tc>
        <w:tc>
          <w:tcPr>
            <w:tcW w:w="2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Specialty Clothing</w:t>
            </w:r>
          </w:p>
        </w:tc>
        <w:tc>
          <w:tcPr>
            <w:tcW w:w="2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Series A Preferred Units (2,000,000 units)</w:t>
            </w:r>
          </w:p>
        </w:tc>
        <w:tc>
          <w:tcPr>
            <w:tcW w:w="140" w:type="dxa"/>
            <w:vAlign w:val="bottom"/>
          </w:tcPr>
          <w:p>
            <w:pPr>
              <w:spacing w:after="0"/>
              <w:rPr>
                <w:sz w:val="12"/>
                <w:szCs w:val="12"/>
                <w:color w:val="auto"/>
              </w:rPr>
            </w:pPr>
          </w:p>
        </w:tc>
        <w:tc>
          <w:tcPr>
            <w:tcW w:w="6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2,762</w:t>
            </w: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9,571</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8"/>
              </w:rPr>
              <w:t>10,333</w:t>
            </w: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0"/>
        </w:trPr>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MMI Holdings, LLC</w:t>
            </w:r>
          </w:p>
        </w:tc>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Medical Device Distributor</w:t>
            </w:r>
          </w:p>
        </w:tc>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Subordinated Debt (6% Cash, Due 8/15/15)</w:t>
            </w:r>
          </w:p>
        </w:tc>
        <w:tc>
          <w:tcPr>
            <w:tcW w:w="140" w:type="dxa"/>
            <w:vAlign w:val="bottom"/>
          </w:tcPr>
          <w:p>
            <w:pPr>
              <w:spacing w:after="0" w:line="20" w:lineRule="exact"/>
              <w:rPr>
                <w:sz w:val="1"/>
                <w:szCs w:val="1"/>
                <w:color w:val="auto"/>
              </w:rPr>
            </w:pP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200</w:t>
            </w: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0" w:type="dxa"/>
            <w:vAlign w:val="bottom"/>
            <w:gridSpan w:val="3"/>
            <w:vMerge w:val="continue"/>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7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200</w:t>
            </w: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200</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MMI Holdings, LLC</w:t>
            </w:r>
          </w:p>
        </w:tc>
        <w:tc>
          <w:tcPr>
            <w:tcW w:w="27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Medical Device Distributor</w:t>
            </w:r>
          </w:p>
        </w:tc>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Senior Secured Debt (12% Cash, Due</w:t>
            </w:r>
          </w:p>
        </w:tc>
        <w:tc>
          <w:tcPr>
            <w:tcW w:w="1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2,600</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2,600</w:t>
            </w: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2,600</w:t>
            </w: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10/17/14)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MMI Holdings, LLC</w:t>
            </w:r>
          </w:p>
        </w:tc>
        <w:tc>
          <w:tcPr>
            <w:tcW w:w="2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Medical Device Distributor</w:t>
            </w:r>
          </w:p>
        </w:tc>
        <w:tc>
          <w:tcPr>
            <w:tcW w:w="2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Preferred Units (500 units)</w:t>
            </w:r>
          </w:p>
        </w:tc>
        <w:tc>
          <w:tcPr>
            <w:tcW w:w="140" w:type="dxa"/>
            <w:vAlign w:val="bottom"/>
          </w:tcPr>
          <w:p>
            <w:pPr>
              <w:spacing w:after="0"/>
              <w:rPr>
                <w:sz w:val="12"/>
                <w:szCs w:val="12"/>
                <w:color w:val="auto"/>
              </w:rPr>
            </w:pPr>
          </w:p>
        </w:tc>
        <w:tc>
          <w:tcPr>
            <w:tcW w:w="6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575</w:t>
            </w: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MMI Holdings, LLC</w:t>
            </w:r>
          </w:p>
        </w:tc>
        <w:tc>
          <w:tcPr>
            <w:tcW w:w="27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Medical Device Distributor</w:t>
            </w:r>
          </w:p>
        </w:tc>
        <w:tc>
          <w:tcPr>
            <w:tcW w:w="27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Units (45 shares)</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3,300</w:t>
            </w: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3,562</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3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Pickaway Plains Ambulance Services, Inc. (1, 2)</w:t>
            </w:r>
          </w:p>
        </w:tc>
        <w:tc>
          <w:tcPr>
            <w:tcW w:w="27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Medical Transportation Services</w:t>
            </w:r>
          </w:p>
        </w:tc>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Senior Secured Term Debt (13.0% Cash, Due</w:t>
            </w:r>
          </w:p>
        </w:tc>
        <w:tc>
          <w:tcPr>
            <w:tcW w:w="1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1,248</w:t>
            </w:r>
          </w:p>
        </w:tc>
        <w:tc>
          <w:tcPr>
            <w:tcW w:w="8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12/31/15)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Pickaway Plains Ambulance Services, Inc.</w:t>
            </w:r>
          </w:p>
        </w:tc>
        <w:tc>
          <w:tcPr>
            <w:tcW w:w="2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Medical Transportation Services</w:t>
            </w:r>
          </w:p>
        </w:tc>
        <w:tc>
          <w:tcPr>
            <w:tcW w:w="2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 Stock Warrants (4% fully diluted)</w:t>
            </w:r>
          </w:p>
        </w:tc>
        <w:tc>
          <w:tcPr>
            <w:tcW w:w="140" w:type="dxa"/>
            <w:vAlign w:val="bottom"/>
          </w:tcPr>
          <w:p>
            <w:pPr>
              <w:spacing w:after="0"/>
              <w:rPr>
                <w:sz w:val="12"/>
                <w:szCs w:val="12"/>
                <w:color w:val="auto"/>
              </w:rPr>
            </w:pPr>
          </w:p>
        </w:tc>
        <w:tc>
          <w:tcPr>
            <w:tcW w:w="6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0"/>
        </w:trPr>
        <w:tc>
          <w:tcPr>
            <w:tcW w:w="3200" w:type="dxa"/>
            <w:vAlign w:val="bottom"/>
            <w:gridSpan w:val="3"/>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Source Capital ABUTEC, LLC</w:t>
            </w:r>
          </w:p>
        </w:tc>
        <w:tc>
          <w:tcPr>
            <w:tcW w:w="2780" w:type="dxa"/>
            <w:vAlign w:val="bottom"/>
            <w:gridSpan w:val="2"/>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Oil &amp; Gas Services</w:t>
            </w:r>
          </w:p>
        </w:tc>
        <w:tc>
          <w:tcPr>
            <w:tcW w:w="2760" w:type="dxa"/>
            <w:vAlign w:val="bottom"/>
            <w:gridSpan w:val="2"/>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Senior Secured Debt (10% Cash, Due</w:t>
            </w: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200" w:type="dxa"/>
            <w:vAlign w:val="bottom"/>
            <w:gridSpan w:val="3"/>
            <w:vMerge w:val="continue"/>
          </w:tcPr>
          <w:p>
            <w:pPr>
              <w:spacing w:after="0"/>
              <w:rPr>
                <w:sz w:val="11"/>
                <w:szCs w:val="11"/>
                <w:color w:val="auto"/>
              </w:rPr>
            </w:pPr>
          </w:p>
        </w:tc>
        <w:tc>
          <w:tcPr>
            <w:tcW w:w="2780" w:type="dxa"/>
            <w:vAlign w:val="bottom"/>
            <w:gridSpan w:val="2"/>
            <w:vMerge w:val="continue"/>
          </w:tcPr>
          <w:p>
            <w:pPr>
              <w:spacing w:after="0"/>
              <w:rPr>
                <w:sz w:val="11"/>
                <w:szCs w:val="11"/>
                <w:color w:val="auto"/>
              </w:rPr>
            </w:pPr>
          </w:p>
        </w:tc>
        <w:tc>
          <w:tcPr>
            <w:tcW w:w="2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1"/>
                <w:szCs w:val="11"/>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1"/>
                <w:szCs w:val="11"/>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1,000</w:t>
            </w:r>
          </w:p>
        </w:tc>
        <w:tc>
          <w:tcPr>
            <w:tcW w:w="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12/28/17)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9"/>
        </w:trPr>
        <w:tc>
          <w:tcPr>
            <w:tcW w:w="3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(3, 4)</w:t>
            </w:r>
          </w:p>
        </w:tc>
        <w:tc>
          <w:tcPr>
            <w:tcW w:w="266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00" w:type="dxa"/>
            <w:vAlign w:val="bottom"/>
          </w:tcPr>
          <w:p>
            <w:pPr>
              <w:spacing w:after="0"/>
              <w:rPr>
                <w:sz w:val="12"/>
                <w:szCs w:val="12"/>
                <w:color w:val="auto"/>
              </w:rPr>
            </w:pPr>
          </w:p>
        </w:tc>
        <w:tc>
          <w:tcPr>
            <w:tcW w:w="26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Investment Interest Rate / Maturity</w:t>
            </w:r>
          </w:p>
        </w:tc>
        <w:tc>
          <w:tcPr>
            <w:tcW w:w="1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3080" w:type="dxa"/>
            <w:vAlign w:val="bottom"/>
            <w:gridSpan w:val="3"/>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29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Source Capital ABUTEC, LLC</w:t>
            </w:r>
          </w:p>
        </w:tc>
        <w:tc>
          <w:tcPr>
            <w:tcW w:w="120" w:type="dxa"/>
            <w:vAlign w:val="bottom"/>
            <w:vMerge w:val="continue"/>
            <w:shd w:val="clear" w:color="auto" w:fill="CCEEFF"/>
          </w:tcPr>
          <w:p>
            <w:pPr>
              <w:spacing w:after="0"/>
              <w:rPr>
                <w:sz w:val="10"/>
                <w:szCs w:val="10"/>
                <w:color w:val="auto"/>
              </w:rPr>
            </w:pPr>
          </w:p>
        </w:tc>
        <w:tc>
          <w:tcPr>
            <w:tcW w:w="26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Oil &amp; Gas Services</w:t>
            </w:r>
          </w:p>
        </w:tc>
        <w:tc>
          <w:tcPr>
            <w:tcW w:w="100" w:type="dxa"/>
            <w:vAlign w:val="bottom"/>
            <w:vMerge w:val="continue"/>
            <w:shd w:val="clear" w:color="auto" w:fill="CCEEFF"/>
          </w:tcPr>
          <w:p>
            <w:pPr>
              <w:spacing w:after="0"/>
              <w:rPr>
                <w:sz w:val="10"/>
                <w:szCs w:val="10"/>
                <w:color w:val="auto"/>
              </w:rPr>
            </w:pPr>
          </w:p>
        </w:tc>
        <w:tc>
          <w:tcPr>
            <w:tcW w:w="26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Subordinated Debt (12% Cash, 3% PIK, Due</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80" w:type="dxa"/>
            <w:vAlign w:val="bottom"/>
            <w:vMerge w:val="restart"/>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2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12/28/17)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Source Capital ABUTEC, LLC</w:t>
            </w:r>
          </w:p>
        </w:tc>
        <w:tc>
          <w:tcPr>
            <w:tcW w:w="26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Oil &amp; Gas Services</w:t>
            </w:r>
          </w:p>
        </w:tc>
        <w:tc>
          <w:tcPr>
            <w:tcW w:w="2760" w:type="dxa"/>
            <w:vAlign w:val="bottom"/>
            <w:gridSpan w:val="2"/>
          </w:tcPr>
          <w:p>
            <w:pPr>
              <w:ind w:left="100"/>
              <w:spacing w:after="0" w:line="126" w:lineRule="exact"/>
              <w:rPr>
                <w:sz w:val="20"/>
                <w:szCs w:val="20"/>
                <w:color w:val="auto"/>
              </w:rPr>
            </w:pPr>
            <w:r>
              <w:rPr>
                <w:rFonts w:ascii="Times New Roman" w:cs="Times New Roman" w:eastAsia="Times New Roman" w:hAnsi="Times New Roman"/>
                <w:sz w:val="14"/>
                <w:szCs w:val="14"/>
                <w:color w:val="auto"/>
              </w:rPr>
              <w:t>Preferred Membership Units (15.5%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80" w:type="dxa"/>
            <w:vAlign w:val="bottom"/>
            <w:vMerge w:val="restart"/>
          </w:tcPr>
          <w:p>
            <w:pPr>
              <w:spacing w:after="0"/>
              <w:rPr>
                <w:sz w:val="10"/>
                <w:szCs w:val="10"/>
                <w:color w:val="auto"/>
              </w:rPr>
            </w:pPr>
          </w:p>
        </w:tc>
        <w:tc>
          <w:tcPr>
            <w:tcW w:w="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ownership)</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6,240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6,240</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
        </w:trPr>
        <w:tc>
          <w:tcPr>
            <w:tcW w:w="3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Source Capital Penray, LLC</w:t>
            </w:r>
          </w:p>
        </w:tc>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Automotive Chemicals &amp; Lubricants</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Subordinated Debt (13% Cash, Due 2/17/17)</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80" w:type="dxa"/>
            <w:vAlign w:val="bottom"/>
            <w:gridSpan w:val="3"/>
            <w:vMerge w:val="continue"/>
          </w:tcPr>
          <w:p>
            <w:pPr>
              <w:spacing w:after="0"/>
              <w:rPr>
                <w:sz w:val="13"/>
                <w:szCs w:val="13"/>
                <w:color w:val="auto"/>
              </w:rPr>
            </w:pPr>
          </w:p>
        </w:tc>
        <w:tc>
          <w:tcPr>
            <w:tcW w:w="2660" w:type="dxa"/>
            <w:vAlign w:val="bottom"/>
            <w:vMerge w:val="continue"/>
          </w:tcPr>
          <w:p>
            <w:pPr>
              <w:spacing w:after="0"/>
              <w:rPr>
                <w:sz w:val="13"/>
                <w:szCs w:val="13"/>
                <w:color w:val="auto"/>
              </w:rPr>
            </w:pPr>
          </w:p>
        </w:tc>
        <w:tc>
          <w:tcPr>
            <w:tcW w:w="2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2,500</w:t>
            </w:r>
          </w:p>
        </w:tc>
        <w:tc>
          <w:tcPr>
            <w:tcW w:w="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2,447</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Source Capital Penray, LLC</w:t>
            </w:r>
          </w:p>
        </w:tc>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Automotive Chemicals &amp; Lubricants</w:t>
            </w:r>
          </w:p>
        </w:tc>
        <w:tc>
          <w:tcPr>
            <w:tcW w:w="27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Membership Units (136.12 units)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Source Capital Penray, LLC</w:t>
            </w:r>
          </w:p>
        </w:tc>
        <w:tc>
          <w:tcPr>
            <w:tcW w:w="26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Automotive Chemicals &amp; Lubricants</w:t>
            </w:r>
          </w:p>
        </w:tc>
        <w:tc>
          <w:tcPr>
            <w:tcW w:w="2760" w:type="dxa"/>
            <w:vAlign w:val="bottom"/>
            <w:gridSpan w:val="2"/>
          </w:tcPr>
          <w:p>
            <w:pPr>
              <w:ind w:left="100"/>
              <w:spacing w:after="0" w:line="126" w:lineRule="exact"/>
              <w:rPr>
                <w:sz w:val="20"/>
                <w:szCs w:val="20"/>
                <w:color w:val="auto"/>
              </w:rPr>
            </w:pPr>
            <w:r>
              <w:rPr>
                <w:rFonts w:ascii="Times New Roman" w:cs="Times New Roman" w:eastAsia="Times New Roman" w:hAnsi="Times New Roman"/>
                <w:sz w:val="14"/>
                <w:szCs w:val="14"/>
                <w:color w:val="auto"/>
              </w:rPr>
              <w:t>Common Stock Warrants (6.65% fully</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80" w:type="dxa"/>
            <w:vAlign w:val="bottom"/>
            <w:vMerge w:val="restart"/>
          </w:tcPr>
          <w:p>
            <w:pPr>
              <w:spacing w:after="0"/>
              <w:rPr>
                <w:sz w:val="10"/>
                <w:szCs w:val="10"/>
                <w:color w:val="auto"/>
              </w:rPr>
            </w:pPr>
          </w:p>
        </w:tc>
        <w:tc>
          <w:tcPr>
            <w:tcW w:w="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3,283</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
        </w:trPr>
        <w:tc>
          <w:tcPr>
            <w:tcW w:w="3080" w:type="dxa"/>
            <w:vAlign w:val="bottom"/>
            <w:gridSpan w:val="3"/>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Source Capital SSCR, LLC</w:t>
            </w:r>
          </w:p>
        </w:tc>
        <w:tc>
          <w:tcPr>
            <w:tcW w:w="2660" w:type="dxa"/>
            <w:vAlign w:val="bottom"/>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Suntan Lotion Manufacturer</w:t>
            </w:r>
          </w:p>
        </w:tc>
        <w:tc>
          <w:tcPr>
            <w:tcW w:w="2760" w:type="dxa"/>
            <w:vAlign w:val="bottom"/>
            <w:gridSpan w:val="2"/>
            <w:vMerge w:val="restart"/>
          </w:tcPr>
          <w:p>
            <w:pPr>
              <w:ind w:left="100"/>
              <w:spacing w:after="0" w:line="153" w:lineRule="exact"/>
              <w:rPr>
                <w:sz w:val="20"/>
                <w:szCs w:val="20"/>
                <w:color w:val="auto"/>
              </w:rPr>
            </w:pPr>
            <w:r>
              <w:rPr>
                <w:rFonts w:ascii="Times New Roman" w:cs="Times New Roman" w:eastAsia="Times New Roman" w:hAnsi="Times New Roman"/>
                <w:sz w:val="14"/>
                <w:szCs w:val="14"/>
                <w:color w:val="auto"/>
              </w:rPr>
              <w:t>Senior Secured Term Debt (12% Cash, Due</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080" w:type="dxa"/>
            <w:vAlign w:val="bottom"/>
            <w:gridSpan w:val="3"/>
            <w:vMerge w:val="continue"/>
          </w:tcPr>
          <w:p>
            <w:pPr>
              <w:spacing w:after="0"/>
              <w:rPr>
                <w:sz w:val="11"/>
                <w:szCs w:val="11"/>
                <w:color w:val="auto"/>
              </w:rPr>
            </w:pPr>
          </w:p>
        </w:tc>
        <w:tc>
          <w:tcPr>
            <w:tcW w:w="2660" w:type="dxa"/>
            <w:vAlign w:val="bottom"/>
            <w:vMerge w:val="continue"/>
          </w:tcPr>
          <w:p>
            <w:pPr>
              <w:spacing w:after="0"/>
              <w:rPr>
                <w:sz w:val="11"/>
                <w:szCs w:val="11"/>
                <w:color w:val="auto"/>
              </w:rPr>
            </w:pPr>
          </w:p>
        </w:tc>
        <w:tc>
          <w:tcPr>
            <w:tcW w:w="2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11,777</w:t>
            </w:r>
          </w:p>
        </w:tc>
        <w:tc>
          <w:tcPr>
            <w:tcW w:w="180" w:type="dxa"/>
            <w:vAlign w:val="bottom"/>
            <w:vMerge w:val="restart"/>
          </w:tcPr>
          <w:p>
            <w:pPr>
              <w:spacing w:after="0"/>
              <w:rPr>
                <w:sz w:val="11"/>
                <w:szCs w:val="11"/>
                <w:color w:val="auto"/>
              </w:rPr>
            </w:pPr>
          </w:p>
        </w:tc>
        <w:tc>
          <w:tcPr>
            <w:tcW w:w="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7/6/17)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Source Capital SSCR, LLC</w:t>
            </w:r>
          </w:p>
        </w:tc>
        <w:tc>
          <w:tcPr>
            <w:tcW w:w="26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Suntan Lotion Manufacturer</w:t>
            </w:r>
          </w:p>
        </w:tc>
        <w:tc>
          <w:tcPr>
            <w:tcW w:w="2760" w:type="dxa"/>
            <w:vAlign w:val="bottom"/>
            <w:gridSpan w:val="2"/>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Preferred Membership Units (14.91% fully</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1,425</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1,116</w:t>
            </w: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2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Source Capital SSCR, LLC</w:t>
            </w:r>
          </w:p>
        </w:tc>
        <w:tc>
          <w:tcPr>
            <w:tcW w:w="26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Suntan Lotion Manufacturer</w:t>
            </w:r>
          </w:p>
        </w:tc>
        <w:tc>
          <w:tcPr>
            <w:tcW w:w="2760" w:type="dxa"/>
            <w:vAlign w:val="bottom"/>
            <w:gridSpan w:val="2"/>
          </w:tcPr>
          <w:p>
            <w:pPr>
              <w:ind w:left="100"/>
              <w:spacing w:after="0" w:line="126" w:lineRule="exact"/>
              <w:rPr>
                <w:sz w:val="20"/>
                <w:szCs w:val="20"/>
                <w:color w:val="auto"/>
              </w:rPr>
            </w:pPr>
            <w:r>
              <w:rPr>
                <w:rFonts w:ascii="Times New Roman" w:cs="Times New Roman" w:eastAsia="Times New Roman" w:hAnsi="Times New Roman"/>
                <w:sz w:val="14"/>
                <w:szCs w:val="14"/>
                <w:color w:val="auto"/>
              </w:rPr>
              <w:t>Membership Unit Warrants (1.0% fully</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spacing w:after="0"/>
              <w:rPr>
                <w:sz w:val="10"/>
                <w:szCs w:val="10"/>
                <w:color w:val="auto"/>
              </w:rPr>
            </w:pPr>
          </w:p>
        </w:tc>
        <w:tc>
          <w:tcPr>
            <w:tcW w:w="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12,893</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0"/>
        </w:trPr>
        <w:tc>
          <w:tcPr>
            <w:tcW w:w="3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Source Recycling, LLC</w:t>
            </w:r>
          </w:p>
        </w:tc>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Metal Recycler</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Subordinated Debt (13% Cash, Due 9/2/16)</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4,900</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80" w:type="dxa"/>
            <w:vAlign w:val="bottom"/>
            <w:gridSpan w:val="3"/>
            <w:vMerge w:val="continue"/>
          </w:tcPr>
          <w:p>
            <w:pPr>
              <w:spacing w:after="0"/>
              <w:rPr>
                <w:sz w:val="13"/>
                <w:szCs w:val="13"/>
                <w:color w:val="auto"/>
              </w:rPr>
            </w:pPr>
          </w:p>
        </w:tc>
        <w:tc>
          <w:tcPr>
            <w:tcW w:w="2660" w:type="dxa"/>
            <w:vAlign w:val="bottom"/>
            <w:vMerge w:val="continue"/>
          </w:tcPr>
          <w:p>
            <w:pPr>
              <w:spacing w:after="0"/>
              <w:rPr>
                <w:sz w:val="13"/>
                <w:szCs w:val="13"/>
                <w:color w:val="auto"/>
              </w:rPr>
            </w:pPr>
          </w:p>
        </w:tc>
        <w:tc>
          <w:tcPr>
            <w:tcW w:w="2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4,900</w:t>
            </w:r>
          </w:p>
        </w:tc>
        <w:tc>
          <w:tcPr>
            <w:tcW w:w="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2,931</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Source Recycling, LLC</w:t>
            </w:r>
          </w:p>
        </w:tc>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Metal Recycler</w:t>
            </w:r>
          </w:p>
        </w:tc>
        <w:tc>
          <w:tcPr>
            <w:tcW w:w="27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Membership Units (68,658 shares)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Source Recycling, LLC</w:t>
            </w:r>
          </w:p>
        </w:tc>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Metal Recycler</w:t>
            </w:r>
          </w:p>
        </w:tc>
        <w:tc>
          <w:tcPr>
            <w:tcW w:w="2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Unit Warrants (1.0% fully diluted)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6,291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2,931</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
        </w:trPr>
        <w:tc>
          <w:tcPr>
            <w:tcW w:w="3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Sparus Holdings</w:t>
            </w:r>
          </w:p>
        </w:tc>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Energy Services</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Subordinated Debt (12% Cash, Due 3/18/14)</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80" w:type="dxa"/>
            <w:vAlign w:val="bottom"/>
            <w:gridSpan w:val="3"/>
            <w:vMerge w:val="continue"/>
          </w:tcPr>
          <w:p>
            <w:pPr>
              <w:spacing w:after="0"/>
              <w:rPr>
                <w:sz w:val="13"/>
                <w:szCs w:val="13"/>
                <w:color w:val="auto"/>
              </w:rPr>
            </w:pPr>
          </w:p>
        </w:tc>
        <w:tc>
          <w:tcPr>
            <w:tcW w:w="2660" w:type="dxa"/>
            <w:vAlign w:val="bottom"/>
            <w:vMerge w:val="continue"/>
          </w:tcPr>
          <w:p>
            <w:pPr>
              <w:spacing w:after="0"/>
              <w:rPr>
                <w:sz w:val="13"/>
                <w:szCs w:val="13"/>
                <w:color w:val="auto"/>
              </w:rPr>
            </w:pPr>
          </w:p>
        </w:tc>
        <w:tc>
          <w:tcPr>
            <w:tcW w:w="2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7,000</w:t>
            </w:r>
          </w:p>
        </w:tc>
        <w:tc>
          <w:tcPr>
            <w:tcW w:w="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7,000</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Sparus Holdings</w:t>
            </w:r>
          </w:p>
        </w:tc>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Energy Services</w:t>
            </w:r>
          </w:p>
        </w:tc>
        <w:tc>
          <w:tcPr>
            <w:tcW w:w="27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Series B Preferred Stock (5,704 shares)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Sparus Holdings</w:t>
            </w:r>
          </w:p>
        </w:tc>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Energy Services</w:t>
            </w:r>
          </w:p>
        </w:tc>
        <w:tc>
          <w:tcPr>
            <w:tcW w:w="2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 Warrants (3,491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7,287</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0"/>
        </w:trPr>
        <w:tc>
          <w:tcPr>
            <w:tcW w:w="3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STX Healthcare Management Services, Inc.</w:t>
            </w:r>
          </w:p>
        </w:tc>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Dentistry Services</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Subordinated Debt (14% Cash, Due 7/31/15)</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6,625</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80" w:type="dxa"/>
            <w:vAlign w:val="bottom"/>
            <w:gridSpan w:val="3"/>
            <w:vMerge w:val="continue"/>
          </w:tcPr>
          <w:p>
            <w:pPr>
              <w:spacing w:after="0"/>
              <w:rPr>
                <w:sz w:val="13"/>
                <w:szCs w:val="13"/>
                <w:color w:val="auto"/>
              </w:rPr>
            </w:pPr>
          </w:p>
        </w:tc>
        <w:tc>
          <w:tcPr>
            <w:tcW w:w="2660" w:type="dxa"/>
            <w:vAlign w:val="bottom"/>
            <w:vMerge w:val="continue"/>
          </w:tcPr>
          <w:p>
            <w:pPr>
              <w:spacing w:after="0"/>
              <w:rPr>
                <w:sz w:val="13"/>
                <w:szCs w:val="13"/>
                <w:color w:val="auto"/>
              </w:rPr>
            </w:pPr>
          </w:p>
        </w:tc>
        <w:tc>
          <w:tcPr>
            <w:tcW w:w="2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6,593</w:t>
            </w:r>
          </w:p>
        </w:tc>
        <w:tc>
          <w:tcPr>
            <w:tcW w:w="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6,625</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STX Healthcare Management Services, Inc.</w:t>
            </w:r>
          </w:p>
        </w:tc>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Dentistry Services</w:t>
            </w:r>
          </w:p>
        </w:tc>
        <w:tc>
          <w:tcPr>
            <w:tcW w:w="27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 (1,200,000 shares)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680</w:t>
            </w: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STX Healthcare Management Services, Inc.</w:t>
            </w:r>
          </w:p>
        </w:tc>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Dentistry Services</w:t>
            </w:r>
          </w:p>
        </w:tc>
        <w:tc>
          <w:tcPr>
            <w:tcW w:w="2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 Warrants (845,784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680</w:t>
            </w:r>
          </w:p>
        </w:tc>
        <w:tc>
          <w:tcPr>
            <w:tcW w:w="1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8,011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7,984</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0"/>
        </w:trPr>
        <w:tc>
          <w:tcPr>
            <w:tcW w:w="3080" w:type="dxa"/>
            <w:vAlign w:val="bottom"/>
            <w:gridSpan w:val="3"/>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Take 5 Oil Change, LLC</w:t>
            </w:r>
          </w:p>
        </w:tc>
        <w:tc>
          <w:tcPr>
            <w:tcW w:w="2660" w:type="dxa"/>
            <w:vAlign w:val="bottom"/>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Quick Lube Services</w:t>
            </w:r>
          </w:p>
        </w:tc>
        <w:tc>
          <w:tcPr>
            <w:tcW w:w="2760" w:type="dxa"/>
            <w:vAlign w:val="bottom"/>
            <w:gridSpan w:val="2"/>
            <w:vMerge w:val="restart"/>
          </w:tcPr>
          <w:p>
            <w:pPr>
              <w:ind w:left="100"/>
              <w:spacing w:after="0" w:line="153" w:lineRule="exact"/>
              <w:rPr>
                <w:sz w:val="20"/>
                <w:szCs w:val="20"/>
                <w:color w:val="auto"/>
              </w:rPr>
            </w:pPr>
            <w:r>
              <w:rPr>
                <w:rFonts w:ascii="Times New Roman" w:cs="Times New Roman" w:eastAsia="Times New Roman" w:hAnsi="Times New Roman"/>
                <w:sz w:val="14"/>
                <w:szCs w:val="14"/>
                <w:color w:val="auto"/>
              </w:rPr>
              <w:t>Senior Secured Debt (10% Cash, Due</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080" w:type="dxa"/>
            <w:vAlign w:val="bottom"/>
            <w:gridSpan w:val="3"/>
            <w:vMerge w:val="continue"/>
          </w:tcPr>
          <w:p>
            <w:pPr>
              <w:spacing w:after="0"/>
              <w:rPr>
                <w:sz w:val="11"/>
                <w:szCs w:val="11"/>
                <w:color w:val="auto"/>
              </w:rPr>
            </w:pPr>
          </w:p>
        </w:tc>
        <w:tc>
          <w:tcPr>
            <w:tcW w:w="2660" w:type="dxa"/>
            <w:vAlign w:val="bottom"/>
            <w:vMerge w:val="continue"/>
          </w:tcPr>
          <w:p>
            <w:pPr>
              <w:spacing w:after="0"/>
              <w:rPr>
                <w:sz w:val="11"/>
                <w:szCs w:val="11"/>
                <w:color w:val="auto"/>
              </w:rPr>
            </w:pPr>
          </w:p>
        </w:tc>
        <w:tc>
          <w:tcPr>
            <w:tcW w:w="2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80" w:type="dxa"/>
            <w:vAlign w:val="bottom"/>
            <w:vMerge w:val="restart"/>
          </w:tcPr>
          <w:p>
            <w:pPr>
              <w:spacing w:after="0"/>
              <w:rPr>
                <w:sz w:val="11"/>
                <w:szCs w:val="11"/>
                <w:color w:val="auto"/>
              </w:rPr>
            </w:pPr>
          </w:p>
        </w:tc>
        <w:tc>
          <w:tcPr>
            <w:tcW w:w="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11/28/16)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Take 5 Oil Change, LLC</w:t>
            </w:r>
          </w:p>
        </w:tc>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Quick Lube Services</w:t>
            </w:r>
          </w:p>
        </w:tc>
        <w:tc>
          <w:tcPr>
            <w:tcW w:w="27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 (10,692 shares)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1,248</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13,069</w:t>
            </w:r>
          </w:p>
        </w:tc>
        <w:tc>
          <w:tcPr>
            <w:tcW w:w="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13,248</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V12 Holdings</w:t>
            </w:r>
          </w:p>
        </w:tc>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Data Processing &amp; Digital Marketing</w:t>
            </w:r>
          </w:p>
        </w:tc>
        <w:tc>
          <w:tcPr>
            <w:tcW w:w="27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Bridge Note (0% Cash, Due 12/31/14)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V12 Holdings</w:t>
            </w:r>
          </w:p>
        </w:tc>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Data Processing &amp; Digital Marketing</w:t>
            </w:r>
          </w:p>
        </w:tc>
        <w:tc>
          <w:tcPr>
            <w:tcW w:w="2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Tier 2 Note (0% Cash, Due 12/31/14)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V12 Holdings</w:t>
            </w:r>
          </w:p>
        </w:tc>
        <w:tc>
          <w:tcPr>
            <w:tcW w:w="26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Data Processing &amp; Digital Marketing</w:t>
            </w:r>
          </w:p>
        </w:tc>
        <w:tc>
          <w:tcPr>
            <w:tcW w:w="2760" w:type="dxa"/>
            <w:vAlign w:val="bottom"/>
            <w:gridSpan w:val="2"/>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Senior Subordinated Note (0% Cash, Due</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2,200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2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12/31/14)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V12 Holdings</w:t>
            </w:r>
          </w:p>
        </w:tc>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Data Processing &amp; Digital Marketing</w:t>
            </w:r>
          </w:p>
        </w:tc>
        <w:tc>
          <w:tcPr>
            <w:tcW w:w="2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Tier 3 Note (0% Cash, Due 12/31/14)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V12 Holdings</w:t>
            </w:r>
          </w:p>
        </w:tc>
        <w:tc>
          <w:tcPr>
            <w:tcW w:w="26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Data Processing &amp; Digital Marketing</w:t>
            </w:r>
          </w:p>
        </w:tc>
        <w:tc>
          <w:tcPr>
            <w:tcW w:w="2760" w:type="dxa"/>
            <w:vAlign w:val="bottom"/>
            <w:gridSpan w:val="2"/>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Jr. Subordinated Note (0% Cash, Due</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26</w:t>
            </w: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2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12/31/14)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V12 Holdings</w:t>
            </w:r>
          </w:p>
        </w:tc>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Data Processing &amp; Digital Marketing</w:t>
            </w:r>
          </w:p>
        </w:tc>
        <w:tc>
          <w:tcPr>
            <w:tcW w:w="2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Tier 4 Note (0% Cash, Due 12/31/14)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V12 Holdings</w:t>
            </w:r>
          </w:p>
        </w:tc>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Data Processing &amp; Digital Marketing</w:t>
            </w:r>
          </w:p>
        </w:tc>
        <w:tc>
          <w:tcPr>
            <w:tcW w:w="27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Series A-1 Preferred Stock (11,025 shares)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V12 Holdings</w:t>
            </w:r>
          </w:p>
        </w:tc>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Data Processing &amp; Digital Marketing</w:t>
            </w:r>
          </w:p>
        </w:tc>
        <w:tc>
          <w:tcPr>
            <w:tcW w:w="2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Series A-3 Preferred Stock (204,082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V12 Holdings</w:t>
            </w:r>
          </w:p>
        </w:tc>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Data Processing &amp; Digital Marketing</w:t>
            </w:r>
          </w:p>
        </w:tc>
        <w:tc>
          <w:tcPr>
            <w:tcW w:w="27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Series A-5 Preferred Stock (8,409 shares)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V12 Holdings</w:t>
            </w:r>
          </w:p>
        </w:tc>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Data Processing &amp; Digital Marketing</w:t>
            </w:r>
          </w:p>
        </w:tc>
        <w:tc>
          <w:tcPr>
            <w:tcW w:w="2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 Warrants (880,541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637</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0"/>
        </w:trPr>
        <w:tc>
          <w:tcPr>
            <w:tcW w:w="3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 Total Affiliate investments</w:t>
            </w: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080" w:type="dxa"/>
            <w:vAlign w:val="bottom"/>
            <w:gridSpan w:val="3"/>
            <w:vMerge w:val="continue"/>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122,655</w:t>
            </w:r>
          </w:p>
        </w:tc>
        <w:tc>
          <w:tcPr>
            <w:tcW w:w="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136,809</w:t>
            </w:r>
          </w:p>
        </w:tc>
        <w:tc>
          <w:tcPr>
            <w:tcW w:w="180" w:type="dxa"/>
            <w:vAlign w:val="bottom"/>
            <w:vMerge w:val="continue"/>
          </w:tcPr>
          <w:p>
            <w:pPr>
              <w:spacing w:after="0"/>
              <w:rPr>
                <w:sz w:val="14"/>
                <w:szCs w:val="14"/>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96.1%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Control investments - 47.9%</w:t>
            </w:r>
          </w:p>
        </w:tc>
        <w:tc>
          <w:tcPr>
            <w:tcW w:w="2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Best In Class</w:t>
            </w:r>
          </w:p>
        </w:tc>
        <w:tc>
          <w:tcPr>
            <w:tcW w:w="26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Corporate Fulfillment</w:t>
            </w:r>
          </w:p>
        </w:tc>
        <w:tc>
          <w:tcPr>
            <w:tcW w:w="2760" w:type="dxa"/>
            <w:vAlign w:val="bottom"/>
            <w:gridSpan w:val="2"/>
          </w:tcPr>
          <w:p>
            <w:pPr>
              <w:ind w:left="100"/>
              <w:spacing w:after="0" w:line="126" w:lineRule="exact"/>
              <w:rPr>
                <w:sz w:val="20"/>
                <w:szCs w:val="20"/>
                <w:color w:val="auto"/>
              </w:rPr>
            </w:pPr>
            <w:r>
              <w:rPr>
                <w:rFonts w:ascii="Times New Roman" w:cs="Times New Roman" w:eastAsia="Times New Roman" w:hAnsi="Times New Roman"/>
                <w:sz w:val="14"/>
                <w:szCs w:val="14"/>
                <w:color w:val="auto"/>
              </w:rPr>
              <w:t>Subordinated Debt (12.5% Cash, Due</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728</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728</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728</w:t>
            </w:r>
          </w:p>
        </w:tc>
        <w:tc>
          <w:tcPr>
            <w:tcW w:w="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12/31/13)</w:t>
            </w:r>
          </w:p>
        </w:tc>
        <w:tc>
          <w:tcPr>
            <w:tcW w:w="24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Best In Class</w:t>
            </w:r>
          </w:p>
        </w:tc>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Corporate Fulfillment</w:t>
            </w:r>
          </w:p>
        </w:tc>
        <w:tc>
          <w:tcPr>
            <w:tcW w:w="27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Class A Preferred Units (89 units)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381</w:t>
            </w: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Best In Class</w:t>
            </w:r>
          </w:p>
        </w:tc>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Corporate Fulfillment</w:t>
            </w:r>
          </w:p>
        </w:tc>
        <w:tc>
          <w:tcPr>
            <w:tcW w:w="2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Class B Preferred Units (45 units)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1,165</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9"/>
        </w:trPr>
        <w:tc>
          <w:tcPr>
            <w:tcW w:w="3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(3, 4)</w:t>
            </w:r>
          </w:p>
        </w:tc>
        <w:tc>
          <w:tcPr>
            <w:tcW w:w="270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2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Investment Interest Rate / Maturity</w:t>
            </w:r>
          </w:p>
        </w:tc>
        <w:tc>
          <w:tcPr>
            <w:tcW w:w="860" w:type="dxa"/>
            <w:vAlign w:val="bottom"/>
            <w:gridSpan w:val="3"/>
            <w:vMerge w:val="continue"/>
          </w:tcPr>
          <w:p>
            <w:pPr>
              <w:spacing w:after="0"/>
              <w:rPr>
                <w:sz w:val="12"/>
                <w:szCs w:val="12"/>
                <w:color w:val="auto"/>
              </w:rPr>
            </w:pPr>
          </w:p>
        </w:tc>
        <w:tc>
          <w:tcPr>
            <w:tcW w:w="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3160" w:type="dxa"/>
            <w:vAlign w:val="bottom"/>
            <w:gridSpan w:val="3"/>
            <w:vMerge w:val="continue"/>
          </w:tcPr>
          <w:p>
            <w:pPr>
              <w:spacing w:after="0"/>
              <w:rPr>
                <w:sz w:val="15"/>
                <w:szCs w:val="15"/>
                <w:color w:val="auto"/>
              </w:rPr>
            </w:pPr>
          </w:p>
        </w:tc>
        <w:tc>
          <w:tcPr>
            <w:tcW w:w="2700" w:type="dxa"/>
            <w:vAlign w:val="bottom"/>
            <w:gridSpan w:val="2"/>
            <w:vMerge w:val="continue"/>
          </w:tcPr>
          <w:p>
            <w:pPr>
              <w:spacing w:after="0"/>
              <w:rPr>
                <w:sz w:val="15"/>
                <w:szCs w:val="15"/>
                <w:color w:val="auto"/>
              </w:rPr>
            </w:pPr>
          </w:p>
        </w:tc>
        <w:tc>
          <w:tcPr>
            <w:tcW w:w="2720" w:type="dxa"/>
            <w:vAlign w:val="bottom"/>
            <w:gridSpan w:val="2"/>
            <w:vMerge w:val="continue"/>
          </w:tcPr>
          <w:p>
            <w:pPr>
              <w:spacing w:after="0"/>
              <w:rPr>
                <w:sz w:val="15"/>
                <w:szCs w:val="15"/>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302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KBP Investments, LLC (5)</w:t>
            </w:r>
          </w:p>
        </w:tc>
        <w:tc>
          <w:tcPr>
            <w:tcW w:w="120" w:type="dxa"/>
            <w:vAlign w:val="bottom"/>
            <w:vMerge w:val="continue"/>
            <w:shd w:val="clear" w:color="auto" w:fill="CCEEFF"/>
          </w:tcPr>
          <w:p>
            <w:pPr>
              <w:spacing w:after="0"/>
              <w:rPr>
                <w:sz w:val="10"/>
                <w:szCs w:val="10"/>
                <w:color w:val="auto"/>
              </w:rPr>
            </w:pPr>
          </w:p>
        </w:tc>
        <w:tc>
          <w:tcPr>
            <w:tcW w:w="260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QSR Franchisee</w:t>
            </w:r>
          </w:p>
        </w:tc>
        <w:tc>
          <w:tcPr>
            <w:tcW w:w="100" w:type="dxa"/>
            <w:vAlign w:val="bottom"/>
            <w:vMerge w:val="continue"/>
            <w:shd w:val="clear" w:color="auto" w:fill="CCEEFF"/>
          </w:tcPr>
          <w:p>
            <w:pPr>
              <w:spacing w:after="0"/>
              <w:rPr>
                <w:sz w:val="10"/>
                <w:szCs w:val="10"/>
                <w:color w:val="auto"/>
              </w:rPr>
            </w:pPr>
          </w:p>
        </w:tc>
        <w:tc>
          <w:tcPr>
            <w:tcW w:w="262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Class A Preferred Stock (10% scheduled</w:t>
            </w:r>
          </w:p>
        </w:tc>
        <w:tc>
          <w:tcPr>
            <w:tcW w:w="100" w:type="dxa"/>
            <w:vAlign w:val="bottom"/>
            <w:vMerge w:val="continue"/>
            <w:shd w:val="clear" w:color="auto" w:fill="CCEEFF"/>
          </w:tcPr>
          <w:p>
            <w:pPr>
              <w:spacing w:after="0"/>
              <w:rPr>
                <w:sz w:val="10"/>
                <w:szCs w:val="10"/>
                <w:color w:val="auto"/>
              </w:rPr>
            </w:pPr>
          </w:p>
        </w:tc>
        <w:tc>
          <w:tcPr>
            <w:tcW w:w="58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7,938</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7,938</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w:t>
            </w:r>
          </w:p>
        </w:tc>
        <w:tc>
          <w:tcPr>
            <w:tcW w:w="58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KBP Investments, LLC</w:t>
            </w:r>
          </w:p>
        </w:tc>
        <w:tc>
          <w:tcPr>
            <w:tcW w:w="2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QSR Franchisee</w:t>
            </w:r>
          </w:p>
        </w:tc>
        <w:tc>
          <w:tcPr>
            <w:tcW w:w="2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Class A Common Stock (380,413 shares)</w:t>
            </w:r>
          </w:p>
        </w:tc>
        <w:tc>
          <w:tcPr>
            <w:tcW w:w="78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22,011</w:t>
            </w: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8,269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29,949</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20"/>
        </w:trPr>
        <w:tc>
          <w:tcPr>
            <w:tcW w:w="3160" w:type="dxa"/>
            <w:vAlign w:val="bottom"/>
            <w:gridSpan w:val="3"/>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Market E, Inc.</w:t>
            </w:r>
          </w:p>
        </w:tc>
        <w:tc>
          <w:tcPr>
            <w:tcW w:w="2700" w:type="dxa"/>
            <w:vAlign w:val="bottom"/>
            <w:gridSpan w:val="2"/>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Online Travel Sales &amp; Marketing</w:t>
            </w:r>
          </w:p>
        </w:tc>
        <w:tc>
          <w:tcPr>
            <w:tcW w:w="2720" w:type="dxa"/>
            <w:vAlign w:val="bottom"/>
            <w:gridSpan w:val="2"/>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Senior Secured Debt (10% Cash, 9% PIK,</w:t>
            </w: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160" w:type="dxa"/>
            <w:vAlign w:val="bottom"/>
            <w:gridSpan w:val="3"/>
            <w:vMerge w:val="continue"/>
          </w:tcPr>
          <w:p>
            <w:pPr>
              <w:spacing w:after="0"/>
              <w:rPr>
                <w:sz w:val="11"/>
                <w:szCs w:val="11"/>
                <w:color w:val="auto"/>
              </w:rPr>
            </w:pPr>
          </w:p>
        </w:tc>
        <w:tc>
          <w:tcPr>
            <w:tcW w:w="2700" w:type="dxa"/>
            <w:vAlign w:val="bottom"/>
            <w:gridSpan w:val="2"/>
            <w:vMerge w:val="continue"/>
          </w:tcPr>
          <w:p>
            <w:pPr>
              <w:spacing w:after="0"/>
              <w:rPr>
                <w:sz w:val="11"/>
                <w:szCs w:val="11"/>
                <w:color w:val="auto"/>
              </w:rPr>
            </w:pPr>
          </w:p>
        </w:tc>
        <w:tc>
          <w:tcPr>
            <w:tcW w:w="2720" w:type="dxa"/>
            <w:vAlign w:val="bottom"/>
            <w:gridSpan w:val="2"/>
            <w:vMerge w:val="continue"/>
          </w:tcPr>
          <w:p>
            <w:pPr>
              <w:spacing w:after="0"/>
              <w:rPr>
                <w:sz w:val="11"/>
                <w:szCs w:val="11"/>
                <w:color w:val="auto"/>
              </w:rPr>
            </w:pPr>
          </w:p>
        </w:tc>
        <w:tc>
          <w:tcPr>
            <w:tcW w:w="7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921</w:t>
            </w:r>
          </w:p>
        </w:tc>
        <w:tc>
          <w:tcPr>
            <w:tcW w:w="80" w:type="dxa"/>
            <w:vAlign w:val="bottom"/>
          </w:tcPr>
          <w:p>
            <w:pPr>
              <w:spacing w:after="0"/>
              <w:rPr>
                <w:sz w:val="11"/>
                <w:szCs w:val="11"/>
                <w:color w:val="auto"/>
              </w:rPr>
            </w:pP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1,178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1,178</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12/31/13)</w:t>
            </w: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Market E, Inc.</w:t>
            </w:r>
          </w:p>
        </w:tc>
        <w:tc>
          <w:tcPr>
            <w:tcW w:w="2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Online Travel Sales &amp; Marketing</w:t>
            </w:r>
          </w:p>
        </w:tc>
        <w:tc>
          <w:tcPr>
            <w:tcW w:w="2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A Preferred Stock (240 shares)</w:t>
            </w:r>
          </w:p>
        </w:tc>
        <w:tc>
          <w:tcPr>
            <w:tcW w:w="860" w:type="dxa"/>
            <w:vAlign w:val="bottom"/>
            <w:gridSpan w:val="3"/>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Market E, Inc.</w:t>
            </w:r>
          </w:p>
        </w:tc>
        <w:tc>
          <w:tcPr>
            <w:tcW w:w="2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Online Travel Sales &amp; Marketing</w:t>
            </w:r>
          </w:p>
        </w:tc>
        <w:tc>
          <w:tcPr>
            <w:tcW w:w="2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Class B Preferred Stock (964 shares)</w:t>
            </w:r>
          </w:p>
        </w:tc>
        <w:tc>
          <w:tcPr>
            <w:tcW w:w="860" w:type="dxa"/>
            <w:vAlign w:val="bottom"/>
            <w:gridSpan w:val="3"/>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965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Market E, Inc.</w:t>
            </w:r>
          </w:p>
        </w:tc>
        <w:tc>
          <w:tcPr>
            <w:tcW w:w="2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Online Travel Sales &amp; Marketing</w:t>
            </w:r>
          </w:p>
        </w:tc>
        <w:tc>
          <w:tcPr>
            <w:tcW w:w="2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A Common Stock (240 shares)</w:t>
            </w:r>
          </w:p>
        </w:tc>
        <w:tc>
          <w:tcPr>
            <w:tcW w:w="78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2,383</w:t>
            </w:r>
          </w:p>
        </w:tc>
        <w:tc>
          <w:tcPr>
            <w:tcW w:w="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1,421</w:t>
            </w:r>
          </w:p>
        </w:tc>
        <w:tc>
          <w:tcPr>
            <w:tcW w:w="180" w:type="dxa"/>
            <w:vAlign w:val="bottom"/>
            <w:vMerge w:val="continue"/>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Micro Precision, LLC</w:t>
            </w:r>
          </w:p>
        </w:tc>
        <w:tc>
          <w:tcPr>
            <w:tcW w:w="2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Conglomerate</w:t>
            </w:r>
          </w:p>
        </w:tc>
        <w:tc>
          <w:tcPr>
            <w:tcW w:w="2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Subordinated Debt (10% Cash, Due 9/16/16)</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1,862</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1,862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1,862</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Micro Precision, LLC</w:t>
            </w:r>
          </w:p>
        </w:tc>
        <w:tc>
          <w:tcPr>
            <w:tcW w:w="27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Conglomerate</w:t>
            </w:r>
          </w:p>
        </w:tc>
        <w:tc>
          <w:tcPr>
            <w:tcW w:w="27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Subordinated Debt (14% Cash, 4% PIK, Due</w:t>
            </w: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3,427</w:t>
            </w:r>
          </w:p>
        </w:tc>
        <w:tc>
          <w:tcPr>
            <w:tcW w:w="80" w:type="dxa"/>
            <w:vAlign w:val="bottom"/>
          </w:tcPr>
          <w:p>
            <w:pPr>
              <w:spacing w:after="0"/>
              <w:rPr>
                <w:sz w:val="10"/>
                <w:szCs w:val="10"/>
                <w:color w:val="auto"/>
              </w:rPr>
            </w:pP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3,427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3,427</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9/16/16)</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Micro Precision, LLC</w:t>
            </w:r>
          </w:p>
        </w:tc>
        <w:tc>
          <w:tcPr>
            <w:tcW w:w="2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Conglomerate</w:t>
            </w:r>
          </w:p>
        </w:tc>
        <w:tc>
          <w:tcPr>
            <w:tcW w:w="2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Series A Preferred Units (47 shares)</w:t>
            </w:r>
          </w:p>
        </w:tc>
        <w:tc>
          <w:tcPr>
            <w:tcW w:w="78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1,629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3,276</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6,918</w:t>
            </w:r>
          </w:p>
        </w:tc>
        <w:tc>
          <w:tcPr>
            <w:tcW w:w="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8,565</w:t>
            </w:r>
          </w:p>
        </w:tc>
        <w:tc>
          <w:tcPr>
            <w:tcW w:w="180" w:type="dxa"/>
            <w:vAlign w:val="bottom"/>
            <w:vMerge w:val="continue"/>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3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Navis Holdings, Inc.</w:t>
            </w:r>
          </w:p>
        </w:tc>
        <w:tc>
          <w:tcPr>
            <w:tcW w:w="2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Textile Equipment Manufacturer</w:t>
            </w:r>
          </w:p>
        </w:tc>
        <w:tc>
          <w:tcPr>
            <w:tcW w:w="27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Senior Secured Term (14% Cash, 3% PIK,</w:t>
            </w: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6,602</w:t>
            </w: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6,600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6,602</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2/1/16)</w:t>
            </w: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Navis Holdings, Inc.</w:t>
            </w:r>
          </w:p>
        </w:tc>
        <w:tc>
          <w:tcPr>
            <w:tcW w:w="2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Textile Equipment Manufacturer</w:t>
            </w:r>
          </w:p>
        </w:tc>
        <w:tc>
          <w:tcPr>
            <w:tcW w:w="2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Class A Preferred Stock (1,000 shares)</w:t>
            </w:r>
          </w:p>
        </w:tc>
        <w:tc>
          <w:tcPr>
            <w:tcW w:w="860" w:type="dxa"/>
            <w:vAlign w:val="bottom"/>
            <w:gridSpan w:val="3"/>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1,101</w:t>
            </w: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Navis Holdings, Inc.</w:t>
            </w:r>
          </w:p>
        </w:tc>
        <w:tc>
          <w:tcPr>
            <w:tcW w:w="2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Textile Equipment Manufacturer</w:t>
            </w:r>
          </w:p>
        </w:tc>
        <w:tc>
          <w:tcPr>
            <w:tcW w:w="2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(300,000 shares)</w:t>
            </w:r>
          </w:p>
        </w:tc>
        <w:tc>
          <w:tcPr>
            <w:tcW w:w="78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731</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7,601</w:t>
            </w:r>
          </w:p>
        </w:tc>
        <w:tc>
          <w:tcPr>
            <w:tcW w:w="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8,434</w:t>
            </w:r>
          </w:p>
        </w:tc>
        <w:tc>
          <w:tcPr>
            <w:tcW w:w="180" w:type="dxa"/>
            <w:vAlign w:val="bottom"/>
            <w:vMerge w:val="continue"/>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3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On-Site Fuel Services, Inc.</w:t>
            </w:r>
          </w:p>
        </w:tc>
        <w:tc>
          <w:tcPr>
            <w:tcW w:w="2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Fuel Transportation Services</w:t>
            </w:r>
          </w:p>
        </w:tc>
        <w:tc>
          <w:tcPr>
            <w:tcW w:w="27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Subordinated Debt (14% Cash, 4% PIK, Due</w:t>
            </w: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4,656</w:t>
            </w: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4,656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4,656</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12/19/16)</w:t>
            </w: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On-Site Fuel Services, Inc.</w:t>
            </w:r>
          </w:p>
        </w:tc>
        <w:tc>
          <w:tcPr>
            <w:tcW w:w="2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Fuel Transportation Services</w:t>
            </w:r>
          </w:p>
        </w:tc>
        <w:tc>
          <w:tcPr>
            <w:tcW w:w="2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Series A Preferred Stock (32,797 shares)</w:t>
            </w:r>
          </w:p>
        </w:tc>
        <w:tc>
          <w:tcPr>
            <w:tcW w:w="860" w:type="dxa"/>
            <w:vAlign w:val="bottom"/>
            <w:gridSpan w:val="3"/>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3,302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2,309</w:t>
            </w: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On-Site Fuel Services, Inc. (5)</w:t>
            </w:r>
          </w:p>
        </w:tc>
        <w:tc>
          <w:tcPr>
            <w:tcW w:w="2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Fuel Transportation Services</w:t>
            </w:r>
          </w:p>
        </w:tc>
        <w:tc>
          <w:tcPr>
            <w:tcW w:w="27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Series B Preferred Stock (14% scheduled</w:t>
            </w:r>
          </w:p>
        </w:tc>
        <w:tc>
          <w:tcPr>
            <w:tcW w:w="860" w:type="dxa"/>
            <w:vAlign w:val="bottom"/>
            <w:gridSpan w:val="3"/>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2,341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587</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dividend, 4% PIK dividend)</w:t>
            </w:r>
          </w:p>
        </w:tc>
        <w:tc>
          <w:tcPr>
            <w:tcW w:w="860" w:type="dxa"/>
            <w:vAlign w:val="bottom"/>
            <w:gridSpan w:val="3"/>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On-Site Fuel Services, Inc.</w:t>
            </w:r>
          </w:p>
        </w:tc>
        <w:tc>
          <w:tcPr>
            <w:tcW w:w="2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Fuel Transportation Services</w:t>
            </w:r>
          </w:p>
        </w:tc>
        <w:tc>
          <w:tcPr>
            <w:tcW w:w="2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 Stock (33,107 shares)</w:t>
            </w:r>
          </w:p>
        </w:tc>
        <w:tc>
          <w:tcPr>
            <w:tcW w:w="78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1,492</w:t>
            </w: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10,332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9,044</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0"/>
        </w:trPr>
        <w:tc>
          <w:tcPr>
            <w:tcW w:w="3160" w:type="dxa"/>
            <w:vAlign w:val="bottom"/>
            <w:gridSpan w:val="3"/>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Print Direction, Inc.</w:t>
            </w:r>
          </w:p>
        </w:tc>
        <w:tc>
          <w:tcPr>
            <w:tcW w:w="2700" w:type="dxa"/>
            <w:vAlign w:val="bottom"/>
            <w:gridSpan w:val="2"/>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Printing Services</w:t>
            </w:r>
          </w:p>
        </w:tc>
        <w:tc>
          <w:tcPr>
            <w:tcW w:w="2720" w:type="dxa"/>
            <w:vAlign w:val="bottom"/>
            <w:gridSpan w:val="2"/>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Subordinated Debt (12% Cash, 6% PIK, Due</w:t>
            </w: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160" w:type="dxa"/>
            <w:vAlign w:val="bottom"/>
            <w:gridSpan w:val="3"/>
            <w:vMerge w:val="continue"/>
          </w:tcPr>
          <w:p>
            <w:pPr>
              <w:spacing w:after="0"/>
              <w:rPr>
                <w:sz w:val="11"/>
                <w:szCs w:val="11"/>
                <w:color w:val="auto"/>
              </w:rPr>
            </w:pPr>
          </w:p>
        </w:tc>
        <w:tc>
          <w:tcPr>
            <w:tcW w:w="2700" w:type="dxa"/>
            <w:vAlign w:val="bottom"/>
            <w:gridSpan w:val="2"/>
            <w:vMerge w:val="continue"/>
          </w:tcPr>
          <w:p>
            <w:pPr>
              <w:spacing w:after="0"/>
              <w:rPr>
                <w:sz w:val="11"/>
                <w:szCs w:val="11"/>
                <w:color w:val="auto"/>
              </w:rPr>
            </w:pPr>
          </w:p>
        </w:tc>
        <w:tc>
          <w:tcPr>
            <w:tcW w:w="2720" w:type="dxa"/>
            <w:vAlign w:val="bottom"/>
            <w:gridSpan w:val="2"/>
            <w:vMerge w:val="continue"/>
          </w:tcPr>
          <w:p>
            <w:pPr>
              <w:spacing w:after="0"/>
              <w:rPr>
                <w:sz w:val="11"/>
                <w:szCs w:val="11"/>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2,549</w:t>
            </w:r>
          </w:p>
        </w:tc>
        <w:tc>
          <w:tcPr>
            <w:tcW w:w="80" w:type="dxa"/>
            <w:vAlign w:val="bottom"/>
          </w:tcPr>
          <w:p>
            <w:pPr>
              <w:spacing w:after="0"/>
              <w:rPr>
                <w:sz w:val="11"/>
                <w:szCs w:val="11"/>
                <w:color w:val="auto"/>
              </w:rPr>
            </w:pP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2,549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2,550</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9/27/13)</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Print Direction, Inc.</w:t>
            </w:r>
          </w:p>
        </w:tc>
        <w:tc>
          <w:tcPr>
            <w:tcW w:w="2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Printing Services</w:t>
            </w:r>
          </w:p>
        </w:tc>
        <w:tc>
          <w:tcPr>
            <w:tcW w:w="27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Subordinated Debt (7.75% Cash, Due</w:t>
            </w:r>
          </w:p>
        </w:tc>
        <w:tc>
          <w:tcPr>
            <w:tcW w:w="7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454</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9/27/13)</w:t>
            </w: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Print Direction, Inc.</w:t>
            </w:r>
          </w:p>
        </w:tc>
        <w:tc>
          <w:tcPr>
            <w:tcW w:w="27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Printing Services</w:t>
            </w:r>
          </w:p>
        </w:tc>
        <w:tc>
          <w:tcPr>
            <w:tcW w:w="27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Subordinated Debt (12% Cash, 6% PIK, Due</w:t>
            </w:r>
          </w:p>
        </w:tc>
        <w:tc>
          <w:tcPr>
            <w:tcW w:w="7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763</w:t>
            </w:r>
          </w:p>
        </w:tc>
        <w:tc>
          <w:tcPr>
            <w:tcW w:w="80" w:type="dxa"/>
            <w:vAlign w:val="bottom"/>
          </w:tcPr>
          <w:p>
            <w:pPr>
              <w:spacing w:after="0"/>
              <w:rPr>
                <w:sz w:val="10"/>
                <w:szCs w:val="10"/>
                <w:color w:val="auto"/>
              </w:rPr>
            </w:pP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763</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9/27/13)</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Print Direction, Inc.</w:t>
            </w:r>
          </w:p>
        </w:tc>
        <w:tc>
          <w:tcPr>
            <w:tcW w:w="2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Printing Services</w:t>
            </w:r>
          </w:p>
        </w:tc>
        <w:tc>
          <w:tcPr>
            <w:tcW w:w="2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(14,603 shares)</w:t>
            </w:r>
          </w:p>
        </w:tc>
        <w:tc>
          <w:tcPr>
            <w:tcW w:w="78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1,575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4,418</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5,341</w:t>
            </w:r>
          </w:p>
        </w:tc>
        <w:tc>
          <w:tcPr>
            <w:tcW w:w="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8,185</w:t>
            </w:r>
          </w:p>
        </w:tc>
        <w:tc>
          <w:tcPr>
            <w:tcW w:w="180" w:type="dxa"/>
            <w:vAlign w:val="bottom"/>
            <w:vMerge w:val="continue"/>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3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Vita Nonwovens</w:t>
            </w:r>
          </w:p>
        </w:tc>
        <w:tc>
          <w:tcPr>
            <w:tcW w:w="2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Textile Manufacturer</w:t>
            </w:r>
          </w:p>
        </w:tc>
        <w:tc>
          <w:tcPr>
            <w:tcW w:w="27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Subordinated Debt (14% Cash, 4% PIK, Due</w:t>
            </w: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1,115</w:t>
            </w: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1,115</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8/31/17)</w:t>
            </w: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Vita Nonwovens</w:t>
            </w:r>
          </w:p>
        </w:tc>
        <w:tc>
          <w:tcPr>
            <w:tcW w:w="2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Textile Manufacturer</w:t>
            </w:r>
          </w:p>
        </w:tc>
        <w:tc>
          <w:tcPr>
            <w:tcW w:w="2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Class A Preferred United (475,000 units)</w:t>
            </w:r>
          </w:p>
        </w:tc>
        <w:tc>
          <w:tcPr>
            <w:tcW w:w="78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1,590</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3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 Total Control investments</w:t>
            </w: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60" w:type="dxa"/>
            <w:vAlign w:val="bottom"/>
            <w:gridSpan w:val="3"/>
            <w:vMerge w:val="continue"/>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43,434</w:t>
            </w:r>
          </w:p>
        </w:tc>
        <w:tc>
          <w:tcPr>
            <w:tcW w:w="10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68,353</w:t>
            </w:r>
          </w:p>
        </w:tc>
        <w:tc>
          <w:tcPr>
            <w:tcW w:w="180" w:type="dxa"/>
            <w:vAlign w:val="bottom"/>
            <w:vMerge w:val="continue"/>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INVESTMENTS - 199.3%</w:t>
            </w: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w w:val="85"/>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227,698</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283,931</w:t>
            </w: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of the original investment has been extended</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deterioration in credit quality, this investment is on non-accrual status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investments are income producing. Equity and warrant investments are non-income producing, unless otherwise noted.</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are based on net assets of $142,433 as of December 31, 2012.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investment is income producing.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General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Limited</w:t>
            </w:r>
          </w:p>
        </w:tc>
        <w:tc>
          <w:tcPr>
            <w:tcW w:w="114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Par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Paid in</w:t>
            </w:r>
          </w:p>
        </w:tc>
        <w:tc>
          <w:tcPr>
            <w:tcW w:w="140" w:type="dxa"/>
            <w:vAlign w:val="bottom"/>
          </w:tcPr>
          <w:p>
            <w:pPr>
              <w:spacing w:after="0"/>
              <w:rPr>
                <w:sz w:val="10"/>
                <w:szCs w:val="10"/>
                <w:color w:val="auto"/>
              </w:rPr>
            </w:pPr>
          </w:p>
        </w:tc>
        <w:tc>
          <w:tcPr>
            <w:tcW w:w="11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Net Realized</w:t>
            </w:r>
          </w:p>
        </w:tc>
        <w:tc>
          <w:tcPr>
            <w:tcW w:w="12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Appreciation on</w:t>
            </w: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9"/>
              </w:rPr>
              <w:t>Partners</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2012</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70,366</w:t>
            </w:r>
          </w:p>
        </w:tc>
        <w:tc>
          <w:tcPr>
            <w:tcW w:w="11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7,783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21,176</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Partners’ capital contributions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6,992</w:t>
            </w:r>
          </w:p>
        </w:tc>
        <w:tc>
          <w:tcPr>
            <w:tcW w:w="11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Distribution to partners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(11,121)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investment income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9,031</w:t>
            </w:r>
          </w:p>
        </w:tc>
        <w:tc>
          <w:tcPr>
            <w:tcW w:w="100" w:type="dxa"/>
            <w:vAlign w:val="bottom"/>
          </w:tcPr>
          <w:p>
            <w:pPr>
              <w:spacing w:after="0"/>
              <w:rPr>
                <w:sz w:val="18"/>
                <w:szCs w:val="18"/>
                <w:color w:val="auto"/>
              </w:rPr>
            </w:pP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realized gain on portfolio investments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change in unrealized appreciation on</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portfolio investments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21,315</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21,315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77,358</w:t>
            </w:r>
          </w:p>
        </w:tc>
        <w:tc>
          <w:tcPr>
            <w:tcW w:w="11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6,221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42,491</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126,352</w:t>
            </w:r>
          </w:p>
        </w:tc>
        <w:tc>
          <w:tcPr>
            <w:tcW w:w="0" w:type="dxa"/>
            <w:vAlign w:val="bottom"/>
          </w:tcPr>
          <w:p>
            <w:pPr>
              <w:spacing w:after="0"/>
              <w:rPr>
                <w:sz w:val="1"/>
                <w:szCs w:val="1"/>
                <w:color w:val="auto"/>
              </w:rPr>
            </w:pPr>
          </w:p>
        </w:tc>
      </w:tr>
      <w:tr>
        <w:trPr>
          <w:trHeight w:val="20"/>
        </w:trPr>
        <w:tc>
          <w:tcPr>
            <w:tcW w:w="3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January 1, 2013</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77,358</w:t>
            </w:r>
          </w:p>
        </w:tc>
        <w:tc>
          <w:tcPr>
            <w:tcW w:w="11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8,560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56,233</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Partners’ capital contributions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24,852</w:t>
            </w:r>
          </w:p>
        </w:tc>
        <w:tc>
          <w:tcPr>
            <w:tcW w:w="11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 to partners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(7,421)</w:t>
            </w:r>
          </w:p>
        </w:tc>
        <w:tc>
          <w:tcPr>
            <w:tcW w:w="100" w:type="dxa"/>
            <w:vAlign w:val="bottom"/>
          </w:tcPr>
          <w:p>
            <w:pPr>
              <w:spacing w:after="0"/>
              <w:rPr>
                <w:sz w:val="18"/>
                <w:szCs w:val="18"/>
                <w:color w:val="auto"/>
              </w:rPr>
            </w:pP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Formation transactions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(102,210)</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8,974,420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114,198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Public offering of common stock</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4,000,000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75,960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investment income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13,385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realized gain on portfolio investments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Pr>
          <w:p>
            <w:pPr>
              <w:spacing w:after="0"/>
              <w:rPr>
                <w:sz w:val="18"/>
                <w:szCs w:val="18"/>
                <w:color w:val="auto"/>
              </w:rPr>
            </w:pP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change in unrealized appreciation on</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portfolio investments</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28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September 30, 2013</w:t>
            </w:r>
          </w:p>
        </w:tc>
        <w:tc>
          <w:tcPr>
            <w:tcW w:w="2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12,974,420</w:t>
            </w:r>
          </w:p>
        </w:tc>
        <w:tc>
          <w:tcPr>
            <w:tcW w:w="28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130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190,158</w:t>
            </w:r>
          </w:p>
        </w:tc>
        <w:tc>
          <w:tcPr>
            <w:tcW w:w="140" w:type="dxa"/>
            <w:vAlign w:val="bottom"/>
          </w:tcPr>
          <w:p>
            <w:pPr>
              <w:spacing w:after="0"/>
              <w:rPr>
                <w:sz w:val="24"/>
                <w:szCs w:val="24"/>
                <w:color w:val="auto"/>
              </w:rPr>
            </w:pP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16,759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62,675</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269,722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640" w:type="dxa"/>
            <w:vAlign w:val="bottom"/>
            <w:gridSpan w:val="16"/>
          </w:tcPr>
          <w:p>
            <w:pPr>
              <w:ind w:left="6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2"/>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60" w:type="dxa"/>
            <w:vAlign w:val="bottom"/>
          </w:tcPr>
          <w:p>
            <w:pPr>
              <w:spacing w:after="0"/>
              <w:rPr>
                <w:sz w:val="13"/>
                <w:szCs w:val="13"/>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2"/>
          </w:tcPr>
          <w:p>
            <w:pPr>
              <w:jc w:val="right"/>
              <w:ind w:right="1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1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2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0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22,062</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30,874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increase in net assets resulting from operations to net cash used in</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Purchase of portfolio investments</w:t>
            </w:r>
          </w:p>
        </w:tc>
        <w:tc>
          <w:tcPr>
            <w:tcW w:w="140" w:type="dxa"/>
            <w:vAlign w:val="bottom"/>
          </w:tcPr>
          <w:p>
            <w:pPr>
              <w:spacing w:after="0"/>
              <w:rPr>
                <w:sz w:val="18"/>
                <w:szCs w:val="18"/>
                <w:color w:val="auto"/>
              </w:rPr>
            </w:pPr>
          </w:p>
        </w:tc>
        <w:tc>
          <w:tcPr>
            <w:tcW w:w="19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(75,817)</w:t>
            </w: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Repayments of portfolio investments</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50,209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realized gain on portfolio investments</w:t>
            </w:r>
          </w:p>
        </w:tc>
        <w:tc>
          <w:tcPr>
            <w:tcW w:w="140" w:type="dxa"/>
            <w:vAlign w:val="bottom"/>
          </w:tcPr>
          <w:p>
            <w:pPr>
              <w:spacing w:after="0"/>
              <w:rPr>
                <w:sz w:val="18"/>
                <w:szCs w:val="18"/>
                <w:color w:val="auto"/>
              </w:rPr>
            </w:pPr>
          </w:p>
        </w:tc>
        <w:tc>
          <w:tcPr>
            <w:tcW w:w="19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(2,235)</w:t>
            </w: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Increase in net unrealized appreciation on portfolio investments</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(6,442)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Payment-in-kind interest accrued, net of payments received</w:t>
            </w:r>
          </w:p>
        </w:tc>
        <w:tc>
          <w:tcPr>
            <w:tcW w:w="140" w:type="dxa"/>
            <w:vAlign w:val="bottom"/>
          </w:tcPr>
          <w:p>
            <w:pPr>
              <w:spacing w:after="0"/>
              <w:rPr>
                <w:sz w:val="18"/>
                <w:szCs w:val="18"/>
                <w:color w:val="auto"/>
              </w:rPr>
            </w:pPr>
          </w:p>
        </w:tc>
        <w:tc>
          <w:tcPr>
            <w:tcW w:w="19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(930)</w:t>
            </w: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Accretion of original issue discount on portfolio investments</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140" w:type="dxa"/>
            <w:vAlign w:val="bottom"/>
          </w:tcPr>
          <w:p>
            <w:pPr>
              <w:spacing w:after="0"/>
              <w:rPr>
                <w:sz w:val="18"/>
                <w:szCs w:val="18"/>
                <w:color w:val="auto"/>
              </w:rPr>
            </w:pPr>
          </w:p>
        </w:tc>
        <w:tc>
          <w:tcPr>
            <w:tcW w:w="19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522</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Interest and dividends receivable</w:t>
            </w:r>
          </w:p>
        </w:tc>
        <w:tc>
          <w:tcPr>
            <w:tcW w:w="140" w:type="dxa"/>
            <w:vAlign w:val="bottom"/>
          </w:tcPr>
          <w:p>
            <w:pPr>
              <w:spacing w:after="0"/>
              <w:rPr>
                <w:sz w:val="18"/>
                <w:szCs w:val="18"/>
                <w:color w:val="auto"/>
              </w:rPr>
            </w:pPr>
          </w:p>
        </w:tc>
        <w:tc>
          <w:tcPr>
            <w:tcW w:w="19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tcPr>
          <w:p>
            <w:pPr>
              <w:spacing w:after="0"/>
              <w:rPr>
                <w:sz w:val="18"/>
                <w:szCs w:val="18"/>
                <w:color w:val="auto"/>
              </w:rPr>
            </w:pPr>
          </w:p>
        </w:tc>
        <w:tc>
          <w:tcPr>
            <w:tcW w:w="19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(1,719)</w:t>
            </w: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Due to related parties</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8"/>
                <w:szCs w:val="18"/>
                <w:color w:val="auto"/>
              </w:rPr>
            </w:pPr>
          </w:p>
        </w:tc>
        <w:tc>
          <w:tcPr>
            <w:tcW w:w="19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(14,767)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(26,737)</w:t>
            </w:r>
          </w:p>
        </w:tc>
        <w:tc>
          <w:tcPr>
            <w:tcW w:w="0" w:type="dxa"/>
            <w:vAlign w:val="bottom"/>
          </w:tcPr>
          <w:p>
            <w:pPr>
              <w:spacing w:after="0"/>
              <w:rPr>
                <w:sz w:val="1"/>
                <w:szCs w:val="1"/>
                <w:color w:val="auto"/>
              </w:rPr>
            </w:pPr>
          </w:p>
        </w:tc>
      </w:tr>
      <w:tr>
        <w:trPr>
          <w:trHeight w:val="331"/>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SBA-guaranteed debentures</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Partners’ capital contributions</w:t>
            </w:r>
          </w:p>
        </w:tc>
        <w:tc>
          <w:tcPr>
            <w:tcW w:w="140" w:type="dxa"/>
            <w:vAlign w:val="bottom"/>
          </w:tcPr>
          <w:p>
            <w:pPr>
              <w:spacing w:after="0"/>
              <w:rPr>
                <w:sz w:val="18"/>
                <w:szCs w:val="18"/>
                <w:color w:val="auto"/>
              </w:rPr>
            </w:pPr>
          </w:p>
        </w:tc>
        <w:tc>
          <w:tcPr>
            <w:tcW w:w="19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24,852</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IPO, net of underwriting expense</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76,000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Distributions paid</w:t>
            </w:r>
          </w:p>
        </w:tc>
        <w:tc>
          <w:tcPr>
            <w:tcW w:w="140" w:type="dxa"/>
            <w:vAlign w:val="bottom"/>
          </w:tcPr>
          <w:p>
            <w:pPr>
              <w:spacing w:after="0"/>
              <w:rPr>
                <w:sz w:val="18"/>
                <w:szCs w:val="18"/>
                <w:color w:val="auto"/>
              </w:rPr>
            </w:pPr>
          </w:p>
        </w:tc>
        <w:tc>
          <w:tcPr>
            <w:tcW w:w="19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(7,421)</w:t>
            </w: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financing fees paid</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(606)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117,825</w:t>
            </w:r>
          </w:p>
        </w:tc>
        <w:tc>
          <w:tcPr>
            <w:tcW w:w="8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103,058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30,467</w:t>
            </w:r>
          </w:p>
        </w:tc>
        <w:tc>
          <w:tcPr>
            <w:tcW w:w="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133,525</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27,539</w:t>
            </w:r>
          </w:p>
        </w:tc>
        <w:tc>
          <w:tcPr>
            <w:tcW w:w="0" w:type="dxa"/>
            <w:vAlign w:val="bottom"/>
          </w:tcPr>
          <w:p>
            <w:pPr>
              <w:spacing w:after="0"/>
              <w:rPr>
                <w:sz w:val="1"/>
                <w:szCs w:val="1"/>
                <w:color w:val="auto"/>
              </w:rPr>
            </w:pPr>
          </w:p>
        </w:tc>
      </w:tr>
      <w:tr>
        <w:trPr>
          <w:trHeight w:val="331"/>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7,828</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4,350</w:t>
            </w:r>
          </w:p>
        </w:tc>
        <w:tc>
          <w:tcPr>
            <w:tcW w:w="0" w:type="dxa"/>
            <w:vAlign w:val="bottom"/>
          </w:tcPr>
          <w:p>
            <w:pPr>
              <w:spacing w:after="0"/>
              <w:rPr>
                <w:sz w:val="1"/>
                <w:szCs w:val="1"/>
                <w:color w:val="auto"/>
              </w:rPr>
            </w:pPr>
          </w:p>
        </w:tc>
      </w:tr>
      <w:tr>
        <w:trPr>
          <w:trHeight w:val="331"/>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NON-CASH FINANCING TRANSACTIONS</w:t>
            </w: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In-kind contribution of assets</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11,796</w:t>
            </w:r>
          </w:p>
        </w:tc>
        <w:tc>
          <w:tcPr>
            <w:tcW w:w="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CAPITALA FINANCE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2013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21"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Capitala Finance Corp. (the “Company”, “we”, “us”, and “our”) is a newly formed, externally managed non-diversified closed-end management investment company incorporated in Maryland that has elected to be treated as a business development company (“BDC”) under the Investment Company Act of 1940, as amended (the “1940 Act”). We commenced operations on May 24, 2013 and completed our initial public offering (“IPO”) on September 30, 2013. The Company is managed by Capitala Investment Advisors, LLC (the “Investment Advisor”), an investment adviser that is registered as an investment adviser under the Investment Advisers Act of 1940, as amended (the “Advisers Act”), and Capitala Advisors Corp. (the “Administrator”) provides the administrative services necessary for us to operate. In addition, for U.S. federal income tax purposes, the Company intends to elect to be treated as a regulated investment company (“RIC”) commencing with our tax year ending December 31, 2013, under Subchapter M of the Internal Revenue Code of 1986, as amended (the “Code”).</w:t>
      </w:r>
    </w:p>
    <w:p>
      <w:pPr>
        <w:spacing w:after="0" w:line="185"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smaller and lower middle market companies.</w:t>
      </w:r>
    </w:p>
    <w:p>
      <w:pPr>
        <w:spacing w:after="0" w:line="184"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The Company’s investment objective is to generate both current income and capital appreciation through debt and equity investments. Both directly and through our subsidiaries that are licensed by the U.S. Small Business Administration (“SBA”) under the Small Business Investment Company (“SBIC”) Act, we offer customized financing to business owners, management teams and financial sponsors for change of ownership transactions, recapitalizations, strategic acquisitions, business expansion and other growth initiatives. We invest primarily in traditional mezzanine, senior subordinated and unitranche debt, as well as senior and second-lien loans and, to a lesser extent, equity securities issued by smaller and lower middle-market companies.</w:t>
      </w:r>
    </w:p>
    <w:p>
      <w:pPr>
        <w:spacing w:after="0" w:line="184"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Fund’s wholly-owned subsidiaries. Fund II and Fund III retained their SBIC licenses, continue to hold their existing investments and continue to make new investments. The IPO consisted of the sale of 4,000,000 shares of the Company’s common stock at a price of $20.00 per share resulting in net proceeds to the Company of $76,000,000, after deducting underwriting fees and commissions totaling $4,000,000. The other costs of the IPO were borne by the limited partners of the Legacy Funds. As of September 30, 2013, the Company had 12,974,420 shares of common stock outstanding.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40" w:firstLine="913"/>
        <w:spacing w:after="0" w:line="254" w:lineRule="auto"/>
        <w:rPr>
          <w:sz w:val="20"/>
          <w:szCs w:val="20"/>
          <w:color w:val="auto"/>
        </w:rPr>
      </w:pPr>
      <w:r>
        <w:rPr>
          <w:rFonts w:ascii="Times New Roman" w:cs="Times New Roman" w:eastAsia="Times New Roman" w:hAnsi="Times New Roman"/>
          <w:sz w:val="18"/>
          <w:szCs w:val="18"/>
          <w:color w:val="auto"/>
        </w:rPr>
        <w:t xml:space="preserve">The accompanying financial statements have been prepared on the accrual basis of accounting in conformity with U.S. generally accepted accounting principles (“U.S. GAAP”). Accordingly, certain disclosures accompanying annual consolidated financial statements prepared in accordance with U.S. GAAP are omitted. The financial statements of the Company include the accounts of the Company and its wholly-owned subsidiaries as described in the Formation Transactions presented in Note 1. The transactions related to Fund II, Fund III, and the Florida Sidecar constitute an exchange of shares between entities under common control and will be accounted for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 such, the Company’s results of operations and cash flows for the three and nine month periods ended September 30, 2013 are presented as if the aforementioned transactions had occurred as of January 1, 2013. In addition, the results of the Company’s operations and cash flows for the three and nine month periods ended September 30, 2012 and the Company’s financial position as of December 31, 2012 have been presented on a combined basis in order to provide comparative information with respect to prior periods. The Formation Transactions also included an asset acquisition of certain assets in Fund I and Fund III Parent.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assets acquired were recorded at fair value at the date of acquisition, September 24, 2013.</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913"/>
        <w:spacing w:after="0" w:line="261" w:lineRule="auto"/>
        <w:rPr>
          <w:sz w:val="20"/>
          <w:szCs w:val="20"/>
          <w:color w:val="auto"/>
        </w:rPr>
      </w:pPr>
      <w:r>
        <w:rPr>
          <w:rFonts w:ascii="Times New Roman" w:cs="Times New Roman" w:eastAsia="Times New Roman" w:hAnsi="Times New Roman"/>
          <w:sz w:val="18"/>
          <w:szCs w:val="18"/>
          <w:color w:val="auto"/>
        </w:rPr>
        <w:t>The Company’s financial position as of September 30, 2013 is presented on a consolidated basis. The effects of all intercompany transactions between the Company and its subsidiaries (Fund II, Fund III, and the Florida Sidecar) have been eliminated in consolidation. All financial data and information included in these financial statements have been presented on the basis described above. In the opinion of management, the financial statements reflect all adjustments that are necessary for the fair presentation of financial results as of and for the periods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121" w:lineRule="exact"/>
        <w:rPr>
          <w:sz w:val="20"/>
          <w:szCs w:val="20"/>
          <w:color w:val="auto"/>
        </w:rPr>
      </w:pPr>
    </w:p>
    <w:p>
      <w:pPr>
        <w:ind w:right="200" w:firstLine="913"/>
        <w:spacing w:after="0" w:line="282"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and assumptions that affect the amounts reported in the financial statements and accompanying notes. Actual results could differ from those estimates.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120" w:firstLine="913"/>
        <w:spacing w:after="0" w:line="266" w:lineRule="auto"/>
        <w:rPr>
          <w:sz w:val="20"/>
          <w:szCs w:val="20"/>
          <w:color w:val="auto"/>
        </w:rPr>
      </w:pPr>
      <w:r>
        <w:rPr>
          <w:rFonts w:ascii="Times New Roman" w:cs="Times New Roman" w:eastAsia="Times New Roman" w:hAnsi="Times New Roman"/>
          <w:sz w:val="18"/>
          <w:szCs w:val="18"/>
          <w:color w:val="auto"/>
        </w:rPr>
        <w:t>The Company considers cash equivalents to be highly liquid investments with original maturities of three months or less at the date of purchase. Cash and cash equivalents include deposits in money market accounts. The Company deposits its cash in financial institutions and, at times, such balances may be in excess of the Federal Deposit Insurance Corporation (“FDIC”) insurance limits.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Classification</w:t>
      </w:r>
    </w:p>
    <w:p>
      <w:pPr>
        <w:spacing w:after="0" w:line="121" w:lineRule="exact"/>
        <w:rPr>
          <w:sz w:val="20"/>
          <w:szCs w:val="20"/>
          <w:color w:val="auto"/>
        </w:rPr>
      </w:pPr>
    </w:p>
    <w:p>
      <w:pPr>
        <w:ind w:right="140" w:firstLine="913"/>
        <w:spacing w:after="0" w:line="255" w:lineRule="auto"/>
        <w:rPr>
          <w:sz w:val="20"/>
          <w:szCs w:val="20"/>
          <w:color w:val="auto"/>
        </w:rPr>
      </w:pPr>
      <w:r>
        <w:rPr>
          <w:rFonts w:ascii="Times New Roman" w:cs="Times New Roman" w:eastAsia="Times New Roman" w:hAnsi="Times New Roman"/>
          <w:sz w:val="18"/>
          <w:szCs w:val="18"/>
          <w:color w:val="auto"/>
        </w:rPr>
        <w:t>In accordance with the provisions of the 1940 Act, the Company classifies investment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Investments</w:t>
      </w:r>
    </w:p>
    <w:p>
      <w:pPr>
        <w:spacing w:after="0" w:line="119"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fair value accounting to all of its financial instruments in accordance with the 1940 Act and ASC Topic 820 -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 and Disclosures</w:t>
      </w:r>
      <w:r>
        <w:rPr>
          <w:rFonts w:ascii="Times New Roman" w:cs="Times New Roman" w:eastAsia="Times New Roman" w:hAnsi="Times New Roman"/>
          <w:sz w:val="18"/>
          <w:szCs w:val="18"/>
          <w:color w:val="auto"/>
        </w:rPr>
        <w:t>. ASC 820 defines fair value, establishes a framework used to measure fair value and requires disclosures for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measurements. In accordance with ASC 820, the Company has categorized its financial instruments carried at fair value, based on the priority of the valuation technique, into a three-level fair value hierarchy as discussed in Note 3.</w:t>
      </w:r>
    </w:p>
    <w:p>
      <w:pPr>
        <w:spacing w:after="0" w:line="182"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In determining fair value, our board of directors uses various valuation approaches, and engages a third-party valuation firm, which provides an independent review of certain investments.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76" w:lineRule="exact"/>
        <w:rPr>
          <w:sz w:val="20"/>
          <w:szCs w:val="20"/>
          <w:color w:val="auto"/>
        </w:rPr>
      </w:pPr>
    </w:p>
    <w:p>
      <w:pPr>
        <w:jc w:val="both"/>
        <w:ind w:right="500" w:firstLine="913"/>
        <w:spacing w:after="0" w:line="266" w:lineRule="auto"/>
        <w:rPr>
          <w:sz w:val="20"/>
          <w:szCs w:val="20"/>
          <w:color w:val="auto"/>
        </w:rPr>
      </w:pPr>
      <w:r>
        <w:rPr>
          <w:rFonts w:ascii="Times New Roman" w:cs="Times New Roman" w:eastAsia="Times New Roman" w:hAnsi="Times New Roman"/>
          <w:sz w:val="18"/>
          <w:szCs w:val="18"/>
          <w:color w:val="auto"/>
        </w:rPr>
        <w:t>Observable inputs are those that market participants would use in pricing the asset or liability based on market data obtained from sources independent of the board of directors. Unobservable inputs reflect the board of directors’ assumptions about the inputs market participants would use in pricing the asset or liability developed based upon the best information available in the circumstances</w:t>
      </w:r>
    </w:p>
    <w:p>
      <w:pPr>
        <w:spacing w:after="0" w:line="176"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of directors in determining fair value is greatest for securities categorized in Level 3. In certain cases, the inputs used to measure fair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62"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Techniques</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Senior and Subordinated Secured Loans</w:t>
      </w:r>
    </w:p>
    <w:p>
      <w:pPr>
        <w:spacing w:after="0" w:line="119" w:lineRule="exact"/>
        <w:rPr>
          <w:sz w:val="20"/>
          <w:szCs w:val="20"/>
          <w:color w:val="auto"/>
        </w:rPr>
      </w:pPr>
    </w:p>
    <w:p>
      <w:pPr>
        <w:ind w:right="80" w:firstLine="913"/>
        <w:spacing w:after="0" w:line="256" w:lineRule="auto"/>
        <w:rPr>
          <w:sz w:val="20"/>
          <w:szCs w:val="20"/>
          <w:color w:val="auto"/>
        </w:rPr>
      </w:pPr>
      <w:r>
        <w:rPr>
          <w:rFonts w:ascii="Times New Roman" w:cs="Times New Roman" w:eastAsia="Times New Roman" w:hAnsi="Times New Roman"/>
          <w:sz w:val="18"/>
          <w:szCs w:val="18"/>
          <w:color w:val="auto"/>
        </w:rPr>
        <w:t>The Company’s portfolio primarily consists of private debt instruments (“Level 3 debt”). We consider our Level 3 debt to be performing loans if the borrower is not in default, the borrower is remitting payments in a timely manner, the loan is in covenant compliance or is otherwise not deemed to be impaired. In determining the fair value of the performing Level 3 debt, the Company’s board of directors considers fluctuations in current interest rates, the trends in yields of debt instruments with similar credit ratings (if applicable), the financial condition of the borrower, economic conditions and other relevant factors, both qualitative and quantitative. In the event that a Level 3 debt instrument is not performing, as defined above, the board of directors will evaluate the value of the collateral utilizing the same framework described above for a performing loan to determine the value of the Level 3 debt instrument.</w:t>
      </w:r>
    </w:p>
    <w:p>
      <w:pPr>
        <w:spacing w:after="0" w:line="188" w:lineRule="exact"/>
        <w:rPr>
          <w:sz w:val="20"/>
          <w:szCs w:val="20"/>
          <w:color w:val="auto"/>
        </w:rPr>
      </w:pPr>
    </w:p>
    <w:p>
      <w:pPr>
        <w:ind w:right="80" w:firstLine="913"/>
        <w:spacing w:after="0" w:line="261" w:lineRule="auto"/>
        <w:rPr>
          <w:sz w:val="20"/>
          <w:szCs w:val="20"/>
          <w:color w:val="auto"/>
        </w:rPr>
      </w:pPr>
      <w:r>
        <w:rPr>
          <w:rFonts w:ascii="Times New Roman" w:cs="Times New Roman" w:eastAsia="Times New Roman" w:hAnsi="Times New Roman"/>
          <w:sz w:val="18"/>
          <w:szCs w:val="18"/>
          <w:color w:val="auto"/>
        </w:rPr>
        <w:t>This evaluation will be updated no less than quarterly for Level 3 debt instruments that are not performing, and more frequently for time periods where there are significant changes in the collateral or significant changes in the perceived performance of the underlying portfolio company. The collateral value will be analyzed on an ongoing basis using internal metrics, appraisals, third-party valuation agents and other data as may be acquired and analyzed by our management and board of directors.</w:t>
      </w:r>
    </w:p>
    <w:p>
      <w:pPr>
        <w:spacing w:after="0" w:line="2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Equity Investments in Private Companies</w:t>
      </w:r>
    </w:p>
    <w:p>
      <w:pPr>
        <w:spacing w:after="0" w:line="119" w:lineRule="exact"/>
        <w:rPr>
          <w:sz w:val="20"/>
          <w:szCs w:val="20"/>
          <w:color w:val="auto"/>
        </w:rPr>
      </w:pPr>
    </w:p>
    <w:p>
      <w:pPr>
        <w:jc w:val="both"/>
        <w:ind w:right="80" w:firstLine="913"/>
        <w:spacing w:after="0" w:line="266" w:lineRule="auto"/>
        <w:rPr>
          <w:sz w:val="20"/>
          <w:szCs w:val="20"/>
          <w:color w:val="auto"/>
        </w:rPr>
      </w:pPr>
      <w:r>
        <w:rPr>
          <w:rFonts w:ascii="Times New Roman" w:cs="Times New Roman" w:eastAsia="Times New Roman" w:hAnsi="Times New Roman"/>
          <w:sz w:val="18"/>
          <w:szCs w:val="18"/>
          <w:color w:val="auto"/>
        </w:rPr>
        <w:t>Our board of directors determines the fair value of its investments in private companies by incorporating valuations that consider the evaluation of financing and sale transactions with third-parties, expected cash flows and market-based information, including comparable transactions, and performance multiples, among other factors, and may use third-party valuation agents. Such non-public investments are included in Level 3 of the fair value hierarchy.</w:t>
      </w:r>
    </w:p>
    <w:p>
      <w:pPr>
        <w:spacing w:after="0" w:line="28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jc w:val="both"/>
        <w:ind w:right="20" w:firstLine="913"/>
        <w:spacing w:after="0" w:line="266" w:lineRule="auto"/>
        <w:rPr>
          <w:sz w:val="20"/>
          <w:szCs w:val="20"/>
          <w:color w:val="auto"/>
        </w:rPr>
      </w:pPr>
      <w:r>
        <w:rPr>
          <w:rFonts w:ascii="Times New Roman" w:cs="Times New Roman" w:eastAsia="Times New Roman" w:hAnsi="Times New Roman"/>
          <w:sz w:val="18"/>
          <w:szCs w:val="18"/>
          <w:color w:val="auto"/>
        </w:rPr>
        <w:t>Our board of directors will ascribe value to warrants based on the fair value of holdings to which they are associated that can include discounted cash flow analyses, option pricing models, comparable analyses and other techniques as deemed appropriate. Such warrants are included in Level 3 of the fair value hierarchy to the extent issued by non-public companies.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Company’s revenue recognition policies are as follows:</w:t>
      </w:r>
    </w:p>
    <w:p>
      <w:pPr>
        <w:spacing w:after="0" w:line="223"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Income and Paid-in Kind Interest: </w:t>
      </w:r>
      <w:r>
        <w:rPr>
          <w:rFonts w:ascii="Times New Roman" w:cs="Times New Roman" w:eastAsia="Times New Roman" w:hAnsi="Times New Roman"/>
          <w:sz w:val="18"/>
          <w:szCs w:val="18"/>
          <w:color w:val="auto"/>
        </w:rPr>
        <w:t>Interest income is recorded on the accrual basis to the extent that such amounts are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collected. The company has loans in the portfolio that contain a payment-in-kind (“PIK”)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80" w:lineRule="exact"/>
        <w:rPr>
          <w:sz w:val="20"/>
          <w:szCs w:val="20"/>
          <w:color w:val="auto"/>
        </w:rPr>
      </w:pPr>
    </w:p>
    <w:p>
      <w:pPr>
        <w:ind w:right="60" w:firstLine="91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Non-accrual income: </w:t>
      </w:r>
      <w:r>
        <w:rPr>
          <w:rFonts w:ascii="Times New Roman" w:cs="Times New Roman" w:eastAsia="Times New Roman" w:hAnsi="Times New Roman"/>
          <w:sz w:val="18"/>
          <w:szCs w:val="18"/>
          <w:color w:val="auto"/>
        </w:rPr>
        <w:t>Generally, when interest and/or principal payments on a loan become past due, or if the Company otherwise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 the borrower to be able to service its debt and other obligations, the Company will place the loan on non-accrual status, and will generally cease recognizing interest income on that loan for financial reporting purposes, until all principal and interest has been brought current through payment or due to a restructuring such that the interest income is deemed to be collectible. The Company writes off any previously accrued and uncollected interest when it is determined that interest is no longer considered collectible. Non-accrual loans are returned to accrual status when all past due principal and interest are current and, in management’s judgment, are likely to remain current.</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 xml:space="preserve">Gains and Losses on investment sales and paydowns: </w:t>
      </w:r>
      <w:r>
        <w:rPr>
          <w:rFonts w:ascii="Times New Roman" w:cs="Times New Roman" w:eastAsia="Times New Roman" w:hAnsi="Times New Roman"/>
          <w:sz w:val="18"/>
          <w:szCs w:val="18"/>
          <w:color w:val="auto"/>
        </w:rPr>
        <w:t>Realized gains and losses on investments are recognized using the specific identification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w:t>
      </w:r>
    </w:p>
    <w:p>
      <w:pPr>
        <w:spacing w:after="0" w:line="2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 xml:space="preserve">Dividend Income: </w:t>
      </w:r>
      <w:r>
        <w:rPr>
          <w:rFonts w:ascii="Times New Roman" w:cs="Times New Roman" w:eastAsia="Times New Roman" w:hAnsi="Times New Roman"/>
          <w:sz w:val="18"/>
          <w:szCs w:val="18"/>
          <w:color w:val="auto"/>
        </w:rPr>
        <w:t>Dividend income is recognized on the date dividends are declared.</w:t>
      </w:r>
    </w:p>
    <w:p>
      <w:pPr>
        <w:spacing w:after="0" w:line="225" w:lineRule="exact"/>
        <w:rPr>
          <w:sz w:val="20"/>
          <w:szCs w:val="20"/>
          <w:color w:val="auto"/>
        </w:rPr>
      </w:pPr>
    </w:p>
    <w:p>
      <w:pPr>
        <w:ind w:right="220" w:firstLine="91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Origination, amendment, closing and/or commitment fees associated with investments in portfolio companies are recognized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when the investment transaction closes. Prepayment penalties received by the Company for debt instruments repaid prior to maturity date are recorded as income upon receipt.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Financing Fees</w:t>
      </w:r>
    </w:p>
    <w:p>
      <w:pPr>
        <w:spacing w:after="0" w:line="121" w:lineRule="exact"/>
        <w:rPr>
          <w:sz w:val="20"/>
          <w:szCs w:val="20"/>
          <w:color w:val="auto"/>
        </w:rPr>
      </w:pPr>
    </w:p>
    <w:p>
      <w:pPr>
        <w:ind w:right="100" w:firstLine="913"/>
        <w:spacing w:after="0" w:line="282" w:lineRule="auto"/>
        <w:rPr>
          <w:sz w:val="20"/>
          <w:szCs w:val="20"/>
          <w:color w:val="auto"/>
        </w:rPr>
      </w:pPr>
      <w:r>
        <w:rPr>
          <w:rFonts w:ascii="Times New Roman" w:cs="Times New Roman" w:eastAsia="Times New Roman" w:hAnsi="Times New Roman"/>
          <w:sz w:val="18"/>
          <w:szCs w:val="18"/>
          <w:color w:val="auto"/>
        </w:rPr>
        <w:t>Costs incurred to issue the SBA-guaranteed debentures payable are capitalized and are amortized over the term of the debt agreements under the straight-line method, which does not differ materially from the effective interest method.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As of September 30, 2013 and December 31, 2012, the Company had no outstanding unfunded commitments.</w:t>
      </w:r>
    </w:p>
    <w:p>
      <w:pPr>
        <w:spacing w:after="0" w:line="225" w:lineRule="exact"/>
        <w:rPr>
          <w:sz w:val="20"/>
          <w:szCs w:val="20"/>
          <w:color w:val="auto"/>
        </w:rPr>
      </w:pPr>
    </w:p>
    <w:p>
      <w:pPr>
        <w:ind w:right="260" w:firstLine="913"/>
        <w:spacing w:after="0" w:line="266" w:lineRule="auto"/>
        <w:rPr>
          <w:sz w:val="20"/>
          <w:szCs w:val="20"/>
          <w:color w:val="auto"/>
        </w:rPr>
      </w:pPr>
      <w:r>
        <w:rPr>
          <w:rFonts w:ascii="Times New Roman" w:cs="Times New Roman" w:eastAsia="Times New Roman" w:hAnsi="Times New Roman"/>
          <w:sz w:val="18"/>
          <w:szCs w:val="18"/>
          <w:color w:val="auto"/>
        </w:rPr>
        <w:t>In the ordinary course of its business, the Company may enter into contracts or agreements that contain indemnifications or warranties. Future events could occur that lead to the execution of these provisions against the Company. Based on its history and experience, management feels that the likelihood of such an event is remote.</w:t>
      </w:r>
    </w:p>
    <w:p>
      <w:pPr>
        <w:spacing w:after="0" w:line="176" w:lineRule="exact"/>
        <w:rPr>
          <w:sz w:val="20"/>
          <w:szCs w:val="20"/>
          <w:color w:val="auto"/>
        </w:rPr>
      </w:pPr>
    </w:p>
    <w:p>
      <w:pPr>
        <w:ind w:right="100" w:firstLine="913"/>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520" w:firstLine="913"/>
        <w:spacing w:after="0" w:line="266" w:lineRule="auto"/>
        <w:rPr>
          <w:sz w:val="20"/>
          <w:szCs w:val="20"/>
          <w:color w:val="auto"/>
        </w:rPr>
      </w:pPr>
      <w:r>
        <w:rPr>
          <w:rFonts w:ascii="Times New Roman" w:cs="Times New Roman" w:eastAsia="Times New Roman" w:hAnsi="Times New Roman"/>
          <w:sz w:val="18"/>
          <w:szCs w:val="18"/>
          <w:color w:val="auto"/>
        </w:rPr>
        <w:t>The Company intends to elect to be treated for federal income tax purposes, and intends to qualify annually thereafter, as a RIC under Subchapter M of the Code and, among other things, intends to make the requisite distributions to its stockholders which will relieve the Company from federal income taxes. Therefore, no provision has been recorded for federal income taxes.</w:t>
      </w:r>
    </w:p>
    <w:p>
      <w:pPr>
        <w:spacing w:after="0" w:line="176" w:lineRule="exact"/>
        <w:rPr>
          <w:sz w:val="20"/>
          <w:szCs w:val="20"/>
          <w:color w:val="auto"/>
        </w:rPr>
      </w:pPr>
    </w:p>
    <w:p>
      <w:pPr>
        <w:ind w:right="60" w:firstLine="913"/>
        <w:spacing w:after="0" w:line="261" w:lineRule="auto"/>
        <w:rPr>
          <w:sz w:val="20"/>
          <w:szCs w:val="20"/>
          <w:color w:val="auto"/>
        </w:rPr>
      </w:pPr>
      <w:r>
        <w:rPr>
          <w:rFonts w:ascii="Times New Roman" w:cs="Times New Roman" w:eastAsia="Times New Roman" w:hAnsi="Times New Roman"/>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0" w:lineRule="exact"/>
        <w:rPr>
          <w:sz w:val="20"/>
          <w:szCs w:val="20"/>
          <w:color w:val="auto"/>
        </w:rPr>
      </w:pPr>
    </w:p>
    <w:p>
      <w:pPr>
        <w:ind w:right="120" w:firstLine="913"/>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80"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87" w:lineRule="exact"/>
        <w:rPr>
          <w:sz w:val="20"/>
          <w:szCs w:val="20"/>
          <w:color w:val="auto"/>
        </w:rPr>
      </w:pPr>
    </w:p>
    <w:p>
      <w:pPr>
        <w:ind w:right="140" w:firstLine="913"/>
        <w:spacing w:after="0" w:line="257" w:lineRule="auto"/>
        <w:rPr>
          <w:sz w:val="20"/>
          <w:szCs w:val="20"/>
          <w:color w:val="auto"/>
        </w:rPr>
      </w:pPr>
      <w:r>
        <w:rPr>
          <w:rFonts w:ascii="Times New Roman" w:cs="Times New Roman" w:eastAsia="Times New Roman" w:hAnsi="Times New Roman"/>
          <w:sz w:val="18"/>
          <w:szCs w:val="18"/>
          <w:color w:val="auto"/>
        </w:rPr>
        <w:t xml:space="preserve">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September 30, 2013 and December 31, 2012, there were no uncertain tax positions.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60" w:firstLine="913"/>
        <w:spacing w:after="0" w:line="282" w:lineRule="auto"/>
        <w:rPr>
          <w:sz w:val="20"/>
          <w:szCs w:val="20"/>
          <w:color w:val="auto"/>
        </w:rPr>
      </w:pPr>
      <w:r>
        <w:rPr>
          <w:rFonts w:ascii="Times New Roman" w:cs="Times New Roman" w:eastAsia="Times New Roman" w:hAnsi="Times New Roman"/>
          <w:sz w:val="18"/>
          <w:szCs w:val="18"/>
          <w:color w:val="auto"/>
        </w:rPr>
        <w:t>Dividends to common stockholders are recorded on the ex-dividend date. The amount to be paid out as a dividend is determined by the board of directors. Net capital gains, if any, are generally distributed at least annually, although we may decide to retain such capital gains for reinvestment.</w:t>
      </w:r>
    </w:p>
    <w:p>
      <w:pPr>
        <w:spacing w:after="0" w:line="162" w:lineRule="exact"/>
        <w:rPr>
          <w:sz w:val="20"/>
          <w:szCs w:val="20"/>
          <w:color w:val="auto"/>
        </w:rPr>
      </w:pPr>
    </w:p>
    <w:p>
      <w:pPr>
        <w:ind w:right="60" w:firstLine="913"/>
        <w:spacing w:after="0" w:line="261" w:lineRule="auto"/>
        <w:rPr>
          <w:sz w:val="20"/>
          <w:szCs w:val="20"/>
          <w:color w:val="auto"/>
        </w:rPr>
      </w:pPr>
      <w:r>
        <w:rPr>
          <w:rFonts w:ascii="Times New Roman" w:cs="Times New Roman" w:eastAsia="Times New Roman" w:hAnsi="Times New Roman"/>
          <w:sz w:val="18"/>
          <w:szCs w:val="18"/>
          <w:color w:val="auto"/>
        </w:rPr>
        <w:t>We have adopted an “opt out” dividend reinvestment plan for our common stockholders. As a result, if we declare a cash dividend or other distribution, each stockholder that has not “opted out” of our dividend reinvestment plan will have its dividends automatically reinvested in additional shares of our common stock rather than receiving cash dividends. Stockholders who receive distributions in the form of shares of common stock will be subject to the same federal, state and local tax consequences as if they received cash distributions.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Investment Risk, Concentration of Credit Risk, and Liquidity Risk</w:t>
      </w:r>
    </w:p>
    <w:p>
      <w:pPr>
        <w:spacing w:after="0" w:line="121" w:lineRule="exact"/>
        <w:rPr>
          <w:sz w:val="20"/>
          <w:szCs w:val="20"/>
          <w:color w:val="auto"/>
        </w:rPr>
      </w:pPr>
    </w:p>
    <w:p>
      <w:pPr>
        <w:ind w:right="180" w:firstLine="913"/>
        <w:spacing w:after="0" w:line="281" w:lineRule="auto"/>
        <w:rPr>
          <w:sz w:val="20"/>
          <w:szCs w:val="20"/>
          <w:color w:val="auto"/>
        </w:rPr>
      </w:pPr>
      <w:r>
        <w:rPr>
          <w:rFonts w:ascii="Times New Roman" w:cs="Times New Roman" w:eastAsia="Times New Roman" w:hAnsi="Times New Roman"/>
          <w:sz w:val="17"/>
          <w:szCs w:val="17"/>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165" w:lineRule="exact"/>
        <w:rPr>
          <w:sz w:val="20"/>
          <w:szCs w:val="20"/>
          <w:color w:val="auto"/>
        </w:rPr>
      </w:pPr>
    </w:p>
    <w:p>
      <w:pPr>
        <w:jc w:val="both"/>
        <w:ind w:right="40" w:firstLine="913"/>
        <w:spacing w:after="0" w:line="261" w:lineRule="auto"/>
        <w:rPr>
          <w:sz w:val="20"/>
          <w:szCs w:val="20"/>
          <w:color w:val="auto"/>
        </w:rPr>
      </w:pPr>
      <w:r>
        <w:rPr>
          <w:rFonts w:ascii="Times New Roman" w:cs="Times New Roman" w:eastAsia="Times New Roman" w:hAnsi="Times New Roman"/>
          <w:sz w:val="18"/>
          <w:szCs w:val="18"/>
          <w:color w:val="auto"/>
        </w:rPr>
        <w:t>The value of the Company’s investments in loans may be detrimentally affected to the extent, among other things, that a borrower defaults on its obligations, there is insufficient collateral and/or there are extensive legal and other costs incurred in collecting on a defaulted loan, observable secondary or primary market yields for similar instruments issued by comparable companies increase materially or risk premiums required in the market between smaller companies, such as our borrowers, and those for which market yields are observable increase materially.</w:t>
      </w:r>
    </w:p>
    <w:p>
      <w:pPr>
        <w:spacing w:after="0" w:line="180" w:lineRule="exact"/>
        <w:rPr>
          <w:sz w:val="20"/>
          <w:szCs w:val="20"/>
          <w:color w:val="auto"/>
        </w:rPr>
      </w:pPr>
    </w:p>
    <w:p>
      <w:pPr>
        <w:ind w:right="500" w:firstLine="913"/>
        <w:spacing w:after="0" w:line="282" w:lineRule="auto"/>
        <w:rPr>
          <w:sz w:val="20"/>
          <w:szCs w:val="20"/>
          <w:color w:val="auto"/>
        </w:rPr>
      </w:pPr>
      <w:r>
        <w:rPr>
          <w:rFonts w:ascii="Times New Roman" w:cs="Times New Roman" w:eastAsia="Times New Roman" w:hAnsi="Times New Roman"/>
          <w:sz w:val="18"/>
          <w:szCs w:val="18"/>
          <w:color w:val="auto"/>
        </w:rPr>
        <w:t>The Investment Advisor may attempt to minimize this risk by maintaining low loan-to-liquidation values with each loan and the collateral underlying the loan.</w:t>
      </w:r>
    </w:p>
    <w:p>
      <w:pPr>
        <w:spacing w:after="0" w:line="162"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composition of our investments as of September 30, 2013, at amortized cost and fair value were as follows (dollars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Investments at</w:t>
            </w:r>
          </w:p>
        </w:tc>
        <w:tc>
          <w:tcPr>
            <w:tcW w:w="17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Investments at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74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600" w:type="dxa"/>
            <w:vAlign w:val="bottom"/>
            <w:gridSpan w:val="3"/>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74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120" w:type="dxa"/>
            <w:vAlign w:val="bottom"/>
          </w:tcPr>
          <w:p>
            <w:pPr>
              <w:spacing w:after="0"/>
              <w:rPr>
                <w:sz w:val="15"/>
                <w:szCs w:val="15"/>
                <w:color w:val="auto"/>
              </w:rPr>
            </w:pPr>
          </w:p>
        </w:tc>
        <w:tc>
          <w:tcPr>
            <w:tcW w:w="14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Debt</w:t>
            </w: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Borders>
              <w:lef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87,247</w:t>
            </w:r>
          </w:p>
        </w:tc>
        <w:tc>
          <w:tcPr>
            <w:tcW w:w="680" w:type="dxa"/>
            <w:vAlign w:val="bottom"/>
            <w:tcBorders>
              <w:left w:val="single" w:sz="8" w:color="CCEEFF"/>
            </w:tcBorders>
            <w:shd w:val="clear" w:color="auto" w:fill="CCEEFF"/>
          </w:tcPr>
          <w:p>
            <w:pPr>
              <w:spacing w:after="0"/>
              <w:rPr>
                <w:sz w:val="18"/>
                <w:szCs w:val="18"/>
                <w:color w:val="auto"/>
              </w:rPr>
            </w:pPr>
          </w:p>
        </w:tc>
        <w:tc>
          <w:tcPr>
            <w:tcW w:w="17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88,232</w:t>
            </w:r>
          </w:p>
        </w:tc>
        <w:tc>
          <w:tcPr>
            <w:tcW w:w="70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127,104</w:t>
            </w:r>
          </w:p>
        </w:tc>
        <w:tc>
          <w:tcPr>
            <w:tcW w:w="680" w:type="dxa"/>
            <w:vAlign w:val="bottom"/>
          </w:tcPr>
          <w:p>
            <w:pPr>
              <w:spacing w:after="0"/>
              <w:rPr>
                <w:sz w:val="18"/>
                <w:szCs w:val="18"/>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123,633</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and Warrants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53,951</w:t>
            </w:r>
          </w:p>
        </w:tc>
        <w:tc>
          <w:tcPr>
            <w:tcW w:w="680" w:type="dxa"/>
            <w:vAlign w:val="bottom"/>
            <w:tcBorders>
              <w:left w:val="single" w:sz="8" w:color="CCEEFF"/>
            </w:tcBorders>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119,112</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vMerge w:val="continue"/>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268,302</w:t>
            </w:r>
          </w:p>
        </w:tc>
        <w:tc>
          <w:tcPr>
            <w:tcW w:w="680" w:type="dxa"/>
            <w:vAlign w:val="bottom"/>
            <w:vMerge w:val="continue"/>
          </w:tcPr>
          <w:p>
            <w:pPr>
              <w:spacing w:after="0"/>
              <w:rPr>
                <w:sz w:val="19"/>
                <w:szCs w:val="19"/>
                <w:color w:val="auto"/>
              </w:rPr>
            </w:pPr>
          </w:p>
        </w:tc>
        <w:tc>
          <w:tcPr>
            <w:tcW w:w="17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330,977</w:t>
            </w:r>
          </w:p>
        </w:tc>
        <w:tc>
          <w:tcPr>
            <w:tcW w:w="700" w:type="dxa"/>
            <w:vAlign w:val="bottom"/>
            <w:vMerge w:val="continue"/>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composition of our investments as of December 31, 2012, at amortized cost and fair value were as follows (dollars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660" w:type="dxa"/>
            <w:vAlign w:val="bottom"/>
            <w:gridSpan w:val="3"/>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Investments at</w:t>
            </w:r>
          </w:p>
        </w:tc>
        <w:tc>
          <w:tcPr>
            <w:tcW w:w="17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Investments at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74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600" w:type="dxa"/>
            <w:vAlign w:val="bottom"/>
            <w:gridSpan w:val="3"/>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74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120" w:type="dxa"/>
            <w:vAlign w:val="bottom"/>
          </w:tcPr>
          <w:p>
            <w:pPr>
              <w:spacing w:after="0"/>
              <w:rPr>
                <w:sz w:val="15"/>
                <w:szCs w:val="15"/>
                <w:color w:val="auto"/>
              </w:rPr>
            </w:pPr>
          </w:p>
        </w:tc>
        <w:tc>
          <w:tcPr>
            <w:tcW w:w="14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Debt</w:t>
            </w: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72,728</w:t>
            </w:r>
          </w:p>
        </w:tc>
        <w:tc>
          <w:tcPr>
            <w:tcW w:w="680" w:type="dxa"/>
            <w:vAlign w:val="bottom"/>
            <w:vMerge w:val="continue"/>
            <w:shd w:val="clear" w:color="auto" w:fill="CCEEFF"/>
          </w:tcPr>
          <w:p>
            <w:pPr>
              <w:spacing w:after="0"/>
              <w:rPr>
                <w:sz w:val="18"/>
                <w:szCs w:val="18"/>
                <w:color w:val="auto"/>
              </w:rPr>
            </w:pPr>
          </w:p>
        </w:tc>
        <w:tc>
          <w:tcPr>
            <w:tcW w:w="17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73,638</w:t>
            </w:r>
          </w:p>
        </w:tc>
        <w:tc>
          <w:tcPr>
            <w:tcW w:w="70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24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109,030</w:t>
            </w: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101,659</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and Warrants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45,940</w:t>
            </w:r>
          </w:p>
        </w:tc>
        <w:tc>
          <w:tcPr>
            <w:tcW w:w="17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108,634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vMerge w:val="continue"/>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227,698</w:t>
            </w:r>
          </w:p>
        </w:tc>
        <w:tc>
          <w:tcPr>
            <w:tcW w:w="680" w:type="dxa"/>
            <w:vAlign w:val="bottom"/>
            <w:vMerge w:val="continue"/>
          </w:tcPr>
          <w:p>
            <w:pPr>
              <w:spacing w:after="0"/>
              <w:rPr>
                <w:sz w:val="19"/>
                <w:szCs w:val="19"/>
                <w:color w:val="auto"/>
              </w:rPr>
            </w:pPr>
          </w:p>
        </w:tc>
        <w:tc>
          <w:tcPr>
            <w:tcW w:w="17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283,931</w:t>
            </w:r>
          </w:p>
        </w:tc>
        <w:tc>
          <w:tcPr>
            <w:tcW w:w="700" w:type="dxa"/>
            <w:vAlign w:val="bottom"/>
            <w:vMerge w:val="continue"/>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66" w:lineRule="auto"/>
        <w:rPr>
          <w:sz w:val="20"/>
          <w:szCs w:val="20"/>
          <w:color w:val="auto"/>
        </w:rPr>
      </w:pPr>
      <w:r>
        <w:rPr>
          <w:rFonts w:ascii="Times New Roman" w:cs="Times New Roman" w:eastAsia="Times New Roman" w:hAnsi="Times New Roman"/>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76" w:lineRule="exact"/>
        <w:rPr>
          <w:sz w:val="20"/>
          <w:szCs w:val="20"/>
          <w:color w:val="auto"/>
        </w:rPr>
      </w:pPr>
    </w:p>
    <w:p>
      <w:pPr>
        <w:ind w:right="300" w:firstLine="913"/>
        <w:spacing w:after="0" w:line="261" w:lineRule="auto"/>
        <w:rPr>
          <w:sz w:val="20"/>
          <w:szCs w:val="20"/>
          <w:color w:val="auto"/>
        </w:rPr>
      </w:pPr>
      <w:r>
        <w:rPr>
          <w:rFonts w:ascii="Times New Roman" w:cs="Times New Roman" w:eastAsia="Times New Roman" w:hAnsi="Times New Roman"/>
          <w:sz w:val="18"/>
          <w:szCs w:val="18"/>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80" w:lineRule="exact"/>
        <w:rPr>
          <w:sz w:val="20"/>
          <w:szCs w:val="20"/>
          <w:color w:val="auto"/>
        </w:rPr>
      </w:pPr>
    </w:p>
    <w:p>
      <w:pPr>
        <w:ind w:right="180" w:firstLine="913"/>
        <w:spacing w:after="0" w:line="266" w:lineRule="auto"/>
        <w:rPr>
          <w:sz w:val="20"/>
          <w:szCs w:val="20"/>
          <w:color w:val="auto"/>
        </w:rPr>
      </w:pPr>
      <w:r>
        <w:rPr>
          <w:rFonts w:ascii="Times New Roman" w:cs="Times New Roman" w:eastAsia="Times New Roman" w:hAnsi="Times New Roman"/>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82" w:lineRule="exact"/>
        <w:rPr>
          <w:sz w:val="20"/>
          <w:szCs w:val="20"/>
          <w:color w:val="auto"/>
        </w:rPr>
      </w:pPr>
    </w:p>
    <w:p>
      <w:pPr>
        <w:ind w:left="1460" w:hanging="547"/>
        <w:spacing w:after="0"/>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Company has the ability to access.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inputs other than quoted prices in active markets, which are either directly or indirectly observable.</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160" w:firstLine="913"/>
        <w:spacing w:after="0" w:line="266" w:lineRule="auto"/>
        <w:rPr>
          <w:sz w:val="20"/>
          <w:szCs w:val="20"/>
          <w:color w:val="auto"/>
        </w:rPr>
      </w:pPr>
      <w:r>
        <w:rPr>
          <w:rFonts w:ascii="Times New Roman" w:cs="Times New Roman" w:eastAsia="Times New Roman" w:hAnsi="Times New Roman"/>
          <w:sz w:val="18"/>
          <w:szCs w:val="18"/>
          <w:color w:val="auto"/>
        </w:rPr>
        <w:t>In addition to using the above inputs in investment valuations, the Company continues to employ the valuation policy approved by the board of directors that is consistent with ASC 820 (See Note 2). Consistent with our Company’s valuation policy, we evaluate the source of inputs, including any markets in which our investments are trading, in determining fair value.</w:t>
      </w:r>
    </w:p>
    <w:p>
      <w:pPr>
        <w:spacing w:after="0" w:line="176" w:lineRule="exact"/>
        <w:rPr>
          <w:sz w:val="20"/>
          <w:szCs w:val="20"/>
          <w:color w:val="auto"/>
        </w:rPr>
      </w:pPr>
    </w:p>
    <w:p>
      <w:pPr>
        <w:jc w:val="both"/>
        <w:ind w:right="20" w:firstLine="913"/>
        <w:spacing w:after="0" w:line="266" w:lineRule="auto"/>
        <w:rPr>
          <w:sz w:val="20"/>
          <w:szCs w:val="20"/>
          <w:color w:val="auto"/>
        </w:rPr>
      </w:pPr>
      <w:r>
        <w:rPr>
          <w:rFonts w:ascii="Times New Roman" w:cs="Times New Roman" w:eastAsia="Times New Roman" w:hAnsi="Times New Roman"/>
          <w:sz w:val="18"/>
          <w:szCs w:val="18"/>
          <w:color w:val="auto"/>
        </w:rPr>
        <w:t>In estimating fair value of portfolio investments, the Company starts with the cost basis of the investment, which includes the amortized OID and payment-in-kind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valuation methodologies are utilized by the company in estimating fair value and are summarized as follows: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Value Waterfall Approach</w:t>
      </w:r>
    </w:p>
    <w:p>
      <w:pPr>
        <w:spacing w:after="0" w:line="119"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The enterprise value waterfall approach determines an enterprise value based on EBITDA multiples of publicly traded companies that are considered similar to the subject portfolio companies. The Company considers a variety of items in determining a reasonable pricing multiple, including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Approach</w:t>
      </w:r>
    </w:p>
    <w:p>
      <w:pPr>
        <w:spacing w:after="0" w:line="119" w:lineRule="exact"/>
        <w:rPr>
          <w:sz w:val="20"/>
          <w:szCs w:val="20"/>
          <w:color w:val="auto"/>
        </w:rPr>
      </w:pPr>
    </w:p>
    <w:p>
      <w:pPr>
        <w:ind w:right="80" w:firstLine="913"/>
        <w:spacing w:after="0" w:line="261" w:lineRule="auto"/>
        <w:rPr>
          <w:sz w:val="20"/>
          <w:szCs w:val="20"/>
          <w:color w:val="auto"/>
        </w:rPr>
      </w:pPr>
      <w:r>
        <w:rPr>
          <w:rFonts w:ascii="Times New Roman" w:cs="Times New Roman" w:eastAsia="Times New Roman" w:hAnsi="Times New Roman"/>
          <w:sz w:val="18"/>
          <w:szCs w:val="18"/>
          <w:color w:val="auto"/>
        </w:rPr>
        <w:t>The income approach utilizes a discounted cash flow methodology in which the Company estimates fair value based on the present value of a stream of contractual cash flows discounted at a market rate of interest. The determination of a discount rate, or required rate of return, takes into account the portfolio company’s fundamentals and perceived credit risk. The income approach is typically utilized for debt-only investments in which the Company determines it is reasonably likely that all cash flows will be collected in accordance with the debt agreement.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Approach</w:t>
      </w:r>
    </w:p>
    <w:p>
      <w:pPr>
        <w:spacing w:after="0" w:line="119" w:lineRule="exact"/>
        <w:rPr>
          <w:sz w:val="20"/>
          <w:szCs w:val="20"/>
          <w:color w:val="auto"/>
        </w:rPr>
      </w:pPr>
    </w:p>
    <w:p>
      <w:pPr>
        <w:ind w:right="80" w:firstLine="913"/>
        <w:spacing w:after="0" w:line="261" w:lineRule="auto"/>
        <w:rPr>
          <w:sz w:val="20"/>
          <w:szCs w:val="20"/>
          <w:color w:val="auto"/>
        </w:rPr>
      </w:pPr>
      <w:r>
        <w:rPr>
          <w:rFonts w:ascii="Times New Roman" w:cs="Times New Roman" w:eastAsia="Times New Roman" w:hAnsi="Times New Roman"/>
          <w:sz w:val="18"/>
          <w:szCs w:val="18"/>
          <w:color w:val="auto"/>
        </w:rPr>
        <w:t>The asset approach values an investment based on the greater of the enterprise value or the underlying collateral securing the investment. See discussion of determining enterprise value above. This approach is used when the debt is not performing in accordance with its contractual terms or when the Company has reason to believe that it will not collect all principal and interest in accordance with the contractual terms of the debt agreement. As of September 30, 2013, there were three portfolio companies with securities valued at $10.9 million using the asset approach.</w:t>
      </w:r>
    </w:p>
    <w:p>
      <w:pPr>
        <w:spacing w:after="0" w:line="180" w:lineRule="exact"/>
        <w:rPr>
          <w:sz w:val="20"/>
          <w:szCs w:val="20"/>
          <w:color w:val="auto"/>
        </w:rPr>
      </w:pPr>
    </w:p>
    <w:p>
      <w:pPr>
        <w:ind w:right="80" w:firstLine="913"/>
        <w:spacing w:after="0" w:line="282" w:lineRule="auto"/>
        <w:rPr>
          <w:sz w:val="20"/>
          <w:szCs w:val="20"/>
          <w:color w:val="auto"/>
        </w:rPr>
      </w:pPr>
      <w:r>
        <w:rPr>
          <w:rFonts w:ascii="Times New Roman" w:cs="Times New Roman" w:eastAsia="Times New Roman" w:hAnsi="Times New Roman"/>
          <w:sz w:val="18"/>
          <w:szCs w:val="18"/>
          <w:color w:val="auto"/>
        </w:rPr>
        <w:t>The following table presents fair value measurements of investments, by major class, as of September 30, 2013 (dollars in thousands), according to the fair value hierarchy:</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Level 1</w:t>
            </w:r>
          </w:p>
        </w:tc>
        <w:tc>
          <w:tcPr>
            <w:tcW w:w="4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58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Debt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88,232</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123,633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123,633</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and Warrants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5"/>
              </w:rPr>
              <w:t>119,112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119,112</w:t>
            </w:r>
          </w:p>
        </w:tc>
      </w:tr>
      <w:tr>
        <w:trPr>
          <w:trHeight w:val="22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330,977</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330,977</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firstLine="913"/>
        <w:spacing w:after="0" w:line="282" w:lineRule="auto"/>
        <w:rPr>
          <w:sz w:val="20"/>
          <w:szCs w:val="20"/>
          <w:color w:val="auto"/>
        </w:rPr>
      </w:pPr>
      <w:r>
        <w:rPr>
          <w:rFonts w:ascii="Times New Roman" w:cs="Times New Roman" w:eastAsia="Times New Roman" w:hAnsi="Times New Roman"/>
          <w:sz w:val="18"/>
          <w:szCs w:val="18"/>
          <w:color w:val="auto"/>
        </w:rPr>
        <w:t>The following table presents fair value measurements of investments, by major class, as of December 31, 2012 (dollars in thousands), according to the fair value hierarchy:</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Level 1</w:t>
            </w:r>
          </w:p>
        </w:tc>
        <w:tc>
          <w:tcPr>
            <w:tcW w:w="4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58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Debt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73,638</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101,659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101,659</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and Warrants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108,634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108,634</w:t>
            </w:r>
          </w:p>
        </w:tc>
      </w:tr>
      <w:tr>
        <w:trPr>
          <w:trHeight w:val="22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283,931</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283,931</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40" w:firstLine="913"/>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investments that use Level 3 inputs for the nine months ended September, 2013 (dollars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Senior</w:t>
            </w: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Subordinated</w:t>
            </w: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480" w:type="dxa"/>
            <w:vAlign w:val="bottom"/>
          </w:tcPr>
          <w:p>
            <w:pPr>
              <w:spacing w:after="0"/>
              <w:rPr>
                <w:sz w:val="12"/>
                <w:szCs w:val="12"/>
                <w:color w:val="auto"/>
              </w:rPr>
            </w:pPr>
          </w:p>
        </w:tc>
        <w:tc>
          <w:tcPr>
            <w:tcW w:w="9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Secured</w:t>
            </w:r>
          </w:p>
        </w:tc>
        <w:tc>
          <w:tcPr>
            <w:tcW w:w="1160" w:type="dxa"/>
            <w:vAlign w:val="bottom"/>
            <w:gridSpan w:val="3"/>
            <w:vMerge w:val="continue"/>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480" w:type="dxa"/>
            <w:vAlign w:val="bottom"/>
          </w:tcPr>
          <w:p>
            <w:pPr>
              <w:spacing w:after="0"/>
              <w:rPr>
                <w:sz w:val="15"/>
                <w:szCs w:val="15"/>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Debt</w:t>
            </w:r>
          </w:p>
        </w:tc>
        <w:tc>
          <w:tcPr>
            <w:tcW w:w="180" w:type="dxa"/>
            <w:vAlign w:val="bottom"/>
          </w:tcPr>
          <w:p>
            <w:pPr>
              <w:spacing w:after="0"/>
              <w:rPr>
                <w:sz w:val="15"/>
                <w:szCs w:val="15"/>
                <w:color w:val="auto"/>
              </w:rPr>
            </w:pPr>
          </w:p>
        </w:tc>
        <w:tc>
          <w:tcPr>
            <w:tcW w:w="9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2013</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$ 73,638</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101,659</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Change in classification due to restructure</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6,735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(6,735)</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w:t>
            </w: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(22,958)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(20,004)</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(7,247)</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(50,209)</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24,775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44,459</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6,583</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75,817</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related to asset acquisition</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5,601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2,353</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3,842</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11,796</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Payment in-kind interest accrued, net of payments received</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568</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Gain/(loss) on sale</w:t>
            </w:r>
          </w:p>
        </w:tc>
        <w:tc>
          <w:tcPr>
            <w:tcW w:w="9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(2,597)</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4,832</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unrealized appreciation</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3,899</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2,468</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6,442</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September 30, 2013</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$ 88,232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123,633</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$ 119,112</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330,977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40" w:firstLine="913"/>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investments that use Level 3 inputs for the nine months ended September 30, 2012 (dollars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Senior</w:t>
            </w:r>
          </w:p>
        </w:tc>
        <w:tc>
          <w:tcPr>
            <w:tcW w:w="120" w:type="dxa"/>
            <w:vAlign w:val="bottom"/>
          </w:tcPr>
          <w:p>
            <w:pPr>
              <w:spacing w:after="0"/>
              <w:rPr>
                <w:sz w:val="13"/>
                <w:szCs w:val="13"/>
                <w:color w:val="auto"/>
              </w:rPr>
            </w:pP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Subordinated</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Secured</w:t>
            </w:r>
          </w:p>
        </w:tc>
        <w:tc>
          <w:tcPr>
            <w:tcW w:w="1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2012</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$40,357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114,736</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$57,638</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Change in classification due to restructure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(14,520)</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(2,694)</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(712)</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21,019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w:t>
            </w: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in-kind interest accrued, net of payments received</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786</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Gain/(loss) on sale</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528</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net unrealized appreciation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2,723</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16,229</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64,784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122,103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81,711</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268,658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420"/>
          </w:cols>
          <w:pgMar w:left="240" w:top="455"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760" w:firstLine="913"/>
        <w:spacing w:after="0" w:line="282" w:lineRule="auto"/>
        <w:rPr>
          <w:sz w:val="20"/>
          <w:szCs w:val="20"/>
          <w:color w:val="auto"/>
        </w:rPr>
      </w:pPr>
      <w:r>
        <w:rPr>
          <w:rFonts w:ascii="Times New Roman" w:cs="Times New Roman" w:eastAsia="Times New Roman" w:hAnsi="Times New Roman"/>
          <w:sz w:val="18"/>
          <w:szCs w:val="18"/>
          <w:color w:val="auto"/>
        </w:rPr>
        <w:t>The net change in unrealized appreciation on investments held as of September 30, 2013 and 2012, was $4.2 million and $20.8 million, respectively, and is included in net unrealized appreciation on investments in the consolidated statements of operations.</w:t>
      </w:r>
    </w:p>
    <w:p>
      <w:pPr>
        <w:spacing w:after="0" w:line="162" w:lineRule="exact"/>
        <w:rPr>
          <w:sz w:val="20"/>
          <w:szCs w:val="20"/>
          <w:color w:val="auto"/>
        </w:rPr>
      </w:pPr>
    </w:p>
    <w:p>
      <w:pPr>
        <w:ind w:right="300" w:firstLine="913"/>
        <w:spacing w:after="0" w:line="282" w:lineRule="auto"/>
        <w:rPr>
          <w:sz w:val="20"/>
          <w:szCs w:val="20"/>
          <w:color w:val="auto"/>
        </w:rPr>
      </w:pPr>
      <w:r>
        <w:rPr>
          <w:rFonts w:ascii="Times New Roman" w:cs="Times New Roman" w:eastAsia="Times New Roman" w:hAnsi="Times New Roman"/>
          <w:sz w:val="18"/>
          <w:szCs w:val="18"/>
          <w:color w:val="auto"/>
        </w:rPr>
        <w:t>The valuation techniques and significant unobservable inputs used in recurring Level 3 fair value measurements of assets as of September 30, 2013 were as follows (dollars in thousands, except EBITDA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3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Valuation Approach</w:t>
            </w:r>
          </w:p>
        </w:tc>
        <w:tc>
          <w:tcPr>
            <w:tcW w:w="120" w:type="dxa"/>
            <w:vAlign w:val="bottom"/>
          </w:tcPr>
          <w:p>
            <w:pPr>
              <w:spacing w:after="0"/>
              <w:rPr>
                <w:sz w:val="16"/>
                <w:szCs w:val="16"/>
                <w:color w:val="auto"/>
              </w:rPr>
            </w:pPr>
          </w:p>
        </w:tc>
        <w:tc>
          <w:tcPr>
            <w:tcW w:w="206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Level 3 Input</w:t>
            </w:r>
          </w:p>
        </w:tc>
        <w:tc>
          <w:tcPr>
            <w:tcW w:w="100" w:type="dxa"/>
            <w:vAlign w:val="bottom"/>
          </w:tcPr>
          <w:p>
            <w:pPr>
              <w:spacing w:after="0"/>
              <w:rPr>
                <w:sz w:val="16"/>
                <w:szCs w:val="16"/>
                <w:color w:val="auto"/>
              </w:rPr>
            </w:pPr>
          </w:p>
        </w:tc>
        <w:tc>
          <w:tcPr>
            <w:tcW w:w="238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Range of Inputs</w:t>
            </w:r>
          </w:p>
        </w:tc>
        <w:tc>
          <w:tcPr>
            <w:tcW w:w="194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60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Subordinated debt and second lien</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Required Rate of Return</w:t>
            </w:r>
          </w:p>
        </w:tc>
        <w:tc>
          <w:tcPr>
            <w:tcW w:w="238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8.0% - 19.0%</w:t>
            </w: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notes</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Leverage Ratio</w:t>
            </w:r>
          </w:p>
        </w:tc>
        <w:tc>
          <w:tcPr>
            <w:tcW w:w="2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1.3x – 5.1x</w:t>
            </w: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3.2x</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$ 106,631</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w:t>
            </w:r>
          </w:p>
        </w:tc>
        <w:tc>
          <w:tcPr>
            <w:tcW w:w="2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2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$1.7 million-$23.5 million</w:t>
            </w: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$7.9 million</w:t>
            </w:r>
          </w:p>
        </w:tc>
        <w:tc>
          <w:tcPr>
            <w:tcW w:w="0" w:type="dxa"/>
            <w:vAlign w:val="bottom"/>
          </w:tcPr>
          <w:p>
            <w:pPr>
              <w:spacing w:after="0"/>
              <w:rPr>
                <w:sz w:val="1"/>
                <w:szCs w:val="1"/>
                <w:color w:val="auto"/>
              </w:rPr>
            </w:pPr>
          </w:p>
        </w:tc>
      </w:tr>
      <w:tr>
        <w:trPr>
          <w:trHeight w:val="306"/>
        </w:trPr>
        <w:tc>
          <w:tcPr>
            <w:tcW w:w="3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Subordinated debt and second lien</w:t>
            </w: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Asset and</w:t>
            </w:r>
          </w:p>
        </w:tc>
        <w:tc>
          <w:tcPr>
            <w:tcW w:w="2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Adjusted EBITDA Multiple</w:t>
            </w:r>
          </w:p>
        </w:tc>
        <w:tc>
          <w:tcPr>
            <w:tcW w:w="24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4.9x – 5.0x</w:t>
            </w:r>
          </w:p>
        </w:tc>
        <w:tc>
          <w:tcPr>
            <w:tcW w:w="1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5.0x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3"/>
          </w:tcPr>
          <w:p>
            <w:pPr>
              <w:ind w:left="160"/>
              <w:spacing w:after="0" w:line="202" w:lineRule="exact"/>
              <w:rPr>
                <w:sz w:val="20"/>
                <w:szCs w:val="20"/>
                <w:color w:val="auto"/>
              </w:rPr>
            </w:pPr>
            <w:r>
              <w:rPr>
                <w:rFonts w:ascii="Times New Roman" w:cs="Times New Roman" w:eastAsia="Times New Roman" w:hAnsi="Times New Roman"/>
                <w:sz w:val="18"/>
                <w:szCs w:val="18"/>
                <w:color w:val="auto"/>
              </w:rPr>
              <w:t>notes</w:t>
            </w:r>
          </w:p>
        </w:tc>
        <w:tc>
          <w:tcPr>
            <w:tcW w:w="140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Enterprise Value</w:t>
            </w:r>
          </w:p>
        </w:tc>
        <w:tc>
          <w:tcPr>
            <w:tcW w:w="2180" w:type="dxa"/>
            <w:vAlign w:val="bottom"/>
            <w:gridSpan w:val="2"/>
            <w:vMerge w:val="continue"/>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1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4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17,002</w:t>
            </w: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Waterfall</w:t>
            </w:r>
          </w:p>
        </w:tc>
        <w:tc>
          <w:tcPr>
            <w:tcW w:w="2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$1.6 million - $4.0 million</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$3.1 million</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Senior debt and first lien notes</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Required Rate of Return</w:t>
            </w:r>
          </w:p>
        </w:tc>
        <w:tc>
          <w:tcPr>
            <w:tcW w:w="238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11.0% - 17.0%</w:t>
            </w: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Leverage Ratio</w:t>
            </w:r>
          </w:p>
        </w:tc>
        <w:tc>
          <w:tcPr>
            <w:tcW w:w="2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0.1x – 5.2x</w:t>
            </w: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3.2x</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82,247</w:t>
            </w:r>
          </w:p>
        </w:tc>
        <w:tc>
          <w:tcPr>
            <w:tcW w:w="1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w:t>
            </w:r>
          </w:p>
        </w:tc>
        <w:tc>
          <w:tcPr>
            <w:tcW w:w="2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2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$1.5 million- $16.9 million</w:t>
            </w: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$8.3 million</w:t>
            </w:r>
          </w:p>
        </w:tc>
        <w:tc>
          <w:tcPr>
            <w:tcW w:w="0" w:type="dxa"/>
            <w:vAlign w:val="bottom"/>
          </w:tcPr>
          <w:p>
            <w:pPr>
              <w:spacing w:after="0"/>
              <w:rPr>
                <w:sz w:val="1"/>
                <w:szCs w:val="1"/>
                <w:color w:val="auto"/>
              </w:rPr>
            </w:pPr>
          </w:p>
        </w:tc>
      </w:tr>
      <w:tr>
        <w:trPr>
          <w:trHeight w:val="306"/>
        </w:trPr>
        <w:tc>
          <w:tcPr>
            <w:tcW w:w="3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Senior debt and first lien notes</w:t>
            </w: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Asset and</w:t>
            </w:r>
          </w:p>
        </w:tc>
        <w:tc>
          <w:tcPr>
            <w:tcW w:w="2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Adjusted EBITDA Multiple</w:t>
            </w:r>
          </w:p>
        </w:tc>
        <w:tc>
          <w:tcPr>
            <w:tcW w:w="24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5.0x – 6.8x</w:t>
            </w:r>
          </w:p>
        </w:tc>
        <w:tc>
          <w:tcPr>
            <w:tcW w:w="1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6.0x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Enterprise Value</w:t>
            </w:r>
          </w:p>
        </w:tc>
        <w:tc>
          <w:tcPr>
            <w:tcW w:w="2180" w:type="dxa"/>
            <w:vAlign w:val="bottom"/>
            <w:gridSpan w:val="2"/>
            <w:vMerge w:val="continue"/>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1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10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Waterfall</w:t>
            </w:r>
          </w:p>
        </w:tc>
        <w:tc>
          <w:tcPr>
            <w:tcW w:w="2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$0.8 million - $1.3 million</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$1.1 million</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shares and warrants</w:t>
            </w:r>
          </w:p>
        </w:tc>
        <w:tc>
          <w:tcPr>
            <w:tcW w:w="140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Asset and</w:t>
            </w:r>
          </w:p>
        </w:tc>
        <w:tc>
          <w:tcPr>
            <w:tcW w:w="21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EBITDA Multiple</w:t>
            </w:r>
          </w:p>
        </w:tc>
        <w:tc>
          <w:tcPr>
            <w:tcW w:w="248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2.5x – 9.5x</w:t>
            </w:r>
          </w:p>
        </w:tc>
        <w:tc>
          <w:tcPr>
            <w:tcW w:w="1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6.9x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Enterprise Value</w:t>
            </w:r>
          </w:p>
        </w:tc>
        <w:tc>
          <w:tcPr>
            <w:tcW w:w="2180" w:type="dxa"/>
            <w:vAlign w:val="bottom"/>
            <w:gridSpan w:val="2"/>
            <w:vMerge w:val="continue"/>
            <w:shd w:val="clear" w:color="auto" w:fill="CCEEFF"/>
          </w:tcPr>
          <w:p>
            <w:pPr>
              <w:spacing w:after="0"/>
              <w:rPr>
                <w:sz w:val="17"/>
                <w:szCs w:val="17"/>
                <w:color w:val="auto"/>
              </w:rPr>
            </w:pPr>
          </w:p>
        </w:tc>
        <w:tc>
          <w:tcPr>
            <w:tcW w:w="2480" w:type="dxa"/>
            <w:vAlign w:val="bottom"/>
            <w:gridSpan w:val="3"/>
            <w:vMerge w:val="continue"/>
            <w:shd w:val="clear" w:color="auto" w:fill="CCEEFF"/>
          </w:tcPr>
          <w:p>
            <w:pPr>
              <w:spacing w:after="0"/>
              <w:rPr>
                <w:sz w:val="17"/>
                <w:szCs w:val="17"/>
                <w:color w:val="auto"/>
              </w:rPr>
            </w:pPr>
          </w:p>
        </w:tc>
        <w:tc>
          <w:tcPr>
            <w:tcW w:w="1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119,112</w:t>
            </w:r>
          </w:p>
        </w:tc>
        <w:tc>
          <w:tcPr>
            <w:tcW w:w="1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Waterfall</w:t>
            </w:r>
          </w:p>
        </w:tc>
        <w:tc>
          <w:tcPr>
            <w:tcW w:w="2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2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$1.6 million -$36.3 million</w:t>
            </w: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$13.4 million</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0" w:firstLine="913"/>
        <w:spacing w:after="0" w:line="261" w:lineRule="auto"/>
        <w:rPr>
          <w:sz w:val="20"/>
          <w:szCs w:val="20"/>
          <w:color w:val="auto"/>
        </w:rPr>
      </w:pPr>
      <w:r>
        <w:rPr>
          <w:rFonts w:ascii="Times New Roman" w:cs="Times New Roman" w:eastAsia="Times New Roman" w:hAnsi="Times New Roman"/>
          <w:sz w:val="18"/>
          <w:szCs w:val="18"/>
          <w:color w:val="auto"/>
        </w:rPr>
        <w:t>The significant unobservable inputs used in the valuation of the Company’s debt and equity investments are required rate of return, adjusted EBITDA, EBITDA multiples, and leverage. Changes in any of these unobservable inputs could have a significant impact on the Company’s estimate of fair value. An increase (decrease) in required rate of return or leverage will result in a lower (higher) estimate of fair value while an increase (decrease) in adjusted EBITDA or EBITDA will result in a higher (lower) estimate of fair value.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Agreements</w:t>
      </w:r>
    </w:p>
    <w:p>
      <w:pPr>
        <w:spacing w:after="0" w:line="121" w:lineRule="exact"/>
        <w:rPr>
          <w:sz w:val="20"/>
          <w:szCs w:val="20"/>
          <w:color w:val="auto"/>
        </w:rPr>
      </w:pPr>
    </w:p>
    <w:p>
      <w:pPr>
        <w:ind w:right="720" w:firstLine="913"/>
        <w:spacing w:after="0" w:line="258" w:lineRule="auto"/>
        <w:rPr>
          <w:sz w:val="20"/>
          <w:szCs w:val="20"/>
          <w:color w:val="auto"/>
        </w:rPr>
      </w:pPr>
      <w:r>
        <w:rPr>
          <w:rFonts w:ascii="Times New Roman" w:cs="Times New Roman" w:eastAsia="Times New Roman" w:hAnsi="Times New Roman"/>
          <w:sz w:val="18"/>
          <w:szCs w:val="18"/>
          <w:color w:val="auto"/>
        </w:rPr>
        <w:t>On September 24, 2013, the Company entered into an investment advisory agreement (the “Investment Advisory Agreement”) with our Investment Advisor, which was approved by the Board of Directors of the Company on June 10, 2013. The initial term of the Investment Advisory Agreement is two years, with automatic, one-year renewals at the end of each year subject to certain approvals by our board of directors and/or our stockholders. Subject to the overall supervision of our Board of Directors, our investment adviser manages our day-to-day operations, and provides investment advisory and management services to us. Under the terms of our Investment Advisory Agreement, The Investment Advisor:</w:t>
      </w:r>
    </w:p>
    <w:p>
      <w:pPr>
        <w:spacing w:after="0" w:line="89" w:lineRule="exact"/>
        <w:rPr>
          <w:sz w:val="20"/>
          <w:szCs w:val="20"/>
          <w:color w:val="auto"/>
        </w:rPr>
      </w:pPr>
    </w:p>
    <w:p>
      <w:pPr>
        <w:ind w:left="1460" w:right="180" w:hanging="547"/>
        <w:spacing w:after="0" w:line="282" w:lineRule="auto"/>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our portfolio, the nature and timing of the changes to our portfolio and the manner of implementing such changes;</w:t>
      </w:r>
    </w:p>
    <w:p>
      <w:pPr>
        <w:spacing w:after="0" w:line="67" w:lineRule="exact"/>
        <w:rPr>
          <w:rFonts w:ascii="Times New Roman" w:cs="Times New Roman" w:eastAsia="Times New Roman" w:hAnsi="Times New Roman"/>
          <w:sz w:val="18"/>
          <w:szCs w:val="18"/>
          <w:color w:val="auto"/>
        </w:rPr>
      </w:pPr>
    </w:p>
    <w:p>
      <w:pPr>
        <w:ind w:left="1460" w:right="420" w:hanging="547"/>
        <w:spacing w:after="0" w:line="282" w:lineRule="auto"/>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we make (including performing due diligence on our prospective portfolio companies);</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closes and monitors the investments we make; and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us with other investment advisory, research and related services as we may from time to time require.</w:t>
      </w:r>
    </w:p>
    <w:p>
      <w:pPr>
        <w:spacing w:after="0" w:line="225" w:lineRule="exact"/>
        <w:rPr>
          <w:sz w:val="20"/>
          <w:szCs w:val="20"/>
          <w:color w:val="auto"/>
        </w:rPr>
      </w:pPr>
    </w:p>
    <w:p>
      <w:pPr>
        <w:ind w:right="120" w:firstLine="913"/>
        <w:spacing w:after="0" w:line="282" w:lineRule="auto"/>
        <w:rPr>
          <w:sz w:val="20"/>
          <w:szCs w:val="20"/>
          <w:color w:val="auto"/>
        </w:rPr>
      </w:pPr>
      <w:r>
        <w:rPr>
          <w:rFonts w:ascii="Times New Roman" w:cs="Times New Roman" w:eastAsia="Times New Roman" w:hAnsi="Times New Roman"/>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62" w:lineRule="exact"/>
        <w:rPr>
          <w:sz w:val="20"/>
          <w:szCs w:val="20"/>
          <w:color w:val="auto"/>
        </w:rPr>
      </w:pPr>
    </w:p>
    <w:p>
      <w:pPr>
        <w:ind w:right="160" w:firstLine="913"/>
        <w:spacing w:after="0" w:line="282" w:lineRule="auto"/>
        <w:rPr>
          <w:sz w:val="20"/>
          <w:szCs w:val="20"/>
          <w:color w:val="auto"/>
        </w:rPr>
      </w:pPr>
      <w:r>
        <w:rPr>
          <w:rFonts w:ascii="Times New Roman" w:cs="Times New Roman" w:eastAsia="Times New Roman" w:hAnsi="Times New Roman"/>
          <w:sz w:val="18"/>
          <w:szCs w:val="18"/>
          <w:color w:val="auto"/>
        </w:rPr>
        <w:t>Pursuant to the Investment Advisory Agreement, we have agreed to pay the Investment Advisor a fee for investment advisory and management services consisting of two components — a base management fee and an incentive fee.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54" w:lineRule="auto"/>
        <w:rPr>
          <w:sz w:val="20"/>
          <w:szCs w:val="20"/>
          <w:color w:val="auto"/>
        </w:rPr>
      </w:pPr>
      <w:r>
        <w:rPr>
          <w:rFonts w:ascii="Times New Roman" w:cs="Times New Roman" w:eastAsia="Times New Roman" w:hAnsi="Times New Roman"/>
          <w:sz w:val="18"/>
          <w:szCs w:val="18"/>
          <w:color w:val="auto"/>
        </w:rPr>
        <w:t>The base management fee is calculated at an annual rate of 1.75% of our gross assets, which is our total assets as reflected on our Statements of Assets and Liabilities and includes any borrowings for investment purposes. Although we do not anticipate making significant investments in derivative financial instruments, the fair value of any such investments, which will not necessarily equal their notional value, will be included in our calculation of gross assets. For services rendered under the Investment Advisory Agreement, the base management fee is payable quarterly in arrears. The base management fee will initially be calculated based on the value of our gross assets at the end of the first calendar quarter subsequent to our IPO, and thereafter based on the average value of our gross assets at the end of the two most recently completed calendar quarters, and appropriately adjusted for any share issuances or repurchases during the current calendar quarter. For the first twelve months following our IPO, the Investment Advisor has agreed to waive the portion of the base management fee payable on cash and cash equivalents held at the Company level, excluding cash and cash equivalents held by the Legacy Funds that were acquired by the Company in connection with the Formation Transactions.</w:t>
      </w:r>
    </w:p>
    <w:p>
      <w:pPr>
        <w:spacing w:after="0" w:line="189"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Prior to the formation transaction, the management fee charged by each Legacy Fund for each fiscal quarter was the lesser of (a) an amount equal to an annual rate of .625% of the sum of (i) the Legacy fund’s regulatory capital and (ii) the amount of an assumed two tiers of outstanding leverage based on such regulatory capital, or (b) an amount negotiated between the General Partner and the Management Company. The management fee was reduced by certain fees ultimately received by the Management Company from the portfolio companies. Payments of the management fee were made quarterly in advance. Certain direct expenses such as legal, audit, tax, and limited partner expense were the responsibility of the Legacy Fund.</w:t>
      </w:r>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incentive fee consists of the following two parts:</w:t>
      </w:r>
    </w:p>
    <w:p>
      <w:pPr>
        <w:spacing w:after="0" w:line="225" w:lineRule="exact"/>
        <w:rPr>
          <w:sz w:val="20"/>
          <w:szCs w:val="20"/>
          <w:color w:val="auto"/>
        </w:rPr>
      </w:pPr>
    </w:p>
    <w:p>
      <w:pPr>
        <w:ind w:right="20" w:firstLine="913"/>
        <w:spacing w:after="0" w:line="253" w:lineRule="auto"/>
        <w:rPr>
          <w:sz w:val="20"/>
          <w:szCs w:val="20"/>
          <w:color w:val="auto"/>
        </w:rPr>
      </w:pPr>
      <w:r>
        <w:rPr>
          <w:rFonts w:ascii="Times New Roman" w:cs="Times New Roman" w:eastAsia="Times New Roman" w:hAnsi="Times New Roman"/>
          <w:sz w:val="18"/>
          <w:szCs w:val="18"/>
          <w:color w:val="auto"/>
        </w:rPr>
        <w:t>The first part of the incentive fee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Our net investment income used to calculate this part of the incentive fee is also included in the amount of our gross assets used to calculate the 1.75% base management fee. We pay the Investment Advisor an incentive fee with respect to our pre-incentive fee net investment income in each calendar quarter as follows:</w:t>
      </w:r>
    </w:p>
    <w:p>
      <w:pPr>
        <w:spacing w:after="0" w:line="96" w:lineRule="exact"/>
        <w:rPr>
          <w:sz w:val="20"/>
          <w:szCs w:val="20"/>
          <w:color w:val="auto"/>
        </w:rPr>
      </w:pPr>
    </w:p>
    <w:p>
      <w:pPr>
        <w:ind w:left="1460" w:hanging="547"/>
        <w:spacing w:after="0"/>
        <w:tabs>
          <w:tab w:leader="none" w:pos="1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fee in any calendar quarter in which our pre-incentive fee net investment income does not exceed the hurdle of 2.0%;</w:t>
      </w:r>
    </w:p>
    <w:p>
      <w:pPr>
        <w:spacing w:after="0" w:line="130" w:lineRule="exact"/>
        <w:rPr>
          <w:rFonts w:ascii="Times New Roman" w:cs="Times New Roman" w:eastAsia="Times New Roman" w:hAnsi="Times New Roman"/>
          <w:sz w:val="18"/>
          <w:szCs w:val="18"/>
          <w:color w:val="auto"/>
        </w:rPr>
      </w:pPr>
    </w:p>
    <w:p>
      <w:pPr>
        <w:ind w:left="1460" w:right="100" w:hanging="547"/>
        <w:spacing w:after="0" w:line="258" w:lineRule="auto"/>
        <w:tabs>
          <w:tab w:leader="none" w:pos="1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our pre-incentive fee net investment income with respect to that portion of such pre-incentive fee net investment income, if any, that exceeds the hurdle but is less than 2.5% in any calendar quarter (10.0% annualized). We refer to this portion of our pre-incentive fee net investment income (which exceeds the hurdle but is less than 2.5%) as the “catch-up.” The “catchup” is meant to provide our investment adviser with 20% of our pre-incentive fee net investment income as if a hurdle did not apply if this net investment income exceeds 2.5% in any calendar quarter; and</w:t>
      </w:r>
    </w:p>
    <w:p>
      <w:pPr>
        <w:spacing w:after="0" w:line="89" w:lineRule="exact"/>
        <w:rPr>
          <w:rFonts w:ascii="Times New Roman" w:cs="Times New Roman" w:eastAsia="Times New Roman" w:hAnsi="Times New Roman"/>
          <w:sz w:val="18"/>
          <w:szCs w:val="18"/>
          <w:color w:val="auto"/>
        </w:rPr>
      </w:pPr>
    </w:p>
    <w:p>
      <w:pPr>
        <w:ind w:left="1460" w:right="120" w:hanging="547"/>
        <w:spacing w:after="0" w:line="266" w:lineRule="auto"/>
        <w:tabs>
          <w:tab w:leader="none" w:pos="1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amount of our pre-incentive fee net investment income, if any, that exceeds 2.5% in any calendar quarter (10.0% annualized) is payable to Capitala Investment Advisors (once the hurdle is reached and the catch-up is achieved, 20% of all preincentive fee investment income thereafter is allocated to the Investment Advisor).</w:t>
      </w:r>
    </w:p>
    <w:p>
      <w:pPr>
        <w:spacing w:after="0" w:line="176"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The second part of the incentive fee is determined and payable in arrears as of the end of each calendar year (or upon termination of the Investment Advisory Agreement, as of the termination date), commencing with the 2013 calendar year,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 provided that, the incentive fee determined as of December 31, 2013 will be calculated for a period of shorter than twelve calendar months to take into account any realized capital gains computed net of all realized capital losses and unrealized capital depreciation from the inception of the Company.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56" w:lineRule="auto"/>
        <w:rPr>
          <w:sz w:val="20"/>
          <w:szCs w:val="20"/>
          <w:color w:val="auto"/>
        </w:rPr>
      </w:pPr>
      <w:r>
        <w:rPr>
          <w:rFonts w:ascii="Times New Roman" w:cs="Times New Roman" w:eastAsia="Times New Roman" w:hAnsi="Times New Roman"/>
          <w:sz w:val="18"/>
          <w:szCs w:val="18"/>
          <w:color w:val="auto"/>
        </w:rPr>
        <w:t>We will defer cash payment of the portion of any incentive fee otherwise earned by our Investment Advisor that would, when taken together with all other incentive fees paid to our Investment Advisor during the most recent 12 full calendar month period ending on or prior to the date such payment is to be made, exceed 20% of the sum of (a) our pre-incentive fee net investment income during such period, (b) our net unrealized appreciation or depreciation during such period and (c) our net realized capital gains or losses during such period. Any deferred incentive fees will be carried over for payment in subsequent calculation periods to the extent such payment is payable under the Investment Advisory Agreement. Such deferred amounts will be calculated using a period of shorter than 12 full calendar months until 12 full calendar months have passed since completion of our IPO.</w:t>
      </w:r>
    </w:p>
    <w:p>
      <w:pPr>
        <w:spacing w:after="0" w:line="188" w:lineRule="exact"/>
        <w:rPr>
          <w:sz w:val="20"/>
          <w:szCs w:val="20"/>
          <w:color w:val="auto"/>
        </w:rPr>
      </w:pPr>
    </w:p>
    <w:p>
      <w:pPr>
        <w:ind w:right="120" w:firstLine="913"/>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2013 and 2012 we incurred $1.0 million and $1.3 million in base management fees, respectively. For each of the nine month periods ending September 30, 2013 and 2012 we incurred $3.0 million in base management fees, respectively.</w:t>
      </w:r>
    </w:p>
    <w:p>
      <w:pPr>
        <w:spacing w:after="0" w:line="162"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On September 24, 2013, the Company entered into a separate administration agreement (the “Administration Agreement”) with Capitala Advisors Corp., our Administrator, pursuant to which our Administrator has agreed to furnish us with office facilities, equipment and clerical, bookkeeping and record keeping services at such facilities. Our Administrator also performs, or oversees the performance of, our required administrative services, which include, among other things, being responsible for the financial records that we are required to maintain and preparing reports to our stockholders. In addition, our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w:t>
      </w:r>
    </w:p>
    <w:p>
      <w:pPr>
        <w:spacing w:after="0" w:line="189" w:lineRule="exact"/>
        <w:rPr>
          <w:sz w:val="20"/>
          <w:szCs w:val="20"/>
          <w:color w:val="auto"/>
        </w:rPr>
      </w:pPr>
    </w:p>
    <w:p>
      <w:pPr>
        <w:ind w:right="100" w:firstLine="913"/>
        <w:spacing w:after="0" w:line="255" w:lineRule="auto"/>
        <w:rPr>
          <w:sz w:val="20"/>
          <w:szCs w:val="20"/>
          <w:color w:val="auto"/>
        </w:rPr>
      </w:pPr>
      <w:r>
        <w:rPr>
          <w:rFonts w:ascii="Times New Roman" w:cs="Times New Roman" w:eastAsia="Times New Roman" w:hAnsi="Times New Roman"/>
          <w:sz w:val="18"/>
          <w:szCs w:val="18"/>
          <w:color w:val="auto"/>
        </w:rPr>
        <w:t>Payments under the Administration Agreement are equal to an amount based upon our allocable portion of our Administrator’s overhead in performing its obligations under the Administration Agreement, including rent, the fees and expenses associated with performing compliance functions and our allocable portion of the compensation of our chief financial officer, chief compliance officer and our allocable portion of the compensation of any administrative support staff. Under the Administration Agreement, our Administrator will also provide on our behalf managerial assistance to those portfolio companies that request such assistance. The Administration Agreement will have an initial term of two years and may be renewed with the approval of our Board of Directors. The Administration Agreement may be terminated by either party without penalty upon 60 days’ written notice to the other party. To the extent that our Administrator outsources any of its functions, we will pay the fees associated with such functions on a direct basis without any incremental profit to our Administrator. Stockholder approval is not required to amend the Administration Agreement.</w:t>
      </w:r>
    </w:p>
    <w:p>
      <w:pPr>
        <w:spacing w:after="0" w:line="185" w:lineRule="exact"/>
        <w:rPr>
          <w:sz w:val="20"/>
          <w:szCs w:val="20"/>
          <w:color w:val="auto"/>
        </w:rPr>
      </w:pPr>
    </w:p>
    <w:p>
      <w:pPr>
        <w:ind w:right="80" w:firstLine="913"/>
        <w:spacing w:after="0" w:line="258" w:lineRule="auto"/>
        <w:rPr>
          <w:sz w:val="20"/>
          <w:szCs w:val="20"/>
          <w:color w:val="auto"/>
        </w:rPr>
      </w:pPr>
      <w:r>
        <w:rPr>
          <w:rFonts w:ascii="Times New Roman" w:cs="Times New Roman" w:eastAsia="Times New Roman" w:hAnsi="Times New Roman"/>
          <w:sz w:val="18"/>
          <w:szCs w:val="18"/>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21" w:lineRule="exact"/>
        <w:rPr>
          <w:sz w:val="20"/>
          <w:szCs w:val="20"/>
          <w:color w:val="auto"/>
        </w:rPr>
      </w:pPr>
    </w:p>
    <w:p>
      <w:pPr>
        <w:ind w:right="80" w:firstLine="913"/>
        <w:spacing w:after="0" w:line="282" w:lineRule="auto"/>
        <w:rPr>
          <w:sz w:val="20"/>
          <w:szCs w:val="20"/>
          <w:color w:val="auto"/>
        </w:rPr>
      </w:pPr>
      <w:r>
        <w:rPr>
          <w:rFonts w:ascii="Times New Roman" w:cs="Times New Roman" w:eastAsia="Times New Roman" w:hAnsi="Times New Roman"/>
          <w:sz w:val="18"/>
          <w:szCs w:val="18"/>
          <w:color w:val="auto"/>
        </w:rPr>
        <w:t>At September 30, 2013 and December 31, 2012, the Company had the following receivables from (payables to) related parties relating to certain capital contributions, management fees, and reimbursable expenses:</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4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0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5"/>
                <w:szCs w:val="15"/>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CapitalSouth Corporation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Phoenix Holdings-NC,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Shareholders/Limited Partners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Capital South Fund III, L.P.</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tcPr>
          <w:p>
            <w:pPr>
              <w:spacing w:after="0"/>
              <w:rPr>
                <w:sz w:val="19"/>
                <w:szCs w:val="19"/>
                <w:color w:val="auto"/>
              </w:rPr>
            </w:pPr>
          </w:p>
        </w:tc>
      </w:tr>
    </w:tbl>
    <w:p>
      <w:pPr>
        <w:spacing w:after="0" w:line="211" w:lineRule="exact"/>
        <w:rPr>
          <w:sz w:val="20"/>
          <w:szCs w:val="20"/>
          <w:color w:val="auto"/>
        </w:rPr>
      </w:pPr>
    </w:p>
    <w:p>
      <w:pPr>
        <w:ind w:right="320" w:firstLine="913"/>
        <w:spacing w:after="0" w:line="282" w:lineRule="auto"/>
        <w:rPr>
          <w:sz w:val="20"/>
          <w:szCs w:val="20"/>
          <w:color w:val="auto"/>
        </w:rPr>
      </w:pPr>
      <w:r>
        <w:rPr>
          <w:rFonts w:ascii="Times New Roman" w:cs="Times New Roman" w:eastAsia="Times New Roman" w:hAnsi="Times New Roman"/>
          <w:sz w:val="18"/>
          <w:szCs w:val="18"/>
          <w:color w:val="auto"/>
        </w:rPr>
        <w:t>These amounts are reflected in the accompanying statements of financial position under the captions, “Due from related parties” and “Due to related parties.”</w:t>
      </w:r>
    </w:p>
    <w:p>
      <w:pPr>
        <w:spacing w:after="0" w:line="162" w:lineRule="exact"/>
        <w:rPr>
          <w:sz w:val="20"/>
          <w:szCs w:val="20"/>
          <w:color w:val="auto"/>
        </w:rPr>
      </w:pPr>
    </w:p>
    <w:p>
      <w:pPr>
        <w:jc w:val="both"/>
        <w:ind w:right="20" w:firstLine="913"/>
        <w:spacing w:after="0" w:line="266" w:lineRule="auto"/>
        <w:rPr>
          <w:sz w:val="20"/>
          <w:szCs w:val="20"/>
          <w:color w:val="auto"/>
        </w:rPr>
      </w:pPr>
      <w:r>
        <w:rPr>
          <w:rFonts w:ascii="Times New Roman" w:cs="Times New Roman" w:eastAsia="Times New Roman" w:hAnsi="Times New Roman"/>
          <w:sz w:val="18"/>
          <w:szCs w:val="18"/>
          <w:color w:val="auto"/>
        </w:rPr>
        <w:t>At times, the Company maintains deposit accounts and certificates of deposit with financial institutions that are shareholders of the Company or were limited partners of a legacy fund prior to the formation transaction. Total deposits with these financial institutions were approximately $13.7 million and $30.3 million at September 30, 2013 and December 31, 2012, respectively.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Borrowings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SBA Debentures</w:t>
      </w:r>
    </w:p>
    <w:p>
      <w:pPr>
        <w:spacing w:after="0" w:line="121" w:lineRule="exact"/>
        <w:rPr>
          <w:sz w:val="20"/>
          <w:szCs w:val="20"/>
          <w:color w:val="auto"/>
        </w:rPr>
      </w:pPr>
    </w:p>
    <w:p>
      <w:pPr>
        <w:ind w:right="80" w:firstLine="913"/>
        <w:spacing w:after="0" w:line="261" w:lineRule="auto"/>
        <w:rPr>
          <w:sz w:val="20"/>
          <w:szCs w:val="20"/>
          <w:color w:val="auto"/>
        </w:rPr>
      </w:pPr>
      <w:r>
        <w:rPr>
          <w:rFonts w:ascii="Times New Roman" w:cs="Times New Roman" w:eastAsia="Times New Roman" w:hAnsi="Times New Roman"/>
          <w:sz w:val="18"/>
          <w:szCs w:val="18"/>
          <w:color w:val="auto"/>
        </w:rPr>
        <w:t>The Company, through its two wholly-owned subsidiaries, uses debenture leverage provided through the SBA to fund a portion of its investment portfolio. As of September 30, 2013, the Company has issued $202.2 million of SBA-guaranteed debentures. The Company has issued all SBA-guaranteed debentures that were permitted under each of the Legacy Funds’ respective SBIC licenses (as applicable), and there are no unused SBA debenture commitments remaining.</w:t>
      </w:r>
    </w:p>
    <w:p>
      <w:pPr>
        <w:spacing w:after="0" w:line="180" w:lineRule="exact"/>
        <w:rPr>
          <w:sz w:val="20"/>
          <w:szCs w:val="20"/>
          <w:color w:val="auto"/>
        </w:rPr>
      </w:pPr>
    </w:p>
    <w:p>
      <w:pPr>
        <w:ind w:right="120" w:firstLine="913"/>
        <w:spacing w:after="0" w:line="274" w:lineRule="auto"/>
        <w:rPr>
          <w:sz w:val="20"/>
          <w:szCs w:val="20"/>
          <w:color w:val="auto"/>
        </w:rPr>
      </w:pPr>
      <w:r>
        <w:rPr>
          <w:rFonts w:ascii="Times New Roman" w:cs="Times New Roman" w:eastAsia="Times New Roman" w:hAnsi="Times New Roman"/>
          <w:sz w:val="17"/>
          <w:szCs w:val="17"/>
          <w:color w:val="auto"/>
        </w:rPr>
        <w:t>For the three and nine months ended September 30, 2013, we recorded $2.2 million and $6.5 million, respectively, of interest and financing expenses related to the SBA guaranteed debenture, of which $2.0 million and $6.0 million, respectively, was attributable to interest expense and $0.2 million and $0.5 million, respectively, of amortization of commitment and upfront fees. For the three and nine months ended September 30, 2012, we recorded $2.0 million and $5.8 million, respectively, of interest and financing expenses related to the SBA guaranteed debenture, of which $1.8 million and $5.3 million, respectively, was attributable to interest expense and $0.2 million and $0.5 million, respectively, of amortization of commitment and upfront fees. The weighted average interest rate for all SBA-guaranteed debentures as of September 30, 2013 and December 31, 2012 was 3.57% and 3.74%, respectively.</w:t>
      </w:r>
    </w:p>
    <w:p>
      <w:pPr>
        <w:spacing w:after="0" w:line="174"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As of September 30, 2013 and December 31, 2012, the Company’s issued and outstanding SBA-guaranteed debentures mature as follows (dollars in thousands):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Pooling</w:t>
            </w:r>
          </w:p>
        </w:tc>
        <w:tc>
          <w:tcPr>
            <w:tcW w:w="1460" w:type="dxa"/>
            <w:vAlign w:val="bottom"/>
            <w:vMerge w:val="restart"/>
          </w:tcPr>
          <w:p>
            <w:pPr>
              <w:spacing w:after="0"/>
              <w:rPr>
                <w:sz w:val="13"/>
                <w:szCs w:val="13"/>
                <w:color w:val="auto"/>
              </w:rPr>
            </w:pPr>
          </w:p>
        </w:tc>
        <w:tc>
          <w:tcPr>
            <w:tcW w:w="1060" w:type="dxa"/>
            <w:vAlign w:val="bottom"/>
          </w:tcPr>
          <w:p>
            <w:pPr>
              <w:spacing w:after="0"/>
              <w:rPr>
                <w:sz w:val="13"/>
                <w:szCs w:val="13"/>
                <w:color w:val="auto"/>
              </w:rPr>
            </w:pPr>
          </w:p>
        </w:tc>
        <w:tc>
          <w:tcPr>
            <w:tcW w:w="282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Fixed Maturity Date</w:t>
            </w:r>
          </w:p>
        </w:tc>
        <w:tc>
          <w:tcPr>
            <w:tcW w:w="440" w:type="dxa"/>
            <w:vAlign w:val="bottom"/>
            <w:vMerge w:val="restart"/>
          </w:tcPr>
          <w:p>
            <w:pPr>
              <w:spacing w:after="0"/>
              <w:rPr>
                <w:sz w:val="13"/>
                <w:szCs w:val="13"/>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620" w:type="dxa"/>
            <w:vAlign w:val="bottom"/>
            <w:vMerge w:val="restart"/>
          </w:tcPr>
          <w:p>
            <w:pPr>
              <w:spacing w:after="0"/>
              <w:rPr>
                <w:sz w:val="13"/>
                <w:szCs w:val="13"/>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6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CCEEFF"/>
            </w:tcBorders>
            <w:vMerge w:val="continue"/>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282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5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September 1,</w:t>
            </w:r>
          </w:p>
        </w:tc>
        <w:tc>
          <w:tcPr>
            <w:tcW w:w="14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2004</w:t>
            </w:r>
          </w:p>
        </w:tc>
        <w:tc>
          <w:tcPr>
            <w:tcW w:w="10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2014</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4.120%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1, 2004</w:t>
            </w:r>
          </w:p>
        </w:tc>
        <w:tc>
          <w:tcPr>
            <w:tcW w:w="4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September 1, 2014</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4.684%</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2005</w:t>
            </w:r>
          </w:p>
        </w:tc>
        <w:tc>
          <w:tcPr>
            <w:tcW w:w="43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September 1, 2015</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4.941%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1, 2005</w:t>
            </w:r>
          </w:p>
        </w:tc>
        <w:tc>
          <w:tcPr>
            <w:tcW w:w="4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September 1, 2015</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5.524%</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2006</w:t>
            </w:r>
          </w:p>
        </w:tc>
        <w:tc>
          <w:tcPr>
            <w:tcW w:w="43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September 1, 2016</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5.535%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 2009</w:t>
            </w:r>
          </w:p>
        </w:tc>
        <w:tc>
          <w:tcPr>
            <w:tcW w:w="4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March 1, 2019</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4.620%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2010</w:t>
            </w:r>
          </w:p>
        </w:tc>
        <w:tc>
          <w:tcPr>
            <w:tcW w:w="43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September 1, 2020</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3.215%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1, 2010</w:t>
            </w:r>
          </w:p>
        </w:tc>
        <w:tc>
          <w:tcPr>
            <w:tcW w:w="4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September 1, 2020</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3.215%</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2010</w:t>
            </w:r>
          </w:p>
        </w:tc>
        <w:tc>
          <w:tcPr>
            <w:tcW w:w="43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September 1, 2020</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3.215%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1, 2010</w:t>
            </w:r>
          </w:p>
        </w:tc>
        <w:tc>
          <w:tcPr>
            <w:tcW w:w="4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September 1, 2020</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3.215%</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2010</w:t>
            </w:r>
          </w:p>
        </w:tc>
        <w:tc>
          <w:tcPr>
            <w:tcW w:w="43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September 1, 2020</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3.215%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 2011</w:t>
            </w:r>
          </w:p>
        </w:tc>
        <w:tc>
          <w:tcPr>
            <w:tcW w:w="4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March 1, 2021</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4.084%</w:t>
            </w:r>
          </w:p>
        </w:tc>
        <w:tc>
          <w:tcPr>
            <w:tcW w:w="2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15,700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15,700</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2011</w:t>
            </w:r>
          </w:p>
        </w:tc>
        <w:tc>
          <w:tcPr>
            <w:tcW w:w="43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March 1, 2021</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4.084%</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 2011</w:t>
            </w:r>
          </w:p>
        </w:tc>
        <w:tc>
          <w:tcPr>
            <w:tcW w:w="4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March 1, 2021</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4.084%</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2011</w:t>
            </w:r>
          </w:p>
        </w:tc>
        <w:tc>
          <w:tcPr>
            <w:tcW w:w="43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March 1, 2021</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4.084%</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 2011</w:t>
            </w:r>
          </w:p>
        </w:tc>
        <w:tc>
          <w:tcPr>
            <w:tcW w:w="4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March 1, 2021</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4.084%</w:t>
            </w:r>
          </w:p>
        </w:tc>
        <w:tc>
          <w:tcPr>
            <w:tcW w:w="2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18,000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2011</w:t>
            </w:r>
          </w:p>
        </w:tc>
        <w:tc>
          <w:tcPr>
            <w:tcW w:w="43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March 1, 2021</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4.084%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14,000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 2012</w:t>
            </w:r>
          </w:p>
        </w:tc>
        <w:tc>
          <w:tcPr>
            <w:tcW w:w="4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March 1, 2022</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2.766%</w:t>
            </w:r>
          </w:p>
        </w:tc>
        <w:tc>
          <w:tcPr>
            <w:tcW w:w="2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2012</w:t>
            </w:r>
          </w:p>
        </w:tc>
        <w:tc>
          <w:tcPr>
            <w:tcW w:w="43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March 1, 2022</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2.766%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35,000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 2013</w:t>
            </w:r>
          </w:p>
        </w:tc>
        <w:tc>
          <w:tcPr>
            <w:tcW w:w="43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March 1, 2023</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2.351%</w:t>
            </w:r>
          </w:p>
        </w:tc>
        <w:tc>
          <w:tcPr>
            <w:tcW w:w="2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202,200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177,200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913"/>
        <w:spacing w:after="0" w:line="258" w:lineRule="auto"/>
        <w:rPr>
          <w:sz w:val="20"/>
          <w:szCs w:val="20"/>
          <w:color w:val="auto"/>
        </w:rPr>
      </w:pPr>
      <w:r>
        <w:rPr>
          <w:rFonts w:ascii="Times New Roman" w:cs="Times New Roman" w:eastAsia="Times New Roman" w:hAnsi="Times New Roman"/>
          <w:sz w:val="18"/>
          <w:szCs w:val="18"/>
          <w:color w:val="auto"/>
        </w:rPr>
        <w:t>ASC Topic 820 requires disclosure of the fair value of financial instruments for which it is practical to estimate such value. The Company estimates that the fair value of its SBA-guaranteed debentures is approximately $209.1 million and $185.8 million as of September 30, 2013 and December 31, 2012, respectively. The fair value estimate was based on future contractual cash payments discounted at market interest rates to borrow from the SBA as of the measurement date. Because the market interest rate is considered an unobservable input, SBA-guaranteed debentures are considered a level 3 financial instrument in the fair value hierarchy.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Directors Fees</w:t>
      </w:r>
    </w:p>
    <w:p>
      <w:pPr>
        <w:spacing w:after="0" w:line="121" w:lineRule="exact"/>
        <w:rPr>
          <w:sz w:val="20"/>
          <w:szCs w:val="20"/>
          <w:color w:val="auto"/>
        </w:rPr>
      </w:pPr>
    </w:p>
    <w:p>
      <w:pPr>
        <w:ind w:right="120" w:firstLine="913"/>
        <w:spacing w:after="0" w:line="258" w:lineRule="auto"/>
        <w:rPr>
          <w:sz w:val="20"/>
          <w:szCs w:val="20"/>
          <w:color w:val="auto"/>
        </w:rPr>
      </w:pPr>
      <w:r>
        <w:rPr>
          <w:rFonts w:ascii="Times New Roman" w:cs="Times New Roman" w:eastAsia="Times New Roman" w:hAnsi="Times New Roman"/>
          <w:sz w:val="18"/>
          <w:szCs w:val="18"/>
          <w:color w:val="auto"/>
        </w:rPr>
        <w:t>Our independent directors receive an annual fee of $50,000. They also receive $5,000 plus reimbursement of reasonable out-of-pocket expenses incurred in connection with attending each board meeting, and also receive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No compensation is expected to be paid to directors who are “interested persons” of the Company, as such term is defined in Section 2(a)(19) of the 1940 Act.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121"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On September 24, 2013, we issued 8,974,420 shares of common stock to the limited partners of the Legacy Funds, in exchange for 100% of their membership interests or certain investment assets of such Legacy Fund, as the case may be. On September 30, 2013, we issued 4,000,000 shares of common stock in connection with the closing of our IPO. The shares issued in the IPO were priced at $20.00 per share. We received proceeds of $76.0 million in the IPO, net of underwriters’ discounts and commissions of $4.0 million. The limited partners of the Legacy Funds bore the other $1.75 million in out of pocket expenses associated with the offering.</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Earnings Per Share</w:t>
      </w:r>
    </w:p>
    <w:p>
      <w:pPr>
        <w:spacing w:after="0" w:line="119" w:lineRule="exact"/>
        <w:rPr>
          <w:sz w:val="20"/>
          <w:szCs w:val="20"/>
          <w:color w:val="auto"/>
        </w:rPr>
      </w:pPr>
    </w:p>
    <w:p>
      <w:pPr>
        <w:ind w:right="300" w:firstLine="913"/>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the provisions of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 As of September 30, 2013, there were no dilutive shares.</w:t>
      </w:r>
    </w:p>
    <w:p>
      <w:pPr>
        <w:spacing w:after="0" w:line="176" w:lineRule="exact"/>
        <w:rPr>
          <w:sz w:val="20"/>
          <w:szCs w:val="20"/>
          <w:color w:val="auto"/>
        </w:rPr>
      </w:pPr>
    </w:p>
    <w:p>
      <w:pPr>
        <w:ind w:right="680" w:firstLine="913"/>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 of the weighted average basic and diluted net increase in net assets per share from operations for the three and nine months ended September 30, 2013 and 2012 (dollars in thousands except share and per share data):</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10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17"/>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Basic and diluted</w:t>
            </w:r>
          </w:p>
        </w:tc>
        <w:tc>
          <w:tcPr>
            <w:tcW w:w="66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2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Net increase in</w:t>
            </w:r>
          </w:p>
        </w:tc>
        <w:tc>
          <w:tcPr>
            <w:tcW w:w="45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assets from operations</w:t>
            </w: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22,062</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12,974,420</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12,974,420</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per share from operations-basic and diluted</w:t>
            </w:r>
          </w:p>
        </w:tc>
        <w:tc>
          <w:tcPr>
            <w:tcW w:w="7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Dividend</w:t>
      </w:r>
    </w:p>
    <w:p>
      <w:pPr>
        <w:spacing w:after="0" w:line="121" w:lineRule="exact"/>
        <w:rPr>
          <w:sz w:val="20"/>
          <w:szCs w:val="20"/>
          <w:color w:val="auto"/>
        </w:rPr>
      </w:pPr>
    </w:p>
    <w:p>
      <w:pPr>
        <w:ind w:right="120" w:firstLine="913"/>
        <w:spacing w:after="0" w:line="282" w:lineRule="auto"/>
        <w:rPr>
          <w:sz w:val="20"/>
          <w:szCs w:val="20"/>
          <w:color w:val="auto"/>
        </w:rPr>
      </w:pPr>
      <w:r>
        <w:rPr>
          <w:rFonts w:ascii="Times New Roman" w:cs="Times New Roman" w:eastAsia="Times New Roman" w:hAnsi="Times New Roman"/>
          <w:sz w:val="18"/>
          <w:szCs w:val="18"/>
          <w:color w:val="auto"/>
        </w:rPr>
        <w:t>The Company’s dividends and distributions are recorded on the record date. Shareholders have the option to receive payment of the dividend in cash, shares of common stock, or a combination of cash and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Financial Highlights</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is a schedule of financial highlights for the nine months ended September 30, 2013 (dollars in thousands, except share and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data):</w:t>
      </w:r>
    </w:p>
    <w:p>
      <w:pPr>
        <w:spacing w:after="0" w:line="227" w:lineRule="exact"/>
        <w:rPr>
          <w:sz w:val="20"/>
          <w:szCs w:val="20"/>
          <w:color w:val="auto"/>
        </w:rPr>
      </w:pPr>
    </w:p>
    <w:tbl>
      <w:tblPr>
        <w:tblLayout w:type="fixed"/>
        <w:tblInd w:w="18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36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 share data:</w:t>
            </w:r>
          </w:p>
        </w:tc>
        <w:tc>
          <w:tcPr>
            <w:tcW w:w="9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at beginning of period(1)</w:t>
            </w:r>
          </w:p>
        </w:tc>
        <w:tc>
          <w:tcPr>
            <w:tcW w:w="11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3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income(2)</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 on investments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appreciation on investments</w:t>
            </w:r>
          </w:p>
        </w:tc>
        <w:tc>
          <w:tcPr>
            <w:tcW w:w="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stockholders’ equity</w:t>
            </w: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contributions from partners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Capital distributions to partners</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3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at end of period</w:t>
            </w:r>
          </w:p>
        </w:tc>
        <w:tc>
          <w:tcPr>
            <w:tcW w:w="11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assets at end of period</w:t>
            </w:r>
          </w:p>
        </w:tc>
        <w:tc>
          <w:tcPr>
            <w:tcW w:w="11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269,722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end of period</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12,974,420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Per share market value at end of period</w:t>
            </w:r>
          </w:p>
        </w:tc>
        <w:tc>
          <w:tcPr>
            <w:tcW w:w="11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return based on market value(3)</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Ratio/Supplemental data:</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net investment income to average, net assets(1)(5)</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Ratio of operating expenses to average net assets(1)(5)</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incentive management fees to average net assets(1)(5)</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Ratio of debt related expenses to average net assets(1)(5)</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total expenses to average net assets(1)(5)</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Portfolio turnover rate(4)</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346"/>
        </w:trPr>
        <w:tc>
          <w:tcPr>
            <w:tcW w:w="540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27</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240" w:hanging="452"/>
        <w:spacing w:after="0" w:line="257"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as of January 1, 2013 and average net assets for the nine months ended September 30, 2013 are presented as if the Offering and Formation Transactions had occurred on January 1, 2013. See Note 2 for a further description of the basis of presentation of the Company’s financial statements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income per share is calculated using the weighted average shares outstanding during the period.</w:t>
      </w:r>
    </w:p>
    <w:p>
      <w:pPr>
        <w:spacing w:after="0" w:line="9"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investment return is calculated assuming a purchase of common shares at the IPO offering price per share at September 25, 2013 of $20.00 and a sale at the current market value on the last day of the period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turnover rate is calculated using the lesser of year-to-date sales or year-to-date purchases over the average of the invested assets at fair value.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Ratios are annualized.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Subsequent Events</w:t>
      </w:r>
    </w:p>
    <w:p>
      <w:pPr>
        <w:spacing w:after="0" w:line="121" w:lineRule="exact"/>
        <w:rPr>
          <w:sz w:val="20"/>
          <w:szCs w:val="20"/>
          <w:color w:val="auto"/>
        </w:rPr>
      </w:pPr>
    </w:p>
    <w:p>
      <w:pPr>
        <w:jc w:val="both"/>
        <w:ind w:right="120" w:firstLine="913"/>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and for the three and nine month periods ended September 30, 2013.</w:t>
      </w:r>
    </w:p>
    <w:p>
      <w:pPr>
        <w:spacing w:after="0" w:line="176" w:lineRule="exact"/>
        <w:rPr>
          <w:sz w:val="20"/>
          <w:szCs w:val="20"/>
          <w:color w:val="auto"/>
        </w:rPr>
      </w:pPr>
    </w:p>
    <w:p>
      <w:pPr>
        <w:ind w:right="720" w:firstLine="913"/>
        <w:spacing w:after="0" w:line="282" w:lineRule="auto"/>
        <w:rPr>
          <w:sz w:val="20"/>
          <w:szCs w:val="20"/>
          <w:color w:val="auto"/>
        </w:rPr>
      </w:pPr>
      <w:r>
        <w:rPr>
          <w:rFonts w:ascii="Times New Roman" w:cs="Times New Roman" w:eastAsia="Times New Roman" w:hAnsi="Times New Roman"/>
          <w:sz w:val="18"/>
          <w:szCs w:val="18"/>
          <w:color w:val="auto"/>
        </w:rPr>
        <w:t>On October 28, 2013, the Company invested $6.0 million in Crowley Holdings Inc. in Series A Preferred Equity, secured by underlying subordinated debt, earning 10% cash and 2% PIK.</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On October 28, 2013, the Company invested $2.06 million in Source Capital SSCR, LLC in subordinated debt, earning 14% cash and 5% PIK.</w:t>
      </w:r>
    </w:p>
    <w:p>
      <w:pPr>
        <w:spacing w:after="0" w:line="225" w:lineRule="exact"/>
        <w:rPr>
          <w:sz w:val="20"/>
          <w:szCs w:val="20"/>
          <w:color w:val="auto"/>
        </w:rPr>
      </w:pPr>
    </w:p>
    <w:p>
      <w:pPr>
        <w:ind w:right="20" w:firstLine="913"/>
        <w:spacing w:after="0" w:line="282" w:lineRule="auto"/>
        <w:rPr>
          <w:sz w:val="20"/>
          <w:szCs w:val="20"/>
          <w:color w:val="auto"/>
        </w:rPr>
      </w:pPr>
      <w:r>
        <w:rPr>
          <w:rFonts w:ascii="Times New Roman" w:cs="Times New Roman" w:eastAsia="Times New Roman" w:hAnsi="Times New Roman"/>
          <w:sz w:val="18"/>
          <w:szCs w:val="18"/>
          <w:color w:val="auto"/>
        </w:rPr>
        <w:t>On November 1, 2013, the Company invested $11.1 million in TCE Holding Company, with $9.6 million in subordinated debt, earning 12% cash and 2% PIK, and $1.5 million in common stock.</w:t>
      </w:r>
    </w:p>
    <w:p>
      <w:pPr>
        <w:spacing w:after="0" w:line="162" w:lineRule="exact"/>
        <w:rPr>
          <w:sz w:val="20"/>
          <w:szCs w:val="20"/>
          <w:color w:val="auto"/>
        </w:rPr>
      </w:pPr>
    </w:p>
    <w:p>
      <w:pPr>
        <w:ind w:right="260" w:firstLine="913"/>
        <w:spacing w:after="0" w:line="282" w:lineRule="auto"/>
        <w:rPr>
          <w:sz w:val="20"/>
          <w:szCs w:val="20"/>
          <w:color w:val="auto"/>
        </w:rPr>
      </w:pPr>
      <w:r>
        <w:rPr>
          <w:rFonts w:ascii="Times New Roman" w:cs="Times New Roman" w:eastAsia="Times New Roman" w:hAnsi="Times New Roman"/>
          <w:sz w:val="18"/>
          <w:szCs w:val="18"/>
          <w:color w:val="auto"/>
        </w:rPr>
        <w:t>On November 11, 2013, the Company’s Board of Directors declared a quarterly dividend of $0.47 per share payable on December 30, 2013 to holders of record as of December 10, 2013.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780" w:firstLine="913"/>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financial statements and related notes and other financial information appearing elsewhere in this Quarterly Report on Form 10-Q.</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Except as otherwise specified, references to “we,” “us,” “our” or the “Company”, refer to Capitala Finance Corp.</w:t>
      </w:r>
    </w:p>
    <w:p>
      <w:pPr>
        <w:spacing w:after="0" w:line="225"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This Quarterly Report,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involve risks and uncertainties, including statements as to:</w:t>
      </w:r>
    </w:p>
    <w:p>
      <w:pPr>
        <w:spacing w:after="0" w:line="131" w:lineRule="exact"/>
        <w:rPr>
          <w:sz w:val="20"/>
          <w:szCs w:val="20"/>
          <w:color w:val="auto"/>
        </w:rPr>
      </w:pPr>
    </w:p>
    <w:p>
      <w:pPr>
        <w:ind w:left="1460" w:hanging="547"/>
        <w:spacing w:after="0"/>
        <w:tabs>
          <w:tab w:leader="none" w:pos="1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30" w:lineRule="exact"/>
        <w:rPr>
          <w:rFonts w:ascii="Times New Roman" w:cs="Times New Roman" w:eastAsia="Times New Roman" w:hAnsi="Times New Roman"/>
          <w:sz w:val="18"/>
          <w:szCs w:val="18"/>
          <w:color w:val="auto"/>
        </w:rPr>
      </w:pPr>
    </w:p>
    <w:p>
      <w:pPr>
        <w:jc w:val="center"/>
        <w:ind w:left="5620" w:right="1800" w:hanging="4707"/>
        <w:spacing w:after="0" w:line="454" w:lineRule="auto"/>
        <w:tabs>
          <w:tab w:leader="none" w:pos="14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 28</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w:t>
      </w:r>
    </w:p>
    <w:p>
      <w:pPr>
        <w:spacing w:after="0" w:line="130" w:lineRule="exact"/>
        <w:rPr>
          <w:rFonts w:ascii="Times New Roman" w:cs="Times New Roman" w:eastAsia="Times New Roman" w:hAnsi="Times New Roman"/>
          <w:sz w:val="18"/>
          <w:szCs w:val="18"/>
          <w:color w:val="auto"/>
        </w:rPr>
      </w:pPr>
    </w:p>
    <w:p>
      <w:pPr>
        <w:ind w:left="1460" w:right="580" w:hanging="547"/>
        <w:spacing w:after="0" w:line="282" w:lineRule="auto"/>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exemptive relief from the SEC to co-invest and to engage in joint restructuring transactions or joint follow-on investments;</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 and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w:t>
      </w:r>
    </w:p>
    <w:p>
      <w:pPr>
        <w:spacing w:after="0" w:line="225"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82" w:lineRule="exact"/>
        <w:rPr>
          <w:sz w:val="20"/>
          <w:szCs w:val="20"/>
          <w:color w:val="auto"/>
        </w:rPr>
      </w:pPr>
    </w:p>
    <w:p>
      <w:pPr>
        <w:ind w:left="1460" w:right="20" w:hanging="547"/>
        <w:spacing w:after="0" w:line="282" w:lineRule="auto"/>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ability to continue to operate or repay their borrowings, which could lead to the loss of some or all of our investments in such portfolio companies;</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could impair our lending and investment activities;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could adversely affect our results, particularly if we use leverage as part of our investment strategy; and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“Risk Factors” and elsewhere in this Quarterly Report on Form 10-Q.</w:t>
      </w:r>
    </w:p>
    <w:p>
      <w:pPr>
        <w:spacing w:after="0" w:line="225" w:lineRule="exact"/>
        <w:rPr>
          <w:sz w:val="20"/>
          <w:szCs w:val="20"/>
          <w:color w:val="auto"/>
        </w:rPr>
      </w:pPr>
    </w:p>
    <w:p>
      <w:pPr>
        <w:ind w:right="140" w:firstLine="913"/>
        <w:spacing w:after="0" w:line="255"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this Quarterly Report on Form 10-Q.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Securities and Exchange Commission (“SEC”) rule or regulation.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We are a Maryland corporation that has elected to be treated as a business development company (“BDC”) under the Investment Company Act of 1940 (the “1940 Act”). Our investment objective is to generate both current income and capital appreciation through debt and equity investments. We are managed by Capitala Investment Advisors (the “Investment Advisor”), and Capitala Advisors Corp. (the “Administrator”) provides the administrative services necessary for us to operate.</w:t>
      </w:r>
    </w:p>
    <w:p>
      <w:pPr>
        <w:spacing w:after="0" w:line="180" w:lineRule="exact"/>
        <w:rPr>
          <w:sz w:val="20"/>
          <w:szCs w:val="20"/>
          <w:color w:val="auto"/>
        </w:rPr>
      </w:pPr>
    </w:p>
    <w:p>
      <w:pPr>
        <w:ind w:right="60" w:firstLine="913"/>
        <w:spacing w:after="0" w:line="261" w:lineRule="auto"/>
        <w:rPr>
          <w:sz w:val="20"/>
          <w:szCs w:val="20"/>
          <w:color w:val="auto"/>
        </w:rPr>
      </w:pPr>
      <w:r>
        <w:rPr>
          <w:rFonts w:ascii="Times New Roman" w:cs="Times New Roman" w:eastAsia="Times New Roman" w:hAnsi="Times New Roman"/>
          <w:sz w:val="18"/>
          <w:szCs w:val="18"/>
          <w:color w:val="auto"/>
        </w:rPr>
        <w:t>We provide capital to smaller and lower middle-market companies in the United States, with a non-exclusive emphasis on the Southeast, Southwest and Mid-Atlantic regions. We invest primarily in companies with a history of earnings growth and positive cash flow, proven management teams, product or service with competitive advantages and industry-appropriate margins. We primarily invest in companies with between $5 million and $30 million in trailing twelve month EBITDA.</w:t>
      </w:r>
    </w:p>
    <w:p>
      <w:pPr>
        <w:spacing w:after="0" w:line="180" w:lineRule="exact"/>
        <w:rPr>
          <w:sz w:val="20"/>
          <w:szCs w:val="20"/>
          <w:color w:val="auto"/>
        </w:rPr>
      </w:pPr>
    </w:p>
    <w:p>
      <w:pPr>
        <w:ind w:right="120" w:firstLine="913"/>
        <w:spacing w:after="0" w:line="266" w:lineRule="auto"/>
        <w:rPr>
          <w:sz w:val="20"/>
          <w:szCs w:val="20"/>
          <w:color w:val="auto"/>
        </w:rPr>
      </w:pPr>
      <w:r>
        <w:rPr>
          <w:rFonts w:ascii="Times New Roman" w:cs="Times New Roman" w:eastAsia="Times New Roman" w:hAnsi="Times New Roman"/>
          <w:sz w:val="18"/>
          <w:szCs w:val="18"/>
          <w:color w:val="auto"/>
        </w:rPr>
        <w:t>We invest in mezzanine and senior subordinated debt investments that are secured by subordinated liens on all of our borrowers’ assets and, to a lesser extent, in senior, cash flow-based “unitranche” securities. Most of our debt investments are coupled with equity interests, whether in the form of detachable “penny” warrants or equity co-investments made pari passu with our borrowers’ financial sponsors.</w:t>
      </w:r>
    </w:p>
    <w:p>
      <w:pPr>
        <w:sectPr>
          <w:pgSz w:w="11900" w:h="16838" w:orient="portrait"/>
          <w:cols w:equalWidth="0" w:num="1">
            <w:col w:w="11420"/>
          </w:cols>
          <w:pgMar w:left="240" w:top="455"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21"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Immediately prior to our initial public offering (“IPO”), through a series of transactions (the “Formation Transactions”), we acquired all the equity interests in CapitalSouth Partners Fund II Limited Partnership (“Fund II”), CapitalSouth Partners SBIC Fund III, L.P. (“Fund III”), CapitalSouth Partners Florida Sidecar Fund I, L.P. (“Florida Sidecar”) and each such fund’s respective general partners, as well as certain assets from CapitalSouth Partners Fund I Limited Partnership (“Fund I”) and CapitalSouth Partners Fund III, L.P. (“Fund III Parent”, and together with Fund I, Fund II, Fund III and Florida Sidecar, the “Legacy Funds”), which collectively constitute our portfolio. The investments included in our portfolio had a collective fair value of approximately $315.6 million as of June 30, 2013, as determined by our board of directors based on management’s internal analysis and positive assurance from a third-party independent valuation firm. At the time of the Formation Transactions, our portfolio consisted of: (1) approximately $326.3 million in investments; (2) an aggregate of approximately $67.1 million in cash,</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117"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interest receivable and other assets; and (3) liabilities of approximately $202.2 million of SBA-guaranteed debt payable. In connection with our acquisition of our portfolio, we issued an aggregate of approximately 9.0 million shares of our common stock to the investors in the Legacy Funds. We have two SBIC-licensed subsidiaries that have elected to be treated as BDCs under the 1940 Act. We may also seek other forms of leverage and borrow funds to make investments, including before we have fully invested the proceeds of this offering.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right="100" w:firstLine="913"/>
        <w:spacing w:after="0" w:line="258" w:lineRule="auto"/>
        <w:rPr>
          <w:sz w:val="20"/>
          <w:szCs w:val="20"/>
          <w:color w:val="auto"/>
        </w:rPr>
      </w:pPr>
      <w:r>
        <w:rPr>
          <w:rFonts w:ascii="Times New Roman" w:cs="Times New Roman" w:eastAsia="Times New Roman" w:hAnsi="Times New Roman"/>
          <w:sz w:val="18"/>
          <w:szCs w:val="18"/>
          <w:color w:val="auto"/>
        </w:rPr>
        <w:t>We generate revenue primarily from the periodic cash interest we will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 Further, we may generate revenue in the form of commitment, origination, structuring or diligence fees, monitoring fees, fees for providing managerial assistance and possibly consulting fees and performance-based fees. These fees will be recognized as they are earned.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right="60" w:firstLine="913"/>
        <w:spacing w:after="0" w:line="258" w:lineRule="auto"/>
        <w:rPr>
          <w:sz w:val="20"/>
          <w:szCs w:val="20"/>
          <w:color w:val="auto"/>
        </w:rPr>
      </w:pPr>
      <w:r>
        <w:rPr>
          <w:rFonts w:ascii="Times New Roman" w:cs="Times New Roman" w:eastAsia="Times New Roman" w:hAnsi="Times New Roman"/>
          <w:sz w:val="18"/>
          <w:szCs w:val="18"/>
          <w:color w:val="auto"/>
        </w:rPr>
        <w:t>Our primary operating expenses include the payment of investment advisory fees to our investment adviser, Capitala Investment Advisors, LLC, our allocable portion of overhead and other expenses incurred by our Administrator in performing its obligations under the Administration Agreement and other operating expenses as detailed below. Our investment advisory fee will compensate our investment adviser for its work in identifying, evaluating, negotiating, closing, monitoring and servicing our investments. We will bear all other expenses of our operations and transactions, including (without limitation):</w:t>
      </w:r>
    </w:p>
    <w:p>
      <w:pPr>
        <w:spacing w:after="0" w:line="89" w:lineRule="exact"/>
        <w:rPr>
          <w:sz w:val="20"/>
          <w:szCs w:val="20"/>
          <w:color w:val="auto"/>
        </w:rPr>
      </w:pPr>
    </w:p>
    <w:p>
      <w:pPr>
        <w:ind w:left="1460" w:hanging="547"/>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organization;</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calculating our net asset value, including the cost of any third-party valuation services;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effecting sales and repurchases of our shares and other securities;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debt, if any, to finance our investments;</w:t>
      </w:r>
    </w:p>
    <w:p>
      <w:pPr>
        <w:spacing w:after="0" w:line="130" w:lineRule="exact"/>
        <w:rPr>
          <w:rFonts w:ascii="Times New Roman" w:cs="Times New Roman" w:eastAsia="Times New Roman" w:hAnsi="Times New Roman"/>
          <w:sz w:val="18"/>
          <w:szCs w:val="18"/>
          <w:color w:val="auto"/>
        </w:rPr>
      </w:pPr>
    </w:p>
    <w:p>
      <w:pPr>
        <w:ind w:left="1460" w:right="140" w:hanging="547"/>
        <w:spacing w:after="0" w:line="282" w:lineRule="auto"/>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payable to third parties relating to, or associated with, making investments, including fees and expenses associated with performing due diligence reviews of prospective investments and advisory fees;</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marketing efforts;</w:t>
      </w:r>
    </w:p>
    <w:p>
      <w:pPr>
        <w:spacing w:after="0" w:line="130" w:lineRule="exact"/>
        <w:rPr>
          <w:rFonts w:ascii="Times New Roman" w:cs="Times New Roman" w:eastAsia="Times New Roman" w:hAnsi="Times New Roman"/>
          <w:sz w:val="18"/>
          <w:szCs w:val="18"/>
          <w:color w:val="auto"/>
        </w:rPr>
      </w:pPr>
    </w:p>
    <w:p>
      <w:pPr>
        <w:ind w:left="1460" w:right="140" w:hanging="547"/>
        <w:spacing w:after="0" w:line="282" w:lineRule="auto"/>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reporting and compliance obligations under the 1940 Act, the Exchange Act, other applicable federal and state securities laws and ongoing stock exchange listing fees;</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taxes;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proxy statements, stockholders’ reports and other communications with stockholders;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fidelity bond, directors’ and officers’ liability insurance, errors and omissions liability insurance and other insurance premiums;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printing, mailing, telephone and staff;</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independent audits and outside legal costs; and</w:t>
      </w:r>
    </w:p>
    <w:p>
      <w:pPr>
        <w:spacing w:after="0" w:line="130" w:lineRule="exact"/>
        <w:rPr>
          <w:rFonts w:ascii="Times New Roman" w:cs="Times New Roman" w:eastAsia="Times New Roman" w:hAnsi="Times New Roman"/>
          <w:sz w:val="18"/>
          <w:szCs w:val="18"/>
          <w:color w:val="auto"/>
        </w:rPr>
      </w:pPr>
    </w:p>
    <w:p>
      <w:pPr>
        <w:ind w:left="1460" w:hanging="547"/>
        <w:spacing w:after="0" w:line="258" w:lineRule="auto"/>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and our chief financial officer and any administrative support staff.</w:t>
      </w:r>
    </w:p>
    <w:p>
      <w:pPr>
        <w:sectPr>
          <w:pgSz w:w="11900" w:h="16838" w:orient="portrait"/>
          <w:cols w:equalWidth="0" w:num="1">
            <w:col w:w="11400"/>
          </w:cols>
          <w:pgMar w:left="240" w:top="455" w:right="2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In the preparation of our unaudited financial statements and related disclosures, we have adopted various accounting policies that govern the application of accounting principles generally accepted in the United States (“U.S. GAAP”). Our significant accounting policies are described in Note 2 to the Consolidated Financial Statements. While all of these policies are important to understanding our financial statements, certain accounting policies and estimates are considered critical due to their impact on the reported amounts of assets and liabilities at the date of the unaudited financial statements and the reported amounts of revenues and expenses for the periods covered by such financial statements. We have identified investment valuation and revenue recognition as our most critical accounting estimates. We continuously evaluate our estimates, including those related to the matters described below. Because of the nature of the judgment and assumptions we make, actual results could differ material from those estimates under different assumptions or conditions. A discussion of our critical accounting policies follows.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17"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Investments</w:t>
      </w:r>
    </w:p>
    <w:p>
      <w:pPr>
        <w:spacing w:after="0" w:line="119" w:lineRule="exact"/>
        <w:rPr>
          <w:sz w:val="20"/>
          <w:szCs w:val="20"/>
          <w:color w:val="auto"/>
        </w:rPr>
      </w:pPr>
    </w:p>
    <w:p>
      <w:pPr>
        <w:ind w:right="200" w:firstLine="913"/>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fair value accounting to all of its financial instruments in accordance with the 1940 Act and ASC Topic 820 -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 and Disclosures</w:t>
      </w:r>
      <w:r>
        <w:rPr>
          <w:rFonts w:ascii="Times New Roman" w:cs="Times New Roman" w:eastAsia="Times New Roman" w:hAnsi="Times New Roman"/>
          <w:sz w:val="18"/>
          <w:szCs w:val="18"/>
          <w:color w:val="auto"/>
        </w:rPr>
        <w:t>. ASC 820 defines fair value, establishes a framework used to measure fair value and requires disclosures for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measurements. In accordance with ASC 820, the Fund has categorized its financial instruments carried at fair value, based on the priority of the valuation technique, into a three-level fair value hierarchy as discussed in Note 3.</w:t>
      </w:r>
    </w:p>
    <w:p>
      <w:pPr>
        <w:spacing w:after="0" w:line="182" w:lineRule="exact"/>
        <w:rPr>
          <w:sz w:val="20"/>
          <w:szCs w:val="20"/>
          <w:color w:val="auto"/>
        </w:rPr>
      </w:pPr>
    </w:p>
    <w:p>
      <w:pPr>
        <w:ind w:right="100" w:firstLine="913"/>
        <w:spacing w:after="0" w:line="261" w:lineRule="auto"/>
        <w:rPr>
          <w:sz w:val="20"/>
          <w:szCs w:val="20"/>
          <w:color w:val="auto"/>
        </w:rPr>
      </w:pPr>
      <w:r>
        <w:rPr>
          <w:rFonts w:ascii="Times New Roman" w:cs="Times New Roman" w:eastAsia="Times New Roman" w:hAnsi="Times New Roman"/>
          <w:sz w:val="18"/>
          <w:szCs w:val="18"/>
          <w:color w:val="auto"/>
        </w:rPr>
        <w:t>In determining fair value, our board of directors uses various valuation approaches, and engages a third-party independent valuation firm, which provides positive assurance on the investments they review.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0"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Observable inputs are those that market participants would use in pricing the asset or liability based on market data obtained from sources independent of the board of directors. Unobservable inputs reflect the board of directors’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68" w:lineRule="exact"/>
        <w:rPr>
          <w:sz w:val="20"/>
          <w:szCs w:val="20"/>
          <w:color w:val="auto"/>
        </w:rPr>
      </w:pPr>
    </w:p>
    <w:p>
      <w:pPr>
        <w:ind w:left="920" w:righ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Valuations based on unadjusted quoted prices in active markets for identical assets or liabilities that the Company has the ability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63" w:lineRule="exact"/>
        <w:rPr>
          <w:sz w:val="20"/>
          <w:szCs w:val="20"/>
          <w:color w:val="auto"/>
        </w:rPr>
      </w:pPr>
    </w:p>
    <w:p>
      <w:pPr>
        <w:ind w:left="920"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Valuations based on quoted prices in markets that are not active or for which all significant inputs are observable, either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w:t>
      </w:r>
    </w:p>
    <w:p>
      <w:pPr>
        <w:spacing w:after="0" w:line="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Valuations based on inputs that are unobservable and significant to the overall fair value measurement.</w:t>
      </w:r>
    </w:p>
    <w:p>
      <w:pPr>
        <w:spacing w:after="0" w:line="229"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of directors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9"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Techniques</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Senior and Subordinated Secured Loans</w:t>
      </w:r>
    </w:p>
    <w:p>
      <w:pPr>
        <w:spacing w:after="0" w:line="119" w:lineRule="exact"/>
        <w:rPr>
          <w:sz w:val="20"/>
          <w:szCs w:val="20"/>
          <w:color w:val="auto"/>
        </w:rPr>
      </w:pPr>
    </w:p>
    <w:p>
      <w:pPr>
        <w:ind w:right="100" w:firstLine="913"/>
        <w:spacing w:after="0" w:line="256" w:lineRule="auto"/>
        <w:rPr>
          <w:sz w:val="20"/>
          <w:szCs w:val="20"/>
          <w:color w:val="auto"/>
        </w:rPr>
      </w:pPr>
      <w:r>
        <w:rPr>
          <w:rFonts w:ascii="Times New Roman" w:cs="Times New Roman" w:eastAsia="Times New Roman" w:hAnsi="Times New Roman"/>
          <w:sz w:val="18"/>
          <w:szCs w:val="18"/>
          <w:color w:val="auto"/>
        </w:rPr>
        <w:t>The Fund’s portfolio primarily consists of private debt instruments (“Level 3 debt”). We consider our Level 3 debt to be performing loans if the borrower is not in default, the borrower is remitting payments in a timely manner, the loan is in covenant compliance or is otherwise not deemed to be impaired. In determining the fair value of the performing Level 3 debt, the Company’s board of directors considers fluctuations in current interest rates, the trends in yields of debt instruments with similar credit ratings (if applicable), the financial condition of the borrower, economic conditions and other relevant factors, both qualitative and quantitative. In the event that a Level 3 debt instrument is not performing, as defined above, the board of directors will evaluate the value of the collateral utilizing the same framework described above for a performing loan to determine the value of the Level 3 debt instrument.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61" w:lineRule="auto"/>
        <w:rPr>
          <w:sz w:val="20"/>
          <w:szCs w:val="20"/>
          <w:color w:val="auto"/>
        </w:rPr>
      </w:pPr>
      <w:r>
        <w:rPr>
          <w:rFonts w:ascii="Times New Roman" w:cs="Times New Roman" w:eastAsia="Times New Roman" w:hAnsi="Times New Roman"/>
          <w:sz w:val="18"/>
          <w:szCs w:val="18"/>
          <w:color w:val="auto"/>
        </w:rPr>
        <w:t>This evaluation will be updated no less than quarterly for Level 3 debt instruments that are not performing, and more frequently for time periods where there are significant changes in the collateral or significant changes in the perceived performance of the underlying portfolio company. The collateral value will be analyzed on an ongoing basis using internal metrics, appraisals, third-party valuation agents and other data as may be acquired and analyzed by our management and board of directors.</w:t>
      </w:r>
    </w:p>
    <w:p>
      <w:pPr>
        <w:spacing w:after="0" w:line="2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Equity Investments in Private Companies</w:t>
      </w:r>
    </w:p>
    <w:p>
      <w:pPr>
        <w:spacing w:after="0" w:line="119" w:lineRule="exact"/>
        <w:rPr>
          <w:sz w:val="20"/>
          <w:szCs w:val="20"/>
          <w:color w:val="auto"/>
        </w:rPr>
      </w:pPr>
    </w:p>
    <w:p>
      <w:pPr>
        <w:jc w:val="both"/>
        <w:ind w:right="80" w:firstLine="913"/>
        <w:spacing w:after="0" w:line="266" w:lineRule="auto"/>
        <w:rPr>
          <w:sz w:val="20"/>
          <w:szCs w:val="20"/>
          <w:color w:val="auto"/>
        </w:rPr>
      </w:pPr>
      <w:r>
        <w:rPr>
          <w:rFonts w:ascii="Times New Roman" w:cs="Times New Roman" w:eastAsia="Times New Roman" w:hAnsi="Times New Roman"/>
          <w:sz w:val="18"/>
          <w:szCs w:val="18"/>
          <w:color w:val="auto"/>
        </w:rPr>
        <w:t>Our board of directors determines the fair value of its investments in private companies by incorporating valuations that consider the evaluation of financing and sale transactions with third-parties, expected cash flows and market-based information, including comparable transactions, and performance multiples, among other factors, and may use third-party valuation agents. Such non-public investments are included in Level 3 of the fair value hierarchy.</w:t>
      </w:r>
    </w:p>
    <w:p>
      <w:pPr>
        <w:spacing w:after="0" w:line="28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right="120" w:firstLine="913"/>
        <w:spacing w:after="0" w:line="266" w:lineRule="auto"/>
        <w:rPr>
          <w:sz w:val="20"/>
          <w:szCs w:val="20"/>
          <w:color w:val="auto"/>
        </w:rPr>
      </w:pPr>
      <w:r>
        <w:rPr>
          <w:rFonts w:ascii="Times New Roman" w:cs="Times New Roman" w:eastAsia="Times New Roman" w:hAnsi="Times New Roman"/>
          <w:sz w:val="18"/>
          <w:szCs w:val="18"/>
          <w:color w:val="auto"/>
        </w:rPr>
        <w:t>Our board of directors will ascribe value to warrants based on fair value holdings that can include discounted cash flow analyses, option pricing models, comparable analyses and other techniques as deemed appropriate. Such warrants are included in Level 3 of the fair value hierarchy to the extent issued by non-public companies.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 recognition policies are as follows:</w:t>
      </w:r>
    </w:p>
    <w:p>
      <w:pPr>
        <w:spacing w:after="0" w:line="223"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Income and Paid-in Kind Interest: </w:t>
      </w:r>
      <w:r>
        <w:rPr>
          <w:rFonts w:ascii="Times New Roman" w:cs="Times New Roman" w:eastAsia="Times New Roman" w:hAnsi="Times New Roman"/>
          <w:sz w:val="18"/>
          <w:szCs w:val="18"/>
          <w:color w:val="auto"/>
        </w:rPr>
        <w:t>Interest income is recorded on the accrual basis to the extent that such amounts are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collected. The company has loans in the portfolio that contain a payment-in-kind (“PIK”)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80" w:lineRule="exact"/>
        <w:rPr>
          <w:sz w:val="20"/>
          <w:szCs w:val="20"/>
          <w:color w:val="auto"/>
        </w:rPr>
      </w:pPr>
    </w:p>
    <w:p>
      <w:pPr>
        <w:ind w:right="60" w:firstLine="91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Non-accrual income: </w:t>
      </w:r>
      <w:r>
        <w:rPr>
          <w:rFonts w:ascii="Times New Roman" w:cs="Times New Roman" w:eastAsia="Times New Roman" w:hAnsi="Times New Roman"/>
          <w:sz w:val="18"/>
          <w:szCs w:val="18"/>
          <w:color w:val="auto"/>
        </w:rPr>
        <w:t>Generally, when interest and/or principal payments on a loan become past due, or if the Company otherwise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 the borrower to be able to service its debt and other obligations, the Company will place the loan on non-accrual status, and will generally cease recognizing interest income on that loan for financial reporting purposes, until all principal and interest has been brought current through payment or due to a restructuring such that the interest income is deemed to be collectible. The Company writes off any previously accrued and uncollected interest when it is determined that interest is no longer considered collectible. Non-accrual loans are returned to accrual status when all past due principal and interest are current and, in management’s judgment, are likely to remain current.</w:t>
      </w:r>
    </w:p>
    <w:p>
      <w:pPr>
        <w:spacing w:after="0" w:line="18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 xml:space="preserve">Gains and Losses on investment sales and paydowns: </w:t>
      </w:r>
      <w:r>
        <w:rPr>
          <w:rFonts w:ascii="Times New Roman" w:cs="Times New Roman" w:eastAsia="Times New Roman" w:hAnsi="Times New Roman"/>
          <w:sz w:val="18"/>
          <w:szCs w:val="18"/>
          <w:color w:val="auto"/>
        </w:rPr>
        <w:t>Realized gains and losses on investments are recognized using the specific identification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w:t>
      </w:r>
    </w:p>
    <w:p>
      <w:pPr>
        <w:spacing w:after="0" w:line="2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 xml:space="preserve">Dividend Income: </w:t>
      </w:r>
      <w:r>
        <w:rPr>
          <w:rFonts w:ascii="Times New Roman" w:cs="Times New Roman" w:eastAsia="Times New Roman" w:hAnsi="Times New Roman"/>
          <w:sz w:val="18"/>
          <w:szCs w:val="18"/>
          <w:color w:val="auto"/>
        </w:rPr>
        <w:t>Dividend income is recognized on the date dividends are declared.</w:t>
      </w:r>
    </w:p>
    <w:p>
      <w:pPr>
        <w:spacing w:after="0" w:line="225" w:lineRule="exact"/>
        <w:rPr>
          <w:sz w:val="20"/>
          <w:szCs w:val="20"/>
          <w:color w:val="auto"/>
        </w:rPr>
      </w:pPr>
    </w:p>
    <w:p>
      <w:pPr>
        <w:ind w:right="200" w:firstLine="91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Origination, amendment, closing and/or commitment fees associated with investments in portfolio companies are recognized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when the investment transaction closes. Prepayment penalties received by the Company for debt instruments repaid prior to maturity date are recorded as income upon receipt.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As of September 30, 2013, our portfolio consisted of investments in 40 portfolio companies with a fair value of approximately $331.0 million.</w:t>
      </w:r>
    </w:p>
    <w:p>
      <w:pPr>
        <w:spacing w:after="0" w:line="225"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2013, we made approximately $34.2 million of investments in new or existing portfolio companies and had approximately $23.1 million in aggregate amount of exits and repayments resulting in net investments of approximately $11.1 million for the period. During the three months ended September 30, 2012, we made approximately $23.3 million of investments in new or existing portfolio companies and had approximately $3.3 million in aggregate amount of exits and repayments resulting in net investments of approximately $20.0 million for the period.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2013, we made approximately $75.8 million of investments in new or existing portfolio companies and had approximately $50.2 million in aggregate amount of exits and repayments resulting in net investments of approximately $25.6 million for the period. During the nine months ended September 30, 2012, we made approximately $45.0 million of investments in new or existing portfolio companies and had approximately $12.1 million in aggregate amount of exits and repayments resulting in net investments of approximately $32.9 million for the period.</w:t>
      </w:r>
    </w:p>
    <w:p>
      <w:pPr>
        <w:spacing w:after="0" w:line="180" w:lineRule="exact"/>
        <w:rPr>
          <w:sz w:val="20"/>
          <w:szCs w:val="20"/>
          <w:color w:val="auto"/>
        </w:rPr>
      </w:pPr>
    </w:p>
    <w:p>
      <w:pPr>
        <w:ind w:right="80" w:firstLine="913"/>
        <w:spacing w:after="0" w:line="258" w:lineRule="auto"/>
        <w:rPr>
          <w:sz w:val="20"/>
          <w:szCs w:val="20"/>
          <w:color w:val="auto"/>
        </w:rPr>
      </w:pPr>
      <w:r>
        <w:rPr>
          <w:rFonts w:ascii="Times New Roman" w:cs="Times New Roman" w:eastAsia="Times New Roman" w:hAnsi="Times New Roman"/>
          <w:sz w:val="18"/>
          <w:szCs w:val="18"/>
          <w:color w:val="auto"/>
        </w:rPr>
        <w:t>As of September 30, 2013, our average portfolio company investment and our largest portfolio company investment at amortized cost and fair value was approximately $6.7 million and $8.3 million, and $19.0 million and $29.0 million, respectively. As of September 30, 2013, the Company had approximately $133.5 million of cash and cash equivalents. As of December 31, 2012, our average portfolio company investment and our largest portfolio company investment at amortized cost and fair value was approximately $6.0 million and $7.5 million, and $17.4 million and $29.9 million, respectively. As of December 31, 2012, the Company had $30.5 million of cash and cash equivalents</w:t>
      </w:r>
    </w:p>
    <w:p>
      <w:pPr>
        <w:spacing w:after="0" w:line="184" w:lineRule="exact"/>
        <w:rPr>
          <w:sz w:val="20"/>
          <w:szCs w:val="20"/>
          <w:color w:val="auto"/>
        </w:rPr>
      </w:pPr>
    </w:p>
    <w:p>
      <w:pPr>
        <w:ind w:right="260" w:firstLine="913"/>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amortized cost and the fair value of investments and cash and cash equivalents as of September 30, 2013 (dollars in thousands):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28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Investments at</w:t>
            </w: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Investments at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240" w:type="dxa"/>
            <w:vAlign w:val="bottom"/>
            <w:gridSpan w:val="3"/>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120" w:type="dxa"/>
            <w:vAlign w:val="bottom"/>
          </w:tcPr>
          <w:p>
            <w:pPr>
              <w:spacing w:after="0"/>
              <w:rPr>
                <w:sz w:val="15"/>
                <w:szCs w:val="15"/>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Debt</w:t>
            </w: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87,247</w:t>
            </w:r>
          </w:p>
        </w:tc>
        <w:tc>
          <w:tcPr>
            <w:tcW w:w="32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88,232</w:t>
            </w:r>
          </w:p>
        </w:tc>
        <w:tc>
          <w:tcPr>
            <w:tcW w:w="34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2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127,104</w:t>
            </w: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123,633</w:t>
            </w:r>
          </w:p>
        </w:tc>
        <w:tc>
          <w:tcPr>
            <w:tcW w:w="3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and Warrants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53,951</w:t>
            </w:r>
          </w:p>
        </w:tc>
        <w:tc>
          <w:tcPr>
            <w:tcW w:w="13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119,112</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133,525</w:t>
            </w: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133,525</w:t>
            </w:r>
          </w:p>
        </w:tc>
        <w:tc>
          <w:tcPr>
            <w:tcW w:w="3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401,827</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464,502</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00" w:firstLine="913"/>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amortized cost and the fair value of investments and cash and cash equivalents as of December 31, 2012 (dollars in thousands):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28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Investments at</w:t>
            </w: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Investments at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240" w:type="dxa"/>
            <w:vAlign w:val="bottom"/>
            <w:gridSpan w:val="3"/>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120" w:type="dxa"/>
            <w:vAlign w:val="bottom"/>
          </w:tcPr>
          <w:p>
            <w:pPr>
              <w:spacing w:after="0"/>
              <w:rPr>
                <w:sz w:val="15"/>
                <w:szCs w:val="15"/>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Debt</w:t>
            </w: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72,728</w:t>
            </w:r>
          </w:p>
        </w:tc>
        <w:tc>
          <w:tcPr>
            <w:tcW w:w="32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73,638</w:t>
            </w:r>
          </w:p>
        </w:tc>
        <w:tc>
          <w:tcPr>
            <w:tcW w:w="34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2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109,030</w:t>
            </w: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101,659</w:t>
            </w:r>
          </w:p>
        </w:tc>
        <w:tc>
          <w:tcPr>
            <w:tcW w:w="3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and Warrants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45,940</w:t>
            </w:r>
          </w:p>
        </w:tc>
        <w:tc>
          <w:tcPr>
            <w:tcW w:w="13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30,467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30,467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258,165</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314,398</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As of September 30, 2013, our income-bearing investment portfolio, which represented nearly 64.0% of our total portfolio, had a weighted average yield based upon cost of our portfolio investments of approximately 13.8% all bearing a fixed rate of interest. As of December 31, 2012, our income-bearing investment portfolio, which represented nearly 62% of our total portfolio, had a weighted average yield based upon cost of our portfolio investments of approximately 13.5% all bearing a fixed rate of interest.</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60"/>
          </w:cols>
          <w:pgMar w:left="240" w:top="455" w:right="2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table shows the portfolio composition by industry grouping at fair value (dollars in thousands):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120" w:type="dxa"/>
            <w:vAlign w:val="bottom"/>
          </w:tcPr>
          <w:p>
            <w:pPr>
              <w:spacing w:after="0"/>
              <w:rPr>
                <w:sz w:val="15"/>
                <w:szCs w:val="15"/>
                <w:color w:val="auto"/>
              </w:rPr>
            </w:pPr>
          </w:p>
        </w:tc>
        <w:tc>
          <w:tcPr>
            <w:tcW w:w="18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10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440" w:type="dxa"/>
            <w:vAlign w:val="bottom"/>
          </w:tcPr>
          <w:p>
            <w:pPr>
              <w:spacing w:after="0"/>
              <w:rPr>
                <w:sz w:val="10"/>
                <w:szCs w:val="10"/>
                <w:color w:val="auto"/>
              </w:rPr>
            </w:pPr>
          </w:p>
        </w:tc>
        <w:tc>
          <w:tcPr>
            <w:tcW w:w="108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80" w:type="dxa"/>
            <w:vAlign w:val="bottom"/>
            <w:gridSpan w:val="3"/>
            <w:vMerge w:val="continue"/>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11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9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8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4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QSR Franchisee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Employer Organization</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22,948</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15,229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Equipment Rental</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22,500</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18,001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Sales &amp; Marketing Services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20,898</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 Services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19,646</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Printing Services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15,572</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Suntan Lotion Manufacturer</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15,040</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12,892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QSR Franchisor</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14,904</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15,112</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Footwear Retail</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11,445</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Specialty Clothing</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11,173</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10,333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Culinary Products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10,194</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Fuel Transportation Services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10,185</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IT &amp; Security Solutions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10,000</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Dentistry Services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9,334</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Textile Equipment Manufacturer</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9,301</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Energy Services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8,566</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Aerospace Parts Manufacturer</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7,910</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Conglomerate</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7,551</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8,565</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Supply Retail</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7,549</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Produce Distribution</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6,881</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Replacement Window Manufacturer</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6,559</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Medical Device Manufacturer</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6,454</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Wear Retail</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5,071</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19,928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&amp; Marketing Services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5,070</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18,453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Processing &amp; Digital Marketing</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5,061</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Medical Device Distributor</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4,328</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Petroleum Equipment Supplier</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3,481</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Industrial Manufacturing</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3,396</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Chemicals &amp; Lubricants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3,140</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Metal Recycler</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3,031</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Defense Contractor</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2,722</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Online Travel Sales &amp; Marketing</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2,504</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Boiler Manufacturer</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2,447</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Corporate Fulfillment</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2,193</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Supplies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1,969</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Quick Lube Services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1,523</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13,248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In-Home Healthcare Services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874</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IT Hosting Services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587</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Usenet Hosting Services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Textile Manufacturer</w:t>
            </w:r>
          </w:p>
        </w:tc>
        <w:tc>
          <w:tcPr>
            <w:tcW w:w="1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gridSpan w:val="2"/>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330,977</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283,931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60"/>
          </w:cols>
          <w:pgMar w:left="240" w:top="455" w:right="699" w:bottom="1440" w:gutter="0" w:footer="0" w:header="0"/>
        </w:sectPr>
      </w:pPr>
    </w:p>
    <w:bookmarkStart w:id="37" w:name="page38"/>
    <w:bookmarkEnd w:id="37"/>
    <w:p>
      <w:pPr>
        <w:ind w:firstLine="913"/>
        <w:spacing w:after="0" w:line="261" w:lineRule="auto"/>
        <w:rPr>
          <w:sz w:val="20"/>
          <w:szCs w:val="20"/>
          <w:color w:val="auto"/>
        </w:rPr>
      </w:pPr>
      <w:r>
        <w:rPr>
          <w:rFonts w:ascii="Times New Roman" w:cs="Times New Roman" w:eastAsia="Times New Roman" w:hAnsi="Times New Roman"/>
          <w:sz w:val="18"/>
          <w:szCs w:val="18"/>
          <w:color w:val="auto"/>
        </w:rPr>
        <w:t>All investments made by the Company as of September 30, 2013 and December 31, 2012 were made in portfolio companies located in the U.S.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at September 30, 2013 and December 31, 2012 (dollars in thousands):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10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At September 30, 2013</w:t>
            </w:r>
          </w:p>
        </w:tc>
        <w:tc>
          <w:tcPr>
            <w:tcW w:w="140" w:type="dxa"/>
            <w:vAlign w:val="bottom"/>
          </w:tcPr>
          <w:p>
            <w:pPr>
              <w:spacing w:after="0"/>
              <w:rPr>
                <w:sz w:val="15"/>
                <w:szCs w:val="15"/>
                <w:color w:val="auto"/>
              </w:rPr>
            </w:pPr>
          </w:p>
        </w:tc>
        <w:tc>
          <w:tcPr>
            <w:tcW w:w="20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At December 31, 2012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240" w:type="dxa"/>
            <w:vAlign w:val="bottom"/>
          </w:tcPr>
          <w:p>
            <w:pPr>
              <w:spacing w:after="0"/>
              <w:rPr>
                <w:sz w:val="10"/>
                <w:szCs w:val="10"/>
                <w:color w:val="auto"/>
              </w:rPr>
            </w:pPr>
          </w:p>
        </w:tc>
        <w:tc>
          <w:tcPr>
            <w:tcW w:w="110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$ 225,255</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$ 202,429</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West</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63,135</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19.1</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47,931</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Northeast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22,097</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18,419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Midwest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20,490</w:t>
            </w:r>
          </w:p>
        </w:tc>
        <w:tc>
          <w:tcPr>
            <w:tcW w:w="3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15,152</w:t>
            </w:r>
          </w:p>
        </w:tc>
        <w:tc>
          <w:tcPr>
            <w:tcW w:w="3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$ 330,977</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$ 283,931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firstLine="913"/>
        <w:spacing w:after="0" w:line="282" w:lineRule="auto"/>
        <w:rPr>
          <w:sz w:val="20"/>
          <w:szCs w:val="20"/>
          <w:color w:val="auto"/>
        </w:rPr>
      </w:pPr>
      <w:r>
        <w:rPr>
          <w:rFonts w:ascii="Times New Roman" w:cs="Times New Roman" w:eastAsia="Times New Roman" w:hAnsi="Times New Roman"/>
          <w:sz w:val="18"/>
          <w:szCs w:val="18"/>
          <w:color w:val="auto"/>
        </w:rPr>
        <w:t>The Investment Advisor regularly assesses the risk profile of each of our investments and rates each of them based on the following categories, which we refer to as the Investment Advisor’s investment credit rating: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Credit Rating</w:t>
            </w:r>
          </w:p>
        </w:tc>
        <w:tc>
          <w:tcPr>
            <w:tcW w:w="10500" w:type="dxa"/>
            <w:vAlign w:val="bottom"/>
            <w:gridSpan w:val="3"/>
          </w:tcPr>
          <w:p>
            <w:pPr>
              <w:ind w:left="1440"/>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20"/>
        </w:trPr>
        <w:tc>
          <w:tcPr>
            <w:tcW w:w="8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r>
      <w:tr>
        <w:trPr>
          <w:trHeight w:val="3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050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Investments that are performing above expectations.</w:t>
            </w:r>
          </w:p>
        </w:tc>
      </w:tr>
      <w:tr>
        <w:trPr>
          <w:trHeight w:val="30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050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Investments that are performing within expectations, with risks that are neutral or favorable compared to risks at the time of</w:t>
            </w:r>
          </w:p>
        </w:tc>
      </w:tr>
      <w:tr>
        <w:trPr>
          <w:trHeight w:val="234"/>
        </w:trPr>
        <w:tc>
          <w:tcPr>
            <w:tcW w:w="860" w:type="dxa"/>
            <w:vAlign w:val="bottom"/>
          </w:tcPr>
          <w:p>
            <w:pPr>
              <w:spacing w:after="0"/>
              <w:rPr>
                <w:sz w:val="20"/>
                <w:szCs w:val="20"/>
                <w:color w:val="auto"/>
              </w:rPr>
            </w:pPr>
          </w:p>
        </w:tc>
        <w:tc>
          <w:tcPr>
            <w:tcW w:w="1050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origination.</w:t>
            </w:r>
          </w:p>
        </w:tc>
      </w:tr>
      <w:tr>
        <w:trPr>
          <w:trHeight w:val="338"/>
        </w:trPr>
        <w:tc>
          <w:tcPr>
            <w:tcW w:w="860" w:type="dxa"/>
            <w:vAlign w:val="bottom"/>
          </w:tcPr>
          <w:p>
            <w:pPr>
              <w:spacing w:after="0"/>
              <w:rPr>
                <w:sz w:val="24"/>
                <w:szCs w:val="24"/>
                <w:color w:val="auto"/>
              </w:rPr>
            </w:pPr>
          </w:p>
        </w:tc>
        <w:tc>
          <w:tcPr>
            <w:tcW w:w="1050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All new loans are rated ‘2’.</w:t>
            </w:r>
          </w:p>
        </w:tc>
      </w:tr>
      <w:tr>
        <w:trPr>
          <w:trHeight w:val="33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050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w w:val="99"/>
              </w:rPr>
              <w:t>Investments that are performing below expectations and that require closer monitoring, but where no loss of interest, dividend</w:t>
            </w:r>
          </w:p>
        </w:tc>
      </w:tr>
    </w:tbl>
    <w:p>
      <w:pPr>
        <w:ind w:left="2300"/>
        <w:spacing w:after="0"/>
        <w:rPr>
          <w:sz w:val="20"/>
          <w:szCs w:val="20"/>
          <w:color w:val="auto"/>
        </w:rPr>
      </w:pPr>
      <w:r>
        <w:rPr>
          <w:rFonts w:ascii="Times New Roman" w:cs="Times New Roman" w:eastAsia="Times New Roman" w:hAnsi="Times New Roman"/>
          <w:sz w:val="18"/>
          <w:szCs w:val="18"/>
          <w:color w:val="auto"/>
        </w:rPr>
        <w:t>or principal is expected.</w:t>
      </w:r>
    </w:p>
    <w:p>
      <w:pPr>
        <w:spacing w:after="0" w:line="11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Companies rated ‘3’ may be out of compliance with financial covenants, however, loan payments are generally not past due.</w:t>
      </w:r>
    </w:p>
    <w:p>
      <w:pPr>
        <w:spacing w:after="0" w:line="1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121" w:right="2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Credit Rating</w:t>
            </w:r>
          </w:p>
        </w:tc>
        <w:tc>
          <w:tcPr>
            <w:tcW w:w="10040" w:type="dxa"/>
            <w:vAlign w:val="bottom"/>
            <w:gridSpan w:val="3"/>
          </w:tcPr>
          <w:p>
            <w:pPr>
              <w:ind w:left="1440"/>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20"/>
        </w:trPr>
        <w:tc>
          <w:tcPr>
            <w:tcW w:w="8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004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Investments that are performing below expectations and for which risk has increased materially since origination.</w:t>
            </w:r>
          </w:p>
        </w:tc>
      </w:tr>
      <w:tr>
        <w:trPr>
          <w:trHeight w:val="338"/>
        </w:trPr>
        <w:tc>
          <w:tcPr>
            <w:tcW w:w="860" w:type="dxa"/>
            <w:vAlign w:val="bottom"/>
          </w:tcPr>
          <w:p>
            <w:pPr>
              <w:spacing w:after="0"/>
              <w:rPr>
                <w:sz w:val="24"/>
                <w:szCs w:val="24"/>
                <w:color w:val="auto"/>
              </w:rPr>
            </w:pPr>
          </w:p>
        </w:tc>
        <w:tc>
          <w:tcPr>
            <w:tcW w:w="1004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Some loss of interest or dividend is expected but no loss of principal.</w:t>
            </w:r>
          </w:p>
        </w:tc>
      </w:tr>
      <w:tr>
        <w:trPr>
          <w:trHeight w:val="319"/>
        </w:trPr>
        <w:tc>
          <w:tcPr>
            <w:tcW w:w="860" w:type="dxa"/>
            <w:vAlign w:val="bottom"/>
          </w:tcPr>
          <w:p>
            <w:pPr>
              <w:spacing w:after="0"/>
              <w:rPr>
                <w:sz w:val="24"/>
                <w:szCs w:val="24"/>
                <w:color w:val="auto"/>
              </w:rPr>
            </w:pPr>
          </w:p>
        </w:tc>
        <w:tc>
          <w:tcPr>
            <w:tcW w:w="1004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w w:val="99"/>
              </w:rPr>
              <w:t>In addition to the borrower being generally out of compliance with debt covenants, loan payments may be past due (but</w:t>
            </w:r>
          </w:p>
        </w:tc>
      </w:tr>
      <w:tr>
        <w:trPr>
          <w:trHeight w:val="234"/>
        </w:trPr>
        <w:tc>
          <w:tcPr>
            <w:tcW w:w="860" w:type="dxa"/>
            <w:vAlign w:val="bottom"/>
          </w:tcPr>
          <w:p>
            <w:pPr>
              <w:spacing w:after="0"/>
              <w:rPr>
                <w:sz w:val="20"/>
                <w:szCs w:val="20"/>
                <w:color w:val="auto"/>
              </w:rPr>
            </w:pPr>
          </w:p>
        </w:tc>
        <w:tc>
          <w:tcPr>
            <w:tcW w:w="1004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generally not more than 180 days past due).</w:t>
            </w:r>
          </w:p>
        </w:tc>
      </w:tr>
      <w:tr>
        <w:trPr>
          <w:trHeight w:val="33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004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Investments that are performing substantially below expectations and whose risks have increased substantially since</w:t>
            </w:r>
          </w:p>
        </w:tc>
      </w:tr>
    </w:tbl>
    <w:p>
      <w:pPr>
        <w:ind w:left="2300"/>
        <w:spacing w:after="0"/>
        <w:rPr>
          <w:sz w:val="20"/>
          <w:szCs w:val="20"/>
          <w:color w:val="auto"/>
        </w:rPr>
      </w:pPr>
      <w:r>
        <w:rPr>
          <w:rFonts w:ascii="Times New Roman" w:cs="Times New Roman" w:eastAsia="Times New Roman" w:hAnsi="Times New Roman"/>
          <w:sz w:val="18"/>
          <w:szCs w:val="18"/>
          <w:color w:val="auto"/>
        </w:rPr>
        <w:t>origination.</w:t>
      </w:r>
    </w:p>
    <w:p>
      <w:pPr>
        <w:spacing w:after="0" w:line="11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Most or all of the debt covenants are out of compliance and payments are substantially delinquent.</w:t>
      </w:r>
    </w:p>
    <w:p>
      <w:pPr>
        <w:spacing w:after="0" w:line="13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Some loss of principal is expected.</w:t>
      </w:r>
    </w:p>
    <w:p>
      <w:pPr>
        <w:spacing w:after="0" w:line="239"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performance rating scale at fair value as of September 30, 2013 (dollars in thousands):</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980" w:type="dxa"/>
            <w:vAlign w:val="bottom"/>
          </w:tcPr>
          <w:p>
            <w:pPr>
              <w:spacing w:after="0"/>
              <w:rPr>
                <w:sz w:val="13"/>
                <w:szCs w:val="13"/>
                <w:color w:val="auto"/>
              </w:rPr>
            </w:pPr>
          </w:p>
        </w:tc>
        <w:tc>
          <w:tcPr>
            <w:tcW w:w="5360" w:type="dxa"/>
            <w:vAlign w:val="bottom"/>
            <w:gridSpan w:val="2"/>
          </w:tcPr>
          <w:p>
            <w:pPr>
              <w:jc w:val="center"/>
              <w:ind w:left="449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8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49"/>
        </w:trPr>
        <w:tc>
          <w:tcPr>
            <w:tcW w:w="1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Investment Performance Rating</w:t>
            </w:r>
          </w:p>
        </w:tc>
        <w:tc>
          <w:tcPr>
            <w:tcW w:w="46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Fair</w:t>
            </w:r>
          </w:p>
        </w:tc>
        <w:tc>
          <w:tcPr>
            <w:tcW w:w="3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173"/>
        </w:trPr>
        <w:tc>
          <w:tcPr>
            <w:tcW w:w="1980" w:type="dxa"/>
            <w:vAlign w:val="bottom"/>
            <w:vMerge w:val="continue"/>
          </w:tcPr>
          <w:p>
            <w:pPr>
              <w:spacing w:after="0"/>
              <w:rPr>
                <w:sz w:val="15"/>
                <w:szCs w:val="15"/>
                <w:color w:val="auto"/>
              </w:rPr>
            </w:pPr>
          </w:p>
        </w:tc>
        <w:tc>
          <w:tcPr>
            <w:tcW w:w="46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40" w:type="dxa"/>
            <w:vAlign w:val="bottom"/>
            <w:gridSpan w:val="3"/>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0"/>
        </w:trPr>
        <w:tc>
          <w:tcPr>
            <w:tcW w:w="1980" w:type="dxa"/>
            <w:vAlign w:val="bottom"/>
            <w:shd w:val="clear" w:color="auto" w:fill="000000"/>
          </w:tcPr>
          <w:p>
            <w:pPr>
              <w:spacing w:after="0" w:line="20" w:lineRule="exact"/>
              <w:rPr>
                <w:sz w:val="1"/>
                <w:szCs w:val="1"/>
                <w:color w:val="auto"/>
              </w:rPr>
            </w:pPr>
          </w:p>
        </w:tc>
        <w:tc>
          <w:tcPr>
            <w:tcW w:w="46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460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$ 159,969</w:t>
            </w:r>
          </w:p>
        </w:tc>
        <w:tc>
          <w:tcPr>
            <w:tcW w:w="38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124,046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5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5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13,445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46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6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$ 330,977</w:t>
            </w:r>
          </w:p>
        </w:tc>
        <w:tc>
          <w:tcPr>
            <w:tcW w:w="3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0" w:firstLine="913"/>
        <w:spacing w:after="0" w:line="282" w:lineRule="auto"/>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performance rating scale at fair value as of December 31, 2012 (dollars in thousands):</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980" w:type="dxa"/>
            <w:vAlign w:val="bottom"/>
          </w:tcPr>
          <w:p>
            <w:pPr>
              <w:spacing w:after="0"/>
              <w:rPr>
                <w:sz w:val="13"/>
                <w:szCs w:val="13"/>
                <w:color w:val="auto"/>
              </w:rPr>
            </w:pPr>
          </w:p>
        </w:tc>
        <w:tc>
          <w:tcPr>
            <w:tcW w:w="5360" w:type="dxa"/>
            <w:vAlign w:val="bottom"/>
            <w:gridSpan w:val="2"/>
          </w:tcPr>
          <w:p>
            <w:pPr>
              <w:jc w:val="center"/>
              <w:ind w:left="449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8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49"/>
        </w:trPr>
        <w:tc>
          <w:tcPr>
            <w:tcW w:w="1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Investment Performance Rating</w:t>
            </w:r>
          </w:p>
        </w:tc>
        <w:tc>
          <w:tcPr>
            <w:tcW w:w="46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Fair</w:t>
            </w:r>
          </w:p>
        </w:tc>
        <w:tc>
          <w:tcPr>
            <w:tcW w:w="3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173"/>
        </w:trPr>
        <w:tc>
          <w:tcPr>
            <w:tcW w:w="1980" w:type="dxa"/>
            <w:vAlign w:val="bottom"/>
            <w:vMerge w:val="continue"/>
          </w:tcPr>
          <w:p>
            <w:pPr>
              <w:spacing w:after="0"/>
              <w:rPr>
                <w:sz w:val="15"/>
                <w:szCs w:val="15"/>
                <w:color w:val="auto"/>
              </w:rPr>
            </w:pPr>
          </w:p>
        </w:tc>
        <w:tc>
          <w:tcPr>
            <w:tcW w:w="46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40" w:type="dxa"/>
            <w:vAlign w:val="bottom"/>
            <w:gridSpan w:val="3"/>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0"/>
        </w:trPr>
        <w:tc>
          <w:tcPr>
            <w:tcW w:w="1980" w:type="dxa"/>
            <w:vAlign w:val="bottom"/>
            <w:shd w:val="clear" w:color="auto" w:fill="000000"/>
          </w:tcPr>
          <w:p>
            <w:pPr>
              <w:spacing w:after="0" w:line="20" w:lineRule="exact"/>
              <w:rPr>
                <w:sz w:val="1"/>
                <w:szCs w:val="1"/>
                <w:color w:val="auto"/>
              </w:rPr>
            </w:pPr>
          </w:p>
        </w:tc>
        <w:tc>
          <w:tcPr>
            <w:tcW w:w="46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460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$ 172,598</w:t>
            </w:r>
          </w:p>
        </w:tc>
        <w:tc>
          <w:tcPr>
            <w:tcW w:w="38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80,676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5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5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46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6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$ 283,931</w:t>
            </w:r>
          </w:p>
        </w:tc>
        <w:tc>
          <w:tcPr>
            <w:tcW w:w="3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500" w:firstLine="913"/>
        <w:spacing w:after="0" w:line="282" w:lineRule="auto"/>
        <w:rPr>
          <w:sz w:val="20"/>
          <w:szCs w:val="20"/>
          <w:color w:val="auto"/>
        </w:rPr>
      </w:pPr>
      <w:r>
        <w:rPr>
          <w:rFonts w:ascii="Times New Roman" w:cs="Times New Roman" w:eastAsia="Times New Roman" w:hAnsi="Times New Roman"/>
          <w:sz w:val="18"/>
          <w:szCs w:val="18"/>
          <w:color w:val="auto"/>
        </w:rPr>
        <w:t>The Company had non-accrual loans outstanding with a fair market value of $10.9 million and $5.1 million as of September 30, 2013 and December 31, 2012,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Operating results for the three and nine months ended September 30, 2013 and 2012 are as follows (dollars in thousands):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17"/>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60" w:type="dxa"/>
            <w:vAlign w:val="bottom"/>
            <w:tcBorders>
              <w:top w:val="single" w:sz="8" w:color="auto"/>
            </w:tcBorders>
            <w:gridSpan w:val="3"/>
          </w:tcPr>
          <w:p>
            <w:pPr>
              <w:ind w:left="3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54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 net</w:t>
            </w:r>
          </w:p>
        </w:tc>
        <w:tc>
          <w:tcPr>
            <w:tcW w:w="1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 (losses)</w:t>
            </w:r>
          </w:p>
        </w:tc>
        <w:tc>
          <w:tcPr>
            <w:tcW w:w="1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100" w:type="dxa"/>
            <w:vAlign w:val="bottom"/>
            <w:shd w:val="clear" w:color="auto" w:fill="CCEEFF"/>
          </w:tcPr>
          <w:p>
            <w:pPr>
              <w:spacing w:after="0"/>
              <w:rPr>
                <w:sz w:val="18"/>
                <w:szCs w:val="18"/>
                <w:color w:val="auto"/>
              </w:rPr>
            </w:pPr>
          </w:p>
        </w:tc>
      </w:tr>
      <w:tr>
        <w:trPr>
          <w:trHeight w:val="223"/>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net assets resulting from operations</w:t>
            </w:r>
          </w:p>
        </w:tc>
        <w:tc>
          <w:tcPr>
            <w:tcW w:w="10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10,778</w:t>
            </w:r>
          </w:p>
        </w:tc>
        <w:tc>
          <w:tcPr>
            <w:tcW w:w="100" w:type="dxa"/>
            <w:vAlign w:val="bottom"/>
          </w:tcPr>
          <w:p>
            <w:pPr>
              <w:spacing w:after="0"/>
              <w:rPr>
                <w:sz w:val="19"/>
                <w:szCs w:val="19"/>
                <w:color w:val="auto"/>
              </w:rPr>
            </w:pPr>
          </w:p>
        </w:tc>
      </w:tr>
      <w:tr>
        <w:trPr>
          <w:trHeight w:val="372"/>
        </w:trPr>
        <w:tc>
          <w:tcPr>
            <w:tcW w:w="544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35</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240" w:top="455" w:right="31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17"/>
        </w:trPr>
        <w:tc>
          <w:tcPr>
            <w:tcW w:w="2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60" w:type="dxa"/>
            <w:vAlign w:val="bottom"/>
            <w:tcBorders>
              <w:top w:val="single" w:sz="8" w:color="auto"/>
            </w:tcBorders>
            <w:gridSpan w:val="3"/>
          </w:tcPr>
          <w:p>
            <w:pPr>
              <w:ind w:left="3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64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 net</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9,903</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 (losses)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21,315</w:t>
            </w:r>
          </w:p>
        </w:tc>
        <w:tc>
          <w:tcPr>
            <w:tcW w:w="100" w:type="dxa"/>
            <w:vAlign w:val="bottom"/>
            <w:shd w:val="clear" w:color="auto" w:fill="CCEEFF"/>
          </w:tcPr>
          <w:p>
            <w:pPr>
              <w:spacing w:after="0"/>
              <w:rPr>
                <w:sz w:val="18"/>
                <w:szCs w:val="18"/>
                <w:color w:val="auto"/>
              </w:rPr>
            </w:pP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22,062</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30,874</w:t>
            </w:r>
          </w:p>
        </w:tc>
        <w:tc>
          <w:tcPr>
            <w:tcW w:w="100" w:type="dxa"/>
            <w:vAlign w:val="bottom"/>
          </w:tcPr>
          <w:p>
            <w:pPr>
              <w:spacing w:after="0"/>
              <w:rPr>
                <w:sz w:val="19"/>
                <w:szCs w:val="19"/>
                <w:color w:val="auto"/>
              </w:rPr>
            </w:pPr>
          </w:p>
        </w:tc>
      </w:tr>
    </w:tbl>
    <w:p>
      <w:pPr>
        <w:spacing w:after="0" w:line="3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composition of our investment income for the three and nine months ended September 30, 2013 and 2012 was as follows (dollars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227"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17"/>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60" w:type="dxa"/>
            <w:vAlign w:val="bottom"/>
            <w:tcBorders>
              <w:top w:val="single" w:sz="8" w:color="auto"/>
            </w:tcBorders>
            <w:gridSpan w:val="3"/>
          </w:tcPr>
          <w:p>
            <w:pPr>
              <w:ind w:left="3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462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interest, fee and dividend income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Payment-in-kind interest income</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from cash and cash equivalents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pass-through entities</w:t>
            </w:r>
          </w:p>
        </w:tc>
        <w:tc>
          <w:tcPr>
            <w:tcW w:w="1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8,801</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17"/>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60" w:type="dxa"/>
            <w:vAlign w:val="bottom"/>
            <w:tcBorders>
              <w:top w:val="single" w:sz="8" w:color="auto"/>
            </w:tcBorders>
            <w:gridSpan w:val="3"/>
          </w:tcPr>
          <w:p>
            <w:pPr>
              <w:ind w:left="3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462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interest, fee and dividend income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Payment-in-kind interest income</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from cash and cash equivalents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pass-through entities</w:t>
            </w:r>
          </w:p>
        </w:tc>
        <w:tc>
          <w:tcPr>
            <w:tcW w:w="1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23,288</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The composition of our expenses for the three and nine months ended September 30, 2013 and 2012 was as follows (dollars in thousands):</w:t>
      </w:r>
    </w:p>
    <w:p>
      <w:pPr>
        <w:spacing w:after="0" w:line="257"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7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17"/>
        </w:trPr>
        <w:tc>
          <w:tcPr>
            <w:tcW w:w="27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3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2760" w:type="dxa"/>
            <w:vAlign w:val="bottom"/>
            <w:tcBorders>
              <w:bottom w:val="single" w:sz="8" w:color="CCEEFF"/>
            </w:tcBorders>
          </w:tcPr>
          <w:p>
            <w:pPr>
              <w:spacing w:after="0"/>
              <w:rPr>
                <w:sz w:val="15"/>
                <w:szCs w:val="15"/>
                <w:color w:val="auto"/>
              </w:rPr>
            </w:pPr>
          </w:p>
        </w:tc>
        <w:tc>
          <w:tcPr>
            <w:tcW w:w="3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21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3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00" w:type="dxa"/>
            <w:vAlign w:val="bottom"/>
          </w:tcPr>
          <w:p>
            <w:pPr>
              <w:spacing w:after="0"/>
              <w:rPr>
                <w:sz w:val="19"/>
                <w:szCs w:val="19"/>
                <w:color w:val="auto"/>
              </w:rPr>
            </w:pPr>
          </w:p>
        </w:tc>
      </w:tr>
      <w:tr>
        <w:trPr>
          <w:trHeight w:val="399"/>
        </w:trPr>
        <w:tc>
          <w:tcPr>
            <w:tcW w:w="27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17"/>
        </w:trPr>
        <w:tc>
          <w:tcPr>
            <w:tcW w:w="27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3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2760" w:type="dxa"/>
            <w:vAlign w:val="bottom"/>
            <w:tcBorders>
              <w:bottom w:val="single" w:sz="8" w:color="CCEEFF"/>
            </w:tcBorders>
          </w:tcPr>
          <w:p>
            <w:pPr>
              <w:spacing w:after="0"/>
              <w:rPr>
                <w:sz w:val="15"/>
                <w:szCs w:val="15"/>
                <w:color w:val="auto"/>
              </w:rPr>
            </w:pPr>
          </w:p>
        </w:tc>
        <w:tc>
          <w:tcPr>
            <w:tcW w:w="3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21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00" w:type="dxa"/>
            <w:vAlign w:val="bottom"/>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8"/>
                <w:szCs w:val="18"/>
                <w:color w:val="auto"/>
              </w:rPr>
            </w:pPr>
          </w:p>
        </w:tc>
      </w:t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3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9,903</w:t>
            </w:r>
          </w:p>
        </w:tc>
        <w:tc>
          <w:tcPr>
            <w:tcW w:w="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100" w:type="dxa"/>
            <w:vAlign w:val="bottom"/>
          </w:tcPr>
          <w:p>
            <w:pPr>
              <w:spacing w:after="0"/>
              <w:rPr>
                <w:sz w:val="19"/>
                <w:szCs w:val="19"/>
                <w:color w:val="auto"/>
              </w:rPr>
            </w:pPr>
          </w:p>
        </w:tc>
      </w:tr>
      <w:tr>
        <w:trPr>
          <w:trHeight w:val="372"/>
        </w:trPr>
        <w:tc>
          <w:tcPr>
            <w:tcW w:w="2760" w:type="dxa"/>
            <w:vAlign w:val="bottom"/>
          </w:tcPr>
          <w:p>
            <w:pPr>
              <w:spacing w:after="0"/>
              <w:rPr>
                <w:sz w:val="24"/>
                <w:szCs w:val="24"/>
                <w:color w:val="auto"/>
              </w:rPr>
            </w:pPr>
          </w:p>
        </w:tc>
        <w:tc>
          <w:tcPr>
            <w:tcW w:w="31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00"/>
          </w:cols>
          <w:pgMar w:left="240" w:top="455" w:right="7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gains/losses on sales of investments</w:t>
      </w:r>
    </w:p>
    <w:p>
      <w:pPr>
        <w:spacing w:after="0" w:line="121" w:lineRule="exact"/>
        <w:rPr>
          <w:sz w:val="20"/>
          <w:szCs w:val="20"/>
          <w:color w:val="auto"/>
        </w:rPr>
      </w:pPr>
    </w:p>
    <w:p>
      <w:pPr>
        <w:ind w:right="140" w:firstLine="913"/>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2013, we recognized $1.9 million and $2.2 million of net realized gains on our portfolio investments, respectively. During the three and nine months ended September 30, 2012, we recognized $0.2 million and $0.5 million of net realized gains, respectively, on portfolio investments.</w:t>
      </w:r>
    </w:p>
    <w:p>
      <w:pPr>
        <w:spacing w:after="0" w:line="2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i w:val="1"/>
          <w:iCs w:val="1"/>
          <w:color w:val="auto"/>
        </w:rPr>
        <w:t>Net unrealized appreciation/depreciation on investments</w:t>
      </w:r>
    </w:p>
    <w:p>
      <w:pPr>
        <w:spacing w:after="0" w:line="121" w:lineRule="exact"/>
        <w:rPr>
          <w:sz w:val="20"/>
          <w:szCs w:val="20"/>
          <w:color w:val="auto"/>
        </w:rPr>
      </w:pPr>
    </w:p>
    <w:p>
      <w:pPr>
        <w:jc w:val="both"/>
        <w:ind w:right="120" w:firstLine="913"/>
        <w:spacing w:after="0" w:line="266" w:lineRule="auto"/>
        <w:rPr>
          <w:sz w:val="20"/>
          <w:szCs w:val="20"/>
          <w:color w:val="auto"/>
        </w:rPr>
      </w:pPr>
      <w:r>
        <w:rPr>
          <w:rFonts w:ascii="Times New Roman" w:cs="Times New Roman" w:eastAsia="Times New Roman" w:hAnsi="Times New Roman"/>
          <w:sz w:val="18"/>
          <w:szCs w:val="18"/>
          <w:color w:val="auto"/>
        </w:rPr>
        <w:t>Net change in unrealized appreciation on investments reflects the net change in the fair value of our investment portfolio. For the three and nine months ended September 30, 2013, we had $0.6 million and $6.4 million of unrealized appreciation, respectively, on portfolio investments. For the three and nine months ended September 30, 2012, we had $7.3 million and $21.3 million of unrealized appreciation, respectively, on portfolio investments.</w:t>
      </w:r>
    </w:p>
    <w:p>
      <w:pPr>
        <w:spacing w:after="0" w:line="2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i w:val="1"/>
          <w:iCs w:val="1"/>
          <w:color w:val="auto"/>
        </w:rPr>
        <w:t>Changes in net assets resulting from operations</w:t>
      </w:r>
    </w:p>
    <w:p>
      <w:pPr>
        <w:spacing w:after="0" w:line="121" w:lineRule="exact"/>
        <w:rPr>
          <w:sz w:val="20"/>
          <w:szCs w:val="20"/>
          <w:color w:val="auto"/>
        </w:rPr>
      </w:pPr>
    </w:p>
    <w:p>
      <w:pPr>
        <w:ind w:right="80" w:firstLine="913"/>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2013, we recorded a net increase in net assets resulting from operations of $7.9 million and $22.1 million, respectively. Based on the weighted average shares of common stock outstanding for the three and nine months ended September 30, 2013 our per share net increase in net assets resulting from operations was $0.61 and $1.70, respectively. For the three and nine months ended September 30, 2012, we recorded a net increase in net assets resulting from operations of $10.8 million and $30.9 million,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In addition to the $76.0 million of net proceeds from our initial public offering, we intend to continue to generate cash from future offerings of securities and cash flows from operations, including earnings on investments in our portfolio and future investments, as well as interest earned from the temporary investment of cash in U.S. government securities and other high-quality debt investments that mature in one year or less. In addition to our existing SBA-guaranteed debentures, we may, if permitted by regulation, seek to issue additional SBA-guaranteed debentures as well as other forms of leverage and borrow funds to make investments, including before we have fully invested the proceeds of this offering.</w:t>
      </w:r>
    </w:p>
    <w:p>
      <w:pPr>
        <w:spacing w:after="0" w:line="184" w:lineRule="exact"/>
        <w:rPr>
          <w:sz w:val="20"/>
          <w:szCs w:val="20"/>
          <w:color w:val="auto"/>
        </w:rPr>
      </w:pPr>
    </w:p>
    <w:p>
      <w:pPr>
        <w:ind w:right="20" w:firstLine="913"/>
        <w:spacing w:after="0" w:line="266" w:lineRule="auto"/>
        <w:rPr>
          <w:sz w:val="20"/>
          <w:szCs w:val="20"/>
          <w:color w:val="auto"/>
        </w:rPr>
      </w:pPr>
      <w:r>
        <w:rPr>
          <w:rFonts w:ascii="Times New Roman" w:cs="Times New Roman" w:eastAsia="Times New Roman" w:hAnsi="Times New Roman"/>
          <w:sz w:val="18"/>
          <w:szCs w:val="18"/>
          <w:color w:val="auto"/>
        </w:rPr>
        <w:t>As of September 30, 2013, we had $133.5 million in cash and cash equivalents, and our net assets totaled $269.7 million. We believe that our current cash and cash equivalents on hand, and our anticipated cash flows from operations will be adequate to meet our cash needs for our daily operations for at least the next 12 months.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80" w:firstLine="913"/>
        <w:spacing w:after="0" w:line="258" w:lineRule="auto"/>
        <w:rPr>
          <w:sz w:val="20"/>
          <w:szCs w:val="20"/>
          <w:color w:val="auto"/>
        </w:rPr>
      </w:pPr>
      <w:r>
        <w:rPr>
          <w:rFonts w:ascii="Times New Roman" w:cs="Times New Roman" w:eastAsia="Times New Roman" w:hAnsi="Times New Roman"/>
          <w:sz w:val="18"/>
          <w:szCs w:val="18"/>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184" w:lineRule="exact"/>
        <w:rPr>
          <w:sz w:val="20"/>
          <w:szCs w:val="20"/>
          <w:color w:val="auto"/>
        </w:rPr>
      </w:pPr>
    </w:p>
    <w:p>
      <w:pPr>
        <w:ind w:right="40" w:firstLine="913"/>
        <w:spacing w:after="0" w:line="261" w:lineRule="auto"/>
        <w:rPr>
          <w:sz w:val="20"/>
          <w:szCs w:val="20"/>
          <w:color w:val="auto"/>
        </w:rPr>
      </w:pPr>
      <w:r>
        <w:rPr>
          <w:rFonts w:ascii="Times New Roman" w:cs="Times New Roman" w:eastAsia="Times New Roman" w:hAnsi="Times New Roman"/>
          <w:sz w:val="18"/>
          <w:szCs w:val="18"/>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 summary of the Company’s significant contractual payment obligations as of September 30, 2013 is as follows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4220" w:type="dxa"/>
            <w:vAlign w:val="bottom"/>
            <w:tcBorders>
              <w:bottom w:val="single" w:sz="8" w:color="auto"/>
            </w:tcBorders>
            <w:gridSpan w:val="10"/>
          </w:tcPr>
          <w:p>
            <w:pPr>
              <w:ind w:left="600"/>
              <w:spacing w:after="0"/>
              <w:rPr>
                <w:sz w:val="20"/>
                <w:szCs w:val="20"/>
                <w:color w:val="auto"/>
              </w:rPr>
            </w:pPr>
            <w:r>
              <w:rPr>
                <w:rFonts w:ascii="Times New Roman" w:cs="Times New Roman" w:eastAsia="Times New Roman" w:hAnsi="Times New Roman"/>
                <w:sz w:val="14"/>
                <w:szCs w:val="14"/>
                <w:b w:val="1"/>
                <w:bCs w:val="1"/>
                <w:color w:val="auto"/>
              </w:rPr>
              <w:t>Contractual Obligations Payments Due by Period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78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760" w:type="dxa"/>
            <w:vAlign w:val="bottom"/>
            <w:gridSpan w:val="2"/>
          </w:tcPr>
          <w:p>
            <w:pPr>
              <w:jc w:val="center"/>
              <w:ind w:left="93"/>
              <w:spacing w:after="0" w:line="118" w:lineRule="exact"/>
              <w:rPr>
                <w:sz w:val="20"/>
                <w:szCs w:val="20"/>
                <w:color w:val="auto"/>
              </w:rPr>
            </w:pPr>
            <w:r>
              <w:rPr>
                <w:rFonts w:ascii="Times New Roman" w:cs="Times New Roman" w:eastAsia="Times New Roman" w:hAnsi="Times New Roman"/>
                <w:sz w:val="13"/>
                <w:szCs w:val="13"/>
                <w:b w:val="1"/>
                <w:bCs w:val="1"/>
                <w:color w:val="auto"/>
              </w:rPr>
              <w:t>1 - 3</w:t>
            </w:r>
          </w:p>
        </w:tc>
        <w:tc>
          <w:tcPr>
            <w:tcW w:w="300" w:type="dxa"/>
            <w:vAlign w:val="bottom"/>
          </w:tcPr>
          <w:p>
            <w:pPr>
              <w:spacing w:after="0"/>
              <w:rPr>
                <w:sz w:val="10"/>
                <w:szCs w:val="10"/>
                <w:color w:val="auto"/>
              </w:rPr>
            </w:pPr>
          </w:p>
        </w:tc>
        <w:tc>
          <w:tcPr>
            <w:tcW w:w="3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3 - 5</w:t>
            </w:r>
          </w:p>
        </w:tc>
        <w:tc>
          <w:tcPr>
            <w:tcW w:w="30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320" w:type="dxa"/>
            <w:vAlign w:val="bottom"/>
          </w:tcPr>
          <w:p>
            <w:pPr>
              <w:spacing w:after="0"/>
              <w:rPr>
                <w:sz w:val="10"/>
                <w:szCs w:val="10"/>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16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3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3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SBA-Guaranteed Debentures</w:t>
            </w:r>
          </w:p>
        </w:tc>
        <w:tc>
          <w:tcPr>
            <w:tcW w:w="3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$ 10,000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21,500</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$ 170,700</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202,200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220" w:type="dxa"/>
            <w:vAlign w:val="bottom"/>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$ 10,000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21,500</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$ 170,700</w:t>
            </w:r>
          </w:p>
        </w:tc>
        <w:tc>
          <w:tcPr>
            <w:tcW w:w="32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202,200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22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37</w:t>
            </w: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In order to qualify as a RIC and to avoid U.S. federal corporate level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To the extent that we have income available, we intend to make quarterly distributions to our stockholders for the first four full quarters subsequent to our IPO and then make monthly distributions thereafter. Our monthly stockholder distributions, if any, will be determined by our Board of Directors on a quarterly basis. Any distribution to our stockholders will be declared out of assets legally available for distribution.</w:t>
      </w:r>
    </w:p>
    <w:p>
      <w:pPr>
        <w:spacing w:after="0" w:line="185"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We may not be able to achieve operating results that will allow us to make distributions at a specific level or to increase the amount of our distributions from time to time.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80" w:lineRule="exact"/>
        <w:rPr>
          <w:sz w:val="20"/>
          <w:szCs w:val="20"/>
          <w:color w:val="auto"/>
        </w:rPr>
      </w:pPr>
    </w:p>
    <w:p>
      <w:pPr>
        <w:ind w:right="40" w:firstLine="913"/>
        <w:spacing w:after="0" w:line="261" w:lineRule="auto"/>
        <w:rPr>
          <w:sz w:val="20"/>
          <w:szCs w:val="20"/>
          <w:color w:val="auto"/>
        </w:rPr>
      </w:pPr>
      <w:r>
        <w:rPr>
          <w:rFonts w:ascii="Times New Roman" w:cs="Times New Roman" w:eastAsia="Times New Roman" w:hAnsi="Times New Roman"/>
          <w:sz w:val="18"/>
          <w:szCs w:val="18"/>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80"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We have adopted an “opt out” dividend reinvestment plan for our common stockholders. As a result, if we declare a distribution, then stockholders’ cash distributions will be automatically reinvested in additional shares of our common stock unless a stockholder specifically “opts out” of our dividend reinvestment plan.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dividend reinvestment plan will not receive any corresponding cash distributions with which to pay any such applicable taxes.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121" w:lineRule="exact"/>
        <w:rPr>
          <w:sz w:val="20"/>
          <w:szCs w:val="20"/>
          <w:color w:val="auto"/>
        </w:rPr>
      </w:pPr>
    </w:p>
    <w:p>
      <w:pPr>
        <w:ind w:right="20" w:firstLine="913"/>
        <w:spacing w:after="0" w:line="266" w:lineRule="auto"/>
        <w:rPr>
          <w:sz w:val="20"/>
          <w:szCs w:val="20"/>
          <w:color w:val="auto"/>
        </w:rPr>
      </w:pPr>
      <w:r>
        <w:rPr>
          <w:rFonts w:ascii="Times New Roman" w:cs="Times New Roman" w:eastAsia="Times New Roman" w:hAnsi="Times New Roman"/>
          <w:sz w:val="18"/>
          <w:szCs w:val="18"/>
          <w:color w:val="auto"/>
        </w:rPr>
        <w:t>We have entered into the Investment Advisory Agreement with the Investment Advisor. Mr. Alala, our chief executive officer, president and chairman of our Board of Directors, is the managing partner and chief investment officer of Capitala Investment Advisors, and Mr. Broyhill, a member of our Board of Directors, has an indirect controlling interest in the Investment Advisor.</w:t>
      </w:r>
    </w:p>
    <w:p>
      <w:pPr>
        <w:spacing w:after="0" w:line="176" w:lineRule="exact"/>
        <w:rPr>
          <w:sz w:val="20"/>
          <w:szCs w:val="20"/>
          <w:color w:val="auto"/>
        </w:rPr>
      </w:pPr>
    </w:p>
    <w:p>
      <w:pPr>
        <w:ind w:right="20" w:firstLine="913"/>
        <w:spacing w:after="0" w:line="254" w:lineRule="auto"/>
        <w:rPr>
          <w:sz w:val="20"/>
          <w:szCs w:val="20"/>
          <w:color w:val="auto"/>
        </w:rPr>
      </w:pPr>
      <w:r>
        <w:rPr>
          <w:rFonts w:ascii="Times New Roman" w:cs="Times New Roman" w:eastAsia="Times New Roman" w:hAnsi="Times New Roman"/>
          <w:sz w:val="18"/>
          <w:szCs w:val="18"/>
          <w:color w:val="auto"/>
        </w:rPr>
        <w:t>In addition, the Investment Advisor’s investment team also manages Fund IV, a private investment limited partnership providing financing solutions to smaller and lower middle-market companies that had its first closing in March 2013 and obtained SBA approval for its SBIC license in April 2013. In addition to Fund IV, affiliates of the Investment Advisor manage several affiliated funds whereby institutional limited partners in Fund I, Fund II, Fund III, Florida Sidecar and Fund III Parent, have had the opportunity to co-invest with the Legacy Funds in portfolio investments. The Investment Advisor and its affiliates may also manage other funds in the future that may have investment mandates that are similar, in whole and in part, with ours.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do not expect to make co-investments, or otherwise compete for investment opportunities, with Fund IV because its focus and investment strategy differ from our own.</w:t>
      </w:r>
    </w:p>
    <w:p>
      <w:pPr>
        <w:spacing w:after="0" w:line="186" w:lineRule="exact"/>
        <w:rPr>
          <w:sz w:val="20"/>
          <w:szCs w:val="20"/>
          <w:color w:val="auto"/>
        </w:rPr>
      </w:pPr>
    </w:p>
    <w:p>
      <w:pPr>
        <w:ind w:right="160" w:firstLine="913"/>
        <w:spacing w:after="0" w:line="282" w:lineRule="auto"/>
        <w:rPr>
          <w:sz w:val="20"/>
          <w:szCs w:val="20"/>
          <w:color w:val="auto"/>
        </w:rPr>
      </w:pPr>
      <w:r>
        <w:rPr>
          <w:rFonts w:ascii="Times New Roman" w:cs="Times New Roman" w:eastAsia="Times New Roman" w:hAnsi="Times New Roman"/>
          <w:sz w:val="18"/>
          <w:szCs w:val="18"/>
          <w:color w:val="auto"/>
        </w:rPr>
        <w:t>We have entered into a license agreement with the Investment Advisor, pursuant to which the Investment Advisor has agreed to grant us a non-exclusive, royalty-free license to use the name “Capitala.”</w:t>
      </w:r>
    </w:p>
    <w:p>
      <w:pPr>
        <w:spacing w:after="0" w:line="162" w:lineRule="exact"/>
        <w:rPr>
          <w:sz w:val="20"/>
          <w:szCs w:val="20"/>
          <w:color w:val="auto"/>
        </w:rPr>
      </w:pPr>
    </w:p>
    <w:p>
      <w:pPr>
        <w:ind w:right="40" w:firstLine="913"/>
        <w:spacing w:after="0" w:line="261" w:lineRule="auto"/>
        <w:rPr>
          <w:sz w:val="20"/>
          <w:szCs w:val="20"/>
          <w:color w:val="auto"/>
        </w:rPr>
      </w:pPr>
      <w:r>
        <w:rPr>
          <w:rFonts w:ascii="Times New Roman" w:cs="Times New Roman" w:eastAsia="Times New Roman" w:hAnsi="Times New Roman"/>
          <w:sz w:val="18"/>
          <w:szCs w:val="18"/>
          <w:color w:val="auto"/>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president and chairman of our Board of Directors, is the chief executive officer, president and a director of our Administrator, and Mr. Broyhill, a member of our Board of Directors, is the trustee of a trust that has a controlling interest in our Administrator.</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80"/>
          </w:cols>
          <w:pgMar w:left="240" w:top="455" w:right="2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580" w:firstLine="913"/>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right="700" w:firstLine="913"/>
        <w:spacing w:after="0" w:line="282" w:lineRule="auto"/>
        <w:rPr>
          <w:sz w:val="20"/>
          <w:szCs w:val="20"/>
          <w:color w:val="auto"/>
        </w:rPr>
      </w:pPr>
      <w:r>
        <w:rPr>
          <w:rFonts w:ascii="Times New Roman" w:cs="Times New Roman" w:eastAsia="Times New Roman" w:hAnsi="Times New Roman"/>
          <w:sz w:val="18"/>
          <w:szCs w:val="18"/>
          <w:color w:val="auto"/>
        </w:rPr>
        <w:t>On October 28, 2013, the Company invested $6.0 million in Crowley Holdings Inc. in Series A Preferred Equity, secured by underlying subordinated debt, earning 10% cash and 2% PIK.</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On October 28, 2013, the Company invested $2.06 million in Source Capital SSCR, LLC in subordinated debt, earning 14% cash and 5% PIK.</w:t>
      </w:r>
    </w:p>
    <w:p>
      <w:pPr>
        <w:spacing w:after="0" w:line="225"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On November 1, 2013, the Company invested $11.1 million in TCE Holding Company, with $9.6 million in subordinated debt, earning 12% cash and 2% PIK, and $1.5 million in common stock.</w:t>
      </w:r>
    </w:p>
    <w:p>
      <w:pPr>
        <w:spacing w:after="0" w:line="162" w:lineRule="exact"/>
        <w:rPr>
          <w:sz w:val="20"/>
          <w:szCs w:val="20"/>
          <w:color w:val="auto"/>
        </w:rPr>
      </w:pPr>
    </w:p>
    <w:p>
      <w:pPr>
        <w:ind w:right="240" w:firstLine="913"/>
        <w:spacing w:after="0" w:line="282" w:lineRule="auto"/>
        <w:rPr>
          <w:sz w:val="20"/>
          <w:szCs w:val="20"/>
          <w:color w:val="auto"/>
        </w:rPr>
      </w:pPr>
      <w:r>
        <w:rPr>
          <w:rFonts w:ascii="Times New Roman" w:cs="Times New Roman" w:eastAsia="Times New Roman" w:hAnsi="Times New Roman"/>
          <w:sz w:val="18"/>
          <w:szCs w:val="18"/>
          <w:color w:val="auto"/>
        </w:rPr>
        <w:t>On November 11, 2013, the Company’s Board of Directors declared a quarterly dividend of $0.47 per share payable on December 30, 2013 to holders of record as of December 10, 2013.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913"/>
        <w:spacing w:after="0" w:line="258" w:lineRule="auto"/>
        <w:rPr>
          <w:sz w:val="20"/>
          <w:szCs w:val="20"/>
          <w:color w:val="auto"/>
        </w:rPr>
      </w:pPr>
      <w:r>
        <w:rPr>
          <w:rFonts w:ascii="Times New Roman" w:cs="Times New Roman" w:eastAsia="Times New Roman" w:hAnsi="Times New Roman"/>
          <w:sz w:val="18"/>
          <w:szCs w:val="18"/>
          <w:color w:val="auto"/>
        </w:rPr>
        <w:t>We are subject to financial market risks, including changes in interest rates. Changes in interest rates may affect both our cost of funding and our interest income from portfolio investments and cash and cash equivalents. Our investment income will not be affected by changes in various interest rates, including LIBOR, as assets and liabilities are fixed as of September 30, 2013. We may hedge against interest rate fluctuations by using standard hedging instruments such as futures, options and forward contracts subject to the requirements of the 1940 Act. For the three and nine months ended September 30, 2013, we did not engage in hedging activities.</w:t>
      </w:r>
    </w:p>
    <w:p>
      <w:pPr>
        <w:spacing w:after="0" w:line="184" w:lineRule="exact"/>
        <w:rPr>
          <w:sz w:val="20"/>
          <w:szCs w:val="20"/>
          <w:color w:val="auto"/>
        </w:rPr>
      </w:pPr>
    </w:p>
    <w:p>
      <w:pPr>
        <w:jc w:val="both"/>
        <w:ind w:right="260" w:firstLine="913"/>
        <w:spacing w:after="0" w:line="266" w:lineRule="auto"/>
        <w:rPr>
          <w:sz w:val="20"/>
          <w:szCs w:val="20"/>
          <w:color w:val="auto"/>
        </w:rPr>
      </w:pPr>
      <w:r>
        <w:rPr>
          <w:rFonts w:ascii="Times New Roman" w:cs="Times New Roman" w:eastAsia="Times New Roman" w:hAnsi="Times New Roman"/>
          <w:sz w:val="18"/>
          <w:szCs w:val="18"/>
          <w:color w:val="auto"/>
        </w:rPr>
        <w:t>Assuming that the statement of assets and liabilities as of September 30, 2013 was to remain constant and that we took no actions to alter our existing interest rate sensitivity, there would be no impact to interest income, interest income, or net investment income as the result of changes in variable interest rates.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31" w:lineRule="exact"/>
        <w:rPr>
          <w:sz w:val="20"/>
          <w:szCs w:val="20"/>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As of September 30, 2013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334" w:lineRule="exact"/>
        <w:rPr>
          <w:sz w:val="20"/>
          <w:szCs w:val="20"/>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21" w:lineRule="exact"/>
        <w:rPr>
          <w:sz w:val="20"/>
          <w:szCs w:val="20"/>
          <w:color w:val="auto"/>
        </w:rPr>
      </w:pPr>
    </w:p>
    <w:p>
      <w:pPr>
        <w:ind w:right="220" w:firstLine="913"/>
        <w:spacing w:after="0" w:line="282" w:lineRule="auto"/>
        <w:rPr>
          <w:sz w:val="20"/>
          <w:szCs w:val="20"/>
          <w:color w:val="auto"/>
        </w:rPr>
      </w:pPr>
      <w:r>
        <w:rPr>
          <w:rFonts w:ascii="Times New Roman" w:cs="Times New Roman" w:eastAsia="Times New Roman" w:hAnsi="Times New Roman"/>
          <w:sz w:val="18"/>
          <w:szCs w:val="18"/>
          <w:color w:val="auto"/>
        </w:rPr>
        <w:t>Management has not identified any change in the Company’s internal control over financing reporting that occurred during the third quarter of 2013 that has materially affected, or is reasonably likely to materially affect, the Company’s internal control over financial reporting.</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80" w:firstLine="913"/>
        <w:spacing w:after="0" w:line="258" w:lineRule="auto"/>
        <w:rPr>
          <w:sz w:val="20"/>
          <w:szCs w:val="20"/>
          <w:color w:val="auto"/>
        </w:rPr>
      </w:pPr>
      <w:r>
        <w:rPr>
          <w:rFonts w:ascii="Times New Roman" w:cs="Times New Roman" w:eastAsia="Times New Roman" w:hAnsi="Times New Roman"/>
          <w:sz w:val="18"/>
          <w:szCs w:val="18"/>
          <w:color w:val="auto"/>
        </w:rPr>
        <w:t>None of us, our Investment Advisor or Administrator or any of the Legacy Funds, is currently subject to any material legal proceedings, nor, to our knowledge, is any material legal proceeding threatened against us, or against our Investment Advisor or Administrator. From time to time, we, our Investment Advisor or Administrator, or any of the Legacy Funds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ectPr>
          <w:pgSz w:w="11900" w:h="16838" w:orient="portrait"/>
          <w:cols w:equalWidth="0" w:num="1">
            <w:col w:w="11400"/>
          </w:cols>
          <w:pgMar w:left="240" w:top="455" w:right="259" w:bottom="1440" w:gutter="0" w:footer="0" w:header="0"/>
        </w:sectPr>
      </w:pP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firstLine="913"/>
        <w:spacing w:after="0" w:line="267" w:lineRule="auto"/>
        <w:rPr>
          <w:sz w:val="20"/>
          <w:szCs w:val="20"/>
          <w:color w:val="auto"/>
        </w:rPr>
      </w:pPr>
      <w:r>
        <w:rPr>
          <w:rFonts w:ascii="Times New Roman" w:cs="Times New Roman" w:eastAsia="Times New Roman" w:hAnsi="Times New Roman"/>
          <w:sz w:val="18"/>
          <w:szCs w:val="18"/>
          <w:i w:val="1"/>
          <w:iCs w:val="1"/>
          <w:color w:val="auto"/>
        </w:rPr>
        <w:t>Before you invest in our common stock, you should be aware of various risks, including those described below. The risks set out below are not the only risks we face. If any of the following events occur, our business, financial condition and results of operations could be materially adversely affected. In such case, our net asset value could decline, and you may lose all or part of your investment.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Structure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as a BDC.</w:t>
      </w:r>
    </w:p>
    <w:p>
      <w:pPr>
        <w:spacing w:after="0" w:line="121"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Capitala Finance was formed in February 2013 and has only operated as a BDC since September 2013. As a result, we are subject to many of the business risks and uncertainties associated with recently formed businesses, including the risk that we will not achieve our investment objective and that the value of your investment could decline substantially. As a BDC, we are subject to the regulatory requirements of the SEC, in addition to the specific regulatory requirements applicable to BDCs under the 1940 Act and RICs under the Code. Our management and that of our investment adviser, Capitala Investment Advisors, did not have any prior experience operating under this regulatory framework, and we may still incur substantial additional costs, and expend significant time or other resources, to do so. From time to time, Capitala Investment Advisors may pursue investment opportunities, like equity investments, in which it has more limited experience. We may also be unable to replicate the historical performance of prior investment funds managed by our management team. In addition, we may be unable to generate sufficient revenue from our operations to make or sustain distributions to our stockholders.</w:t>
      </w:r>
    </w:p>
    <w:p>
      <w:pPr>
        <w:spacing w:after="0" w:line="18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investment portfolio is recorded at fair value, with our Board of Directors having final responsibility for overseeing, reviewing and approving, in good faith, its estimate of fair value and, as a result, there may be uncertainty as to the value of our portfolio investments.</w:t>
      </w:r>
    </w:p>
    <w:p>
      <w:pPr>
        <w:spacing w:after="0" w:line="159" w:lineRule="exact"/>
        <w:rPr>
          <w:sz w:val="20"/>
          <w:szCs w:val="20"/>
          <w:color w:val="auto"/>
        </w:rPr>
      </w:pPr>
    </w:p>
    <w:p>
      <w:pPr>
        <w:ind w:right="40" w:firstLine="913"/>
        <w:spacing w:after="0" w:line="258" w:lineRule="auto"/>
        <w:rPr>
          <w:sz w:val="20"/>
          <w:szCs w:val="20"/>
          <w:color w:val="auto"/>
        </w:rPr>
      </w:pPr>
      <w:r>
        <w:rPr>
          <w:rFonts w:ascii="Times New Roman" w:cs="Times New Roman" w:eastAsia="Times New Roman" w:hAnsi="Times New Roman"/>
          <w:sz w:val="18"/>
          <w:szCs w:val="18"/>
          <w:color w:val="auto"/>
        </w:rPr>
        <w:t>Under the 1940 Act, we are required to carry our portfolio investments at market value or, if there is no readily available market value, at fair value as determined by us, with our Board of Directors having final responsibility for overseeing, reviewing and approving, in good faith, our estimate of fair value. Typically, there will not be a public market for the securities of the privately held companies in which invest. As a result, we value these securities quarterly at fair value based on input from management, a third-party independent valuation firm and our audit committee, and with the oversight, review and approval of our Board of Directors.</w:t>
      </w:r>
    </w:p>
    <w:p>
      <w:pPr>
        <w:spacing w:after="0" w:line="184" w:lineRule="exact"/>
        <w:rPr>
          <w:sz w:val="20"/>
          <w:szCs w:val="20"/>
          <w:color w:val="auto"/>
        </w:rPr>
      </w:pPr>
    </w:p>
    <w:p>
      <w:pPr>
        <w:ind w:right="20" w:firstLine="913"/>
        <w:spacing w:after="0" w:line="254" w:lineRule="auto"/>
        <w:rPr>
          <w:sz w:val="20"/>
          <w:szCs w:val="20"/>
          <w:color w:val="auto"/>
        </w:rPr>
      </w:pPr>
      <w:r>
        <w:rPr>
          <w:rFonts w:ascii="Times New Roman" w:cs="Times New Roman" w:eastAsia="Times New Roman" w:hAnsi="Times New Roman"/>
          <w:sz w:val="18"/>
          <w:szCs w:val="18"/>
          <w:color w:val="auto"/>
        </w:rPr>
        <w:t>The determination of fair value and consequently, the amount of unrealized gains and losses in our portfolio, are to a certain degree, subjective and dependent on a valuation process approved by our Board of Directors. Certain factors that may be considered in determining the fair value of our investments include external events, such as private mergers, sales and acquisitions involving comparable companies. Because such valuations, and particularly valuations of private securities and private companies, are inherently uncertain, they may fluctuate over short periods of time and may be based on estimates. Our determinations of fair value may differ materially from the values that would have been used if a ready market for these securities existed. Due to this uncertainty, our fair value determinations may cause our net asset value on a given date to materially understate or overstate the value that we may ultimately realize on one or more of our investments. As a result, investors purchasing our common stock based on an overstated net asset value would pay a higher price than the value of our investments might warrant. Conversely, investors selling shares during a period in which the net asset value understates the value of our investments would receive a lower price for their shares than the value of our investments might warrant.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condition and results of operations depend on our ability to effectively manage and deploy capital.</w:t>
      </w:r>
    </w:p>
    <w:p>
      <w:pPr>
        <w:spacing w:after="0" w:line="229" w:lineRule="exact"/>
        <w:rPr>
          <w:sz w:val="20"/>
          <w:szCs w:val="20"/>
          <w:color w:val="auto"/>
        </w:rPr>
      </w:pPr>
    </w:p>
    <w:p>
      <w:pPr>
        <w:ind w:right="220" w:firstLine="913"/>
        <w:spacing w:after="0" w:line="282" w:lineRule="auto"/>
        <w:rPr>
          <w:sz w:val="20"/>
          <w:szCs w:val="20"/>
          <w:color w:val="auto"/>
        </w:rPr>
      </w:pPr>
      <w:r>
        <w:rPr>
          <w:rFonts w:ascii="Times New Roman" w:cs="Times New Roman" w:eastAsia="Times New Roman" w:hAnsi="Times New Roman"/>
          <w:sz w:val="18"/>
          <w:szCs w:val="18"/>
          <w:color w:val="auto"/>
        </w:rPr>
        <w:t>Our ability to achieve our investment objective depends on our ability to effectively manage and deploy capital, which depends, in turn, on our investment adviser’s ability to identify, evaluate and monitor, and our ability to finance and invest in, companies that meet our investment criteria.</w:t>
      </w:r>
    </w:p>
    <w:p>
      <w:pPr>
        <w:spacing w:after="0" w:line="162"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Accomplishing our investment objective on a cost-effective basis is largely a function of our investment adviser’s handling of the investment process, its ability to provide competent, attentive and efficient services and our access to investments offering acceptable terms. In addition to monitoring the performance of our existing investments, our investment adviser’s investment team may also be called upon, from time to time, to provide managerial assistance to some of our portfolio companies as well as other funds that they manage. These demands on their time may distract them or slow our rate of investment. See also “—There are significant potential conflicts of interest that could negatively affect our investment returns.”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firstLine="913"/>
        <w:spacing w:after="0" w:line="258" w:lineRule="auto"/>
        <w:rPr>
          <w:sz w:val="20"/>
          <w:szCs w:val="20"/>
          <w:color w:val="auto"/>
        </w:rPr>
      </w:pPr>
      <w:r>
        <w:rPr>
          <w:rFonts w:ascii="Times New Roman" w:cs="Times New Roman" w:eastAsia="Times New Roman" w:hAnsi="Times New Roman"/>
          <w:sz w:val="18"/>
          <w:szCs w:val="18"/>
          <w:color w:val="auto"/>
        </w:rPr>
        <w:t>Even if we are able to grow and build upon our investment operations, any failure to manage our growth effectively could have a material adverse effect on our business, financial condition, results of operations and prospects. The results of our operations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as described in this prospectus, it could negatively impact our ability to make distributions.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upon Capitala Investment Advisors’ key personnel for our future success.</w:t>
      </w:r>
    </w:p>
    <w:p>
      <w:pPr>
        <w:spacing w:after="0" w:line="229"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We depend on the diligence, skill and network of business contacts of Joseph B. Alala, III, Hunt Broyhill and John F. McGlinn, who serve as the members of the investment committee of Capitala Investment Advisors and lead Capitala Investment Advisors’ investment team. Our success depends on the continued service of these individuals and the other senior investment professionals available to Capitala Investment Advisors. We cannot assure you that unforeseen business, medical, personal or other circumstances would not lead Messrs. Alala, Broyhill or McGlinn or any other such individual to terminate his relationship with us. Such a termination could have a material adverse effect on our ability to achieve our investment objective as well as on our financial condition and results of operations. In addition, we can offer no assurance that Capitala Investment Advisors will continue indefinitely as our investment adviser.</w:t>
      </w:r>
    </w:p>
    <w:p>
      <w:pPr>
        <w:spacing w:after="0" w:line="189" w:lineRule="exact"/>
        <w:rPr>
          <w:sz w:val="20"/>
          <w:szCs w:val="20"/>
          <w:color w:val="auto"/>
        </w:rPr>
      </w:pPr>
    </w:p>
    <w:p>
      <w:pPr>
        <w:ind w:right="140" w:firstLine="913"/>
        <w:spacing w:after="0" w:line="261" w:lineRule="auto"/>
        <w:rPr>
          <w:sz w:val="20"/>
          <w:szCs w:val="20"/>
          <w:color w:val="auto"/>
        </w:rPr>
      </w:pPr>
      <w:r>
        <w:rPr>
          <w:rFonts w:ascii="Times New Roman" w:cs="Times New Roman" w:eastAsia="Times New Roman" w:hAnsi="Times New Roman"/>
          <w:sz w:val="18"/>
          <w:szCs w:val="18"/>
          <w:color w:val="auto"/>
        </w:rPr>
        <w:t>The members of Capitala Investment Advisors’ investment team are and may in the future become affiliated with entities engaged in business activities similar to those intended to be conducted by us, and may have conflicts of interest in allocating their time. Mr. Alala dedicates a significant portion of his time to the activities of Capitala Finance; however, he may become engaged in other business activities that could divert his time and attention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for investment opportunities, which could reduce returns and result in losses.</w:t>
      </w:r>
    </w:p>
    <w:p>
      <w:pPr>
        <w:spacing w:after="0" w:line="229"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We compete for investments with other BDCs with similar investment strategies, private equity funds with similar investment strategies, venture lending funds, finance companies with venture lending units and banks focused on venture lending. Many of our competitors are substantially larger and have considerably greater financial, technical and marketing resources than we have. For example, some competitors may have a lower cost of capital and access to funding sources that are not available to us. In addition, some of our competitors have higher risk tolerances or different risk assessments than we have. These characteristics might allow our competitors to consider a wider variety of investments, establish more relationships or offer better pricing and more flexible structuring than we are able to offer. We may lose investment opportunities if we do not match our competitors’ pricing, terms or structure. If we are forced to match our competitors’ pricing, terms or structure, we may not be able to achieve acceptable returns on our investments or may bear substantial risk of capital loss. We believe a significant part of our competitive advantage stems from the fact that the market for investments in smaller and lower middle-market companies is underserved by traditional commercial banks and other financing sources. A significant increase in the number and/or the size of our competitors in this target market could force us to accept less attractive investment terms. Furthermore, many of our competitors have greater experience operating under, or will not be subject to, the regulatory restrictions that the 1940 Act impose on us as a BDC.</w:t>
      </w:r>
    </w:p>
    <w:p>
      <w:pPr>
        <w:spacing w:after="0" w:line="18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inability of our investment adviser to maintain or develop strong referral relationships, or the failure of these relationships to generate investment opportunities, could adversely affect our business.</w:t>
      </w:r>
    </w:p>
    <w:p>
      <w:pPr>
        <w:spacing w:after="0" w:line="159" w:lineRule="exact"/>
        <w:rPr>
          <w:sz w:val="20"/>
          <w:szCs w:val="20"/>
          <w:color w:val="auto"/>
        </w:rPr>
      </w:pPr>
    </w:p>
    <w:p>
      <w:pPr>
        <w:ind w:right="120" w:firstLine="913"/>
        <w:spacing w:after="0" w:line="256" w:lineRule="auto"/>
        <w:rPr>
          <w:sz w:val="20"/>
          <w:szCs w:val="20"/>
          <w:color w:val="auto"/>
        </w:rPr>
      </w:pPr>
      <w:r>
        <w:rPr>
          <w:rFonts w:ascii="Times New Roman" w:cs="Times New Roman" w:eastAsia="Times New Roman" w:hAnsi="Times New Roman"/>
          <w:sz w:val="18"/>
          <w:szCs w:val="18"/>
          <w:color w:val="auto"/>
        </w:rPr>
        <w:t>We depend upon our investment adviser to maintain its relationships with venture capital and private equity firms, placement agents, investment banks, management groups and other financial institutions, and we expect to rely to a significant extent upon these relationships to provide us with potential investment opportunities. If our investment adviser fails to maintain such relationships, or to develop new relationships with other sources of investment opportunities, we will not be able to grow our investment portfolio. In addition, individuals with whom our investment adviser has relationships are not obligated to provide us with investment opportunities, and we can offer no assurance that these relationships will generate investment opportunities for us in the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ability of Capitala Investment Advisors to attract and retain qualified personnel in a competitive environment.</w:t>
      </w:r>
    </w:p>
    <w:p>
      <w:pPr>
        <w:spacing w:after="0" w:line="229" w:lineRule="exact"/>
        <w:rPr>
          <w:sz w:val="20"/>
          <w:szCs w:val="20"/>
          <w:color w:val="auto"/>
        </w:rPr>
      </w:pPr>
    </w:p>
    <w:p>
      <w:pPr>
        <w:ind w:right="40" w:firstLine="913"/>
        <w:spacing w:after="0" w:line="261" w:lineRule="auto"/>
        <w:rPr>
          <w:sz w:val="20"/>
          <w:szCs w:val="20"/>
          <w:color w:val="auto"/>
        </w:rPr>
      </w:pPr>
      <w:r>
        <w:rPr>
          <w:rFonts w:ascii="Times New Roman" w:cs="Times New Roman" w:eastAsia="Times New Roman" w:hAnsi="Times New Roman"/>
          <w:sz w:val="18"/>
          <w:szCs w:val="18"/>
          <w:color w:val="auto"/>
        </w:rPr>
        <w:t>Our growth requires that Capitala Investment Advisors retain and attract new investment and administrative personnel in a competitive market. Its ability to attract and retain personnel with the requisite credentials, experience and skills depends on several factors including, but not limited to, its ability to offer competitive wages, benefits and professional growth opportunities. Many of the entities with which it competes for experienced personnel, including investment funds (such as private equity funds and mezzanine funds) and traditional financial services companies, have greater resources than it will have.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significant potential conflicts of interest that could negatively affect our investment returns.</w:t>
      </w:r>
    </w:p>
    <w:p>
      <w:pPr>
        <w:spacing w:after="0" w:line="229"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The members of Capitala Investment Advisors’ investment team also monitor and service other affiliated investment funds. In addition, our executive officers and directors, as well as the current and future members of our investment adviser’s investment team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 However, Capitala Investment Advisors’ investment team does not intend to sponsor or manage another BDC with an investment strategy that is substantially similar to our investment strategy.</w:t>
      </w:r>
    </w:p>
    <w:p>
      <w:pPr>
        <w:spacing w:after="0" w:line="184"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In the course of our investing activities, we pay management and incentive fees to Capitala Investment Advisors and reimburse Capitala Investment Advisors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Capitala Investment Advisors will have interests that differ from those of our stockholders, giving rise to a conflict. Capitala Investment Advisors will not be reimbursed for any performance-related compensation for its employees. We have entered into a royalty-free license agreement with our investment adviser, pursuant to which Capitala Investment Advisors grants us a non-exclusive royalty-free license to use the name “Capitala.” Under the license agreement, we have the right to use the “Capitala” name for so long as Capitala Investment Advisors or one of its affiliates remains our investment adviser. In addition, we pay our administrator our allocable portion of overhead and other expenses incurred by our administrator in performing its obligations under the Administration Agreement, including rent, the fees and expenses associated with performing compliance functions, and our allocable portion of the compensation of our chief financial officer and any administrative support staff. These arrangements create conflicts of interest that our Board of Directors must monitor.</w:t>
      </w:r>
    </w:p>
    <w:p>
      <w:pPr>
        <w:spacing w:after="0" w:line="193" w:lineRule="exact"/>
        <w:rPr>
          <w:sz w:val="20"/>
          <w:szCs w:val="20"/>
          <w:color w:val="auto"/>
        </w:rPr>
      </w:pPr>
    </w:p>
    <w:p>
      <w:pPr>
        <w:ind w:right="660" w:firstLine="913"/>
        <w:spacing w:after="0" w:line="282" w:lineRule="auto"/>
        <w:rPr>
          <w:sz w:val="20"/>
          <w:szCs w:val="20"/>
          <w:color w:val="auto"/>
        </w:rPr>
      </w:pPr>
      <w:r>
        <w:rPr>
          <w:rFonts w:ascii="Times New Roman" w:cs="Times New Roman" w:eastAsia="Times New Roman" w:hAnsi="Times New Roman"/>
          <w:sz w:val="18"/>
          <w:szCs w:val="18"/>
          <w:color w:val="auto"/>
        </w:rPr>
        <w:t>If our investment adviser forms other affiliates in the future, we may co-invest on a concurrent basis with such other affiliates, subject to compliance with applicable regulations and regulatory guidance and our allocation procedures.</w:t>
      </w:r>
    </w:p>
    <w:p>
      <w:pPr>
        <w:spacing w:after="0" w:line="162" w:lineRule="exact"/>
        <w:rPr>
          <w:sz w:val="20"/>
          <w:szCs w:val="20"/>
          <w:color w:val="auto"/>
        </w:rPr>
      </w:pPr>
    </w:p>
    <w:p>
      <w:pPr>
        <w:ind w:right="100" w:firstLine="913"/>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and us, companies controlled by us or our executive officers and directors. We will not enter into any agreements unless and until we are satisfied that doing so will not raise concerns under the 1940 Act or, if such concerns exist, we have taken appropriate actions to seek review and approval by our Board of Directors or exemptive relief for such transaction. Our Board of Directors will review these procedures on an annual basis.</w:t>
      </w:r>
    </w:p>
    <w:p>
      <w:pPr>
        <w:spacing w:after="0" w:line="1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investment committee and other investment professionals of Capitala Investment Advisors may, from time to time, possess material non-public information about or related to our portfolio companies, limiting our investment discretion.</w:t>
      </w:r>
    </w:p>
    <w:p>
      <w:pPr>
        <w:spacing w:after="0" w:line="159"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Members of our investment adviser’s investment committee and other investment professionals of Capitala Investment Advisors may serve as directors of, or in a similar capacity with, portfolio companies in which we invest. In the event that material nonpublic information is obtained with respect to such companies, or we become subject to trading restrictions under the internal trading policies of those companies or as a result of applicable law or regulations, we could be prohibited for a period of time from purchasing or selling the securities of such companies, and this prohibition may have an adverse effect on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involvement of our interested directors in the valuation process may create conflicts of interest.</w:t>
      </w:r>
    </w:p>
    <w:p>
      <w:pPr>
        <w:spacing w:after="0" w:line="229"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We make many of our portfolio investments in the form of loans and securities that are not publicly traded and for which no market-based price quotation is available. As a result, our Board of Directors determines the fair value of these loans and securities in good faith as described above in the section titled “Valuation of Investments” in Note 2 to the Consolidated Financial Statements. In connection with that determination, investment professionals from Capitala Investment Advisors may provide our Board of Directors with valuations based upon the most recent portfolio company financial statements available and projected financial results of each portfolio company. While the valuation for certain portfolio investments is reviewed by an independent valuation firm quarterly, the ultimate determination of fair value is made by our Board of Directors, including our interested directors, and not by such third-party valuation firm. In addition, Messrs. Alala and Broyhill, interested members of our Board of Directors, have pecuniary interests in Capitala Investment Advisors. The participation of Capitala Investment Advisors’ investment professionals in our valuation process, and the pecuniary interests in Capitala Investment Advisors by Messrs. Alala and Broyhill, could result in conflicts of interest as Capitala Investment Advisors’ management fee is based, in part, on the value of our gross assets, and our incentive fees will be based, in part, on realized gains and realized and unrealized losses.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Formation Transactions were consummated prior to the filing of our election to be regulated as a BDC under the 1940 Act, the protections and rights afforded to investors under the 1940 Act may not apply with respect to such transactions.</w:t>
      </w:r>
    </w:p>
    <w:p>
      <w:pPr>
        <w:spacing w:after="0" w:line="159"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We completed the Formation Transactions prior to the filing of our election to be regulated as a BDC under the 1940 Act. As a result, the protections and rights afforded to investors under the 1940 Act may not apply with respect to such transactions. In particular, we are generally prohibited from purchasing securities or other assets from an affiliate absent exemptive relief. As a result, the Formation Transactions and the parties from which we acquired our portfolio would likely differ substantially to the extent we were subject to the requirements and restrictions of the 1940 Act at the time we completed the Formation Transactions.</w:t>
      </w:r>
    </w:p>
    <w:p>
      <w:pPr>
        <w:spacing w:after="0" w:line="1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Investment Advisory Agreement with Capitala Investment Advisors and the Administration Agreement with our administrator were not negotiated on an arm’s length basis and may not be as favorable to us as if they had been negotiated with an unaffiliated third-party.</w:t>
      </w:r>
    </w:p>
    <w:p>
      <w:pPr>
        <w:spacing w:after="0" w:line="159" w:lineRule="exact"/>
        <w:rPr>
          <w:sz w:val="20"/>
          <w:szCs w:val="20"/>
          <w:color w:val="auto"/>
        </w:rPr>
      </w:pPr>
    </w:p>
    <w:p>
      <w:pPr>
        <w:ind w:right="400" w:firstLine="913"/>
        <w:spacing w:after="0" w:line="266" w:lineRule="auto"/>
        <w:rPr>
          <w:sz w:val="20"/>
          <w:szCs w:val="20"/>
          <w:color w:val="auto"/>
        </w:rPr>
      </w:pPr>
      <w:r>
        <w:rPr>
          <w:rFonts w:ascii="Times New Roman" w:cs="Times New Roman" w:eastAsia="Times New Roman" w:hAnsi="Times New Roman"/>
          <w:sz w:val="18"/>
          <w:szCs w:val="18"/>
          <w:color w:val="auto"/>
        </w:rPr>
        <w:t>The Investment Advisory Agreement and the Administration Agreement were negotiated between related parties. Consequently, their terms, including fees payable to Capitala Investment Advisors and our administrator, may not be as favorable to us as if they had been negotiated with an unaffiliated third-party.</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incentive fee structure may induce Capitala Investment Advisors to pursue speculative investments, and to use leverage when it may be unwise to do so.</w:t>
      </w:r>
    </w:p>
    <w:p>
      <w:pPr>
        <w:spacing w:after="0" w:line="159" w:lineRule="exact"/>
        <w:rPr>
          <w:sz w:val="20"/>
          <w:szCs w:val="20"/>
          <w:color w:val="auto"/>
        </w:rPr>
      </w:pPr>
    </w:p>
    <w:p>
      <w:pPr>
        <w:ind w:right="40" w:firstLine="913"/>
        <w:spacing w:after="0" w:line="254" w:lineRule="auto"/>
        <w:rPr>
          <w:sz w:val="20"/>
          <w:szCs w:val="20"/>
          <w:color w:val="auto"/>
        </w:rPr>
      </w:pPr>
      <w:r>
        <w:rPr>
          <w:rFonts w:ascii="Times New Roman" w:cs="Times New Roman" w:eastAsia="Times New Roman" w:hAnsi="Times New Roman"/>
          <w:sz w:val="18"/>
          <w:szCs w:val="18"/>
          <w:color w:val="auto"/>
        </w:rPr>
        <w:t>The incentive fee payable by us to Capitala Investment Advisors may create an incentive for Capitala Investment Advisors to pursue investments on our behalf that are riskier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impair the value of our common stock. In addition, our investment adviser receives the incentive fee based, in part, upon net capital gains realized on our investments. Unlike that portion of the incentive fee based on income, there is no hurdle rate applicable to the portion of the incentive fee based on net capital gains. As a result, the investment adviser may have a tendency to invest more capital in investments that are likely to result in capital gains as compared to income-producing securities. Such a practice could result in our investing in more speculative securities than would otherwise be the case, which could result in higher investment losses, particularly during economic downturns.</w:t>
      </w:r>
    </w:p>
    <w:p>
      <w:pPr>
        <w:spacing w:after="0" w:line="189" w:lineRule="exact"/>
        <w:rPr>
          <w:sz w:val="20"/>
          <w:szCs w:val="20"/>
          <w:color w:val="auto"/>
        </w:rPr>
      </w:pPr>
    </w:p>
    <w:p>
      <w:pPr>
        <w:ind w:right="20" w:firstLine="913"/>
        <w:spacing w:after="0" w:line="256" w:lineRule="auto"/>
        <w:rPr>
          <w:sz w:val="20"/>
          <w:szCs w:val="20"/>
          <w:color w:val="auto"/>
        </w:rPr>
      </w:pPr>
      <w:r>
        <w:rPr>
          <w:rFonts w:ascii="Times New Roman" w:cs="Times New Roman" w:eastAsia="Times New Roman" w:hAnsi="Times New Roman"/>
          <w:sz w:val="18"/>
          <w:szCs w:val="18"/>
          <w:color w:val="auto"/>
        </w:rPr>
        <w:t>Although we do not anticipate doing so during at least our first 12 months of operations, we may invest, to the extent permitted by law, in the securities and instruments of other investment companies, including private funds, and, to the extent we so invest, will bear our ratable share of any such investment company’s expenses, including management and performance fees. We also remain obligated to pay management and incentive fees to our investment adviser with respect to the assets invested in the securities and instruments of other investment companies. With respect to each of these investments, each of our stockholders will bear his or her share of the management and our investment adviser’s incentive fee as well as indirectly bearing the management and performance fees and other expenses of any investment companies in which we invest.</w:t>
      </w:r>
    </w:p>
    <w:p>
      <w:pPr>
        <w:spacing w:after="0" w:line="18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Capitala Investment Advisors’ liability is limited under the Investment Advisory Agreement, and we have agreed to indemnify Capitala Investment Advisors against certain liabilities, which may lead Capitala Investment Advisors to act in a riskier manner on our behalf than it would when acting for its own account.</w:t>
      </w:r>
    </w:p>
    <w:p>
      <w:pPr>
        <w:spacing w:after="0" w:line="175" w:lineRule="exact"/>
        <w:rPr>
          <w:sz w:val="20"/>
          <w:szCs w:val="20"/>
          <w:color w:val="auto"/>
        </w:rPr>
      </w:pPr>
    </w:p>
    <w:p>
      <w:pPr>
        <w:ind w:right="80" w:firstLine="913"/>
        <w:spacing w:after="0" w:line="253" w:lineRule="auto"/>
        <w:rPr>
          <w:sz w:val="20"/>
          <w:szCs w:val="20"/>
          <w:color w:val="auto"/>
        </w:rPr>
      </w:pPr>
      <w:r>
        <w:rPr>
          <w:rFonts w:ascii="Times New Roman" w:cs="Times New Roman" w:eastAsia="Times New Roman" w:hAnsi="Times New Roman"/>
          <w:sz w:val="18"/>
          <w:szCs w:val="18"/>
          <w:color w:val="auto"/>
        </w:rPr>
        <w:t>Under the Investment Advisory Agreement, Capitala Investment Advisors has not assumed any responsibility to us other than to render the services called for under that agreement. It is not responsible for any action of our Board of Directors in following or declining to follow Capitala Investment Advisors’ advice or recommendations. Under the Investment Advisory Agreement, Capitala Investment Advisors, its officers, members and personnel, and any person controlling or controlled by Capitala Investment Advisors is not liable to us, any subsidiary of ours, our directors, our stockholders or any subsidiary’s stockholders or partners for acts or omissions performed in accordance with and pursuant to the Investment Advisory Agreement, except those resulting from acts constituting gross negligence, willful misfeasance, bad faith or reckless disregard of the duties that Capitala Investment Advisors owes to us under the Investment Advisory Agreement. In addition, as part of the Investment Advisory Agreement, we have agreed to indemnify Capitala Investment Advisors and each of its officers, directors, members, managers and employees from and against any claims or liabilities, including reasonable legal fees and other expenses reasonably incurred, arising out of or in connection with our business and operations or any action taken or omitted on our behalf pursuant to authority granted by the Investment Advisory Agreement, except where attributable to gross negligence, willful misfeasance, bad faith or reckless disregard of such person’s duties under the Investment Advisory Agreement. These protections may lead Capitala Investment Advisors to act in a riskier manner when acting on our behalf than it would when acting for its own account.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general increase in interest rates will likely have the effect of making it easier for our investment adviser to receive incentive fees, without necessarily resulting in an increase in our net earnings.</w:t>
      </w:r>
    </w:p>
    <w:p>
      <w:pPr>
        <w:spacing w:after="0" w:line="159"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Under the structure of our Investment Advisory Agreement with our investment adviser, any general increase in interest rates will likely have the effect of making it easier for our investment adviser to meet the quarterly hurdle rate for payment of income incentive fees under the Investment Advisory Agreement without any additional increase in relative performance on the part of our investment adviser. In addition, in view of the catch-up provision applicable to income incentive fees under the Investment Advisory Agreement, our investment adviser could potentially receive a significant portion of the increase in our investment income attributable to such a general increase in interest rates. If that were to occur, our increase in net earnings, if any, would likely be significantly smaller than the relative increase in our investment adviser’s income incentive fee resulting from such a general increase in interest rates.</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PIK interest payments we receive will increase our assets under management and, as a result, will increase the amount of base management fees and incentive fees payable by us to Capitala Investment Advisors.</w:t>
      </w:r>
    </w:p>
    <w:p>
      <w:pPr>
        <w:spacing w:after="0" w:line="159"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Certain of our debt investments contain provisions providing for the payment of contractual PIK interest. Because PIK interest results in an increase in the size of the loan balance of the underlying loan, the receipt by us of PIK interest will have the effect of increasing our assets under management. As a result, because the base management fee that we pay to Capitala Investment Advisors is based on the value of our gross assets, the receipt by us of PIK interest will result in an increase in the amount of the base management fee payable by us. In addition, any such increase in a loan balance due to the receipt of PIK interest will cause such loan to accrue interest on the higher loan balance, which will result in an increase in our pre-incentive fee net investment income and, as a result, an increase in incentive fees that are payable by us to Capitala Investment Advisors.</w:t>
      </w:r>
    </w:p>
    <w:p>
      <w:pPr>
        <w:spacing w:after="0" w:line="1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investment adviser has the right to resign on 60 days’ notice, and we may not be able to find a suitable replacement within such time, resulting in a disruption in our operations that could adversely affect our financial condition, business and results of operations.</w:t>
      </w:r>
    </w:p>
    <w:p>
      <w:pPr>
        <w:spacing w:after="0" w:line="159" w:lineRule="exact"/>
        <w:rPr>
          <w:sz w:val="20"/>
          <w:szCs w:val="20"/>
          <w:color w:val="auto"/>
        </w:rPr>
      </w:pPr>
    </w:p>
    <w:p>
      <w:pPr>
        <w:ind w:right="80" w:firstLine="913"/>
        <w:spacing w:after="0" w:line="254" w:lineRule="auto"/>
        <w:rPr>
          <w:sz w:val="20"/>
          <w:szCs w:val="20"/>
          <w:color w:val="auto"/>
        </w:rPr>
      </w:pPr>
      <w:r>
        <w:rPr>
          <w:rFonts w:ascii="Times New Roman" w:cs="Times New Roman" w:eastAsia="Times New Roman" w:hAnsi="Times New Roman"/>
          <w:sz w:val="18"/>
          <w:szCs w:val="18"/>
          <w:color w:val="auto"/>
        </w:rPr>
        <w:t>Our investment adviser has the right, under the Investment Advisory Agreement, to resign at any time on 60 days’ written notice, whether we have found a replacement or not. If our investment adviser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our investment adviser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investment adviser may not be able to achieve the same or similar returns as those achieved by our investment adviser’s investment team while they were employed at prior positions.</w:t>
      </w:r>
    </w:p>
    <w:p>
      <w:pPr>
        <w:spacing w:after="0" w:line="159" w:lineRule="exact"/>
        <w:rPr>
          <w:sz w:val="20"/>
          <w:szCs w:val="20"/>
          <w:color w:val="auto"/>
        </w:rPr>
      </w:pPr>
    </w:p>
    <w:p>
      <w:pPr>
        <w:ind w:right="60" w:firstLine="913"/>
        <w:spacing w:after="0" w:line="261" w:lineRule="auto"/>
        <w:rPr>
          <w:sz w:val="20"/>
          <w:szCs w:val="20"/>
          <w:color w:val="auto"/>
        </w:rPr>
      </w:pPr>
      <w:r>
        <w:rPr>
          <w:rFonts w:ascii="Times New Roman" w:cs="Times New Roman" w:eastAsia="Times New Roman" w:hAnsi="Times New Roman"/>
          <w:sz w:val="18"/>
          <w:szCs w:val="18"/>
          <w:color w:val="auto"/>
        </w:rPr>
        <w:t>Although in the past Mr. Alala and other members of our investment adviser’s investment team have held senior positions at a number of investment firms, including the Legacy Funds, their track record and achievements are not necessarily indicative of future results that will be achieved by our investment adviser. We cannot assure you that we will be able to achieve the results realized by prior vehicles managed by our investment adviser’s investment team, including the Legacy Funds.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on our part to maintain our status as a BDC would reduce our operating flexibility.</w:t>
      </w:r>
    </w:p>
    <w:p>
      <w:pPr>
        <w:spacing w:after="0" w:line="229" w:lineRule="exact"/>
        <w:rPr>
          <w:sz w:val="20"/>
          <w:szCs w:val="20"/>
          <w:color w:val="auto"/>
        </w:rPr>
      </w:pPr>
    </w:p>
    <w:p>
      <w:pPr>
        <w:ind w:right="80" w:firstLine="913"/>
        <w:spacing w:after="0" w:line="255" w:lineRule="auto"/>
        <w:rPr>
          <w:sz w:val="20"/>
          <w:szCs w:val="20"/>
          <w:color w:val="auto"/>
        </w:rPr>
      </w:pPr>
      <w:r>
        <w:rPr>
          <w:rFonts w:ascii="Times New Roman" w:cs="Times New Roman" w:eastAsia="Times New Roman" w:hAnsi="Times New Roman"/>
          <w:sz w:val="18"/>
          <w:szCs w:val="18"/>
          <w:color w:val="auto"/>
        </w:rPr>
        <w:t>We have elected to be treated as a BDC under the 1940 Act. The 1940 Act imposes numerous constraints on the operations of BDCs. For example, BDCs are required to invest at least 70% of their gross assets in specified types of securities, primarily in private companies or thinly traded U.S. public companies, cash, cash equivalents, U.S. government securities and other high quality debt investments that mature in one year or less. Furthermore, 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qualify, or maintain our qualification, as a BDC, we may be subject to the substantially greater regulation under the 1940 Act as a closed-end investment company. Compliance with such regulations would significantly decrease our operating flexibility and could significantly increase our costs of doing business.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159" w:lineRule="exact"/>
        <w:rPr>
          <w:sz w:val="20"/>
          <w:szCs w:val="20"/>
          <w:color w:val="auto"/>
        </w:rPr>
      </w:pPr>
    </w:p>
    <w:p>
      <w:pPr>
        <w:ind w:right="20" w:firstLine="913"/>
        <w:spacing w:after="0" w:line="253" w:lineRule="auto"/>
        <w:rPr>
          <w:sz w:val="20"/>
          <w:szCs w:val="20"/>
          <w:color w:val="auto"/>
        </w:rPr>
      </w:pPr>
      <w:r>
        <w:rPr>
          <w:rFonts w:ascii="Times New Roman" w:cs="Times New Roman" w:eastAsia="Times New Roman" w:hAnsi="Times New Roman"/>
          <w:sz w:val="18"/>
          <w:szCs w:val="18"/>
          <w:color w:val="auto"/>
        </w:rPr>
        <w:t>We may issue debt securities or preferred stock and/or borrow money from banks or other financial institutions, which we refer to collectively as “senior securities,” up to the maximum amount permitted by the 1940 Act. Under the provisions of the 1940 Act, we are permitted, as a BDC, to issue senior securities in amounts such that our asset coverage ratio, as defined in the 1940 Act, equals at least 200%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 Also, any amounts that we use to service our indebtedness would not be available for distributions to our common stockholders. Furthermore, as a result of issuing senior securities, we would also be exposed to typical risks associated with leverage, including an increased risk of loss. As of September 30, 2013, we have approximately $202.2 million of outstanding debentures guaranteed by the SBA. If we issue preferred stock, the preferred stock would rank “senior” to common stock in our capital structure, preferred stockholders would have separate voting rights on certain matters and might have other rights, preferences, or privileges more favorable than those of our common stockholders, and the issuance of preferred stock could have the effect of delaying, deferring or preventing a transaction or a change of control that might involve a premium price for holders of our common stock or otherwise be in your best interest.</w:t>
      </w:r>
    </w:p>
    <w:p>
      <w:pPr>
        <w:spacing w:after="0" w:line="191"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We generally may not issue and sell our common stock at a price below net asset value per share. We may, however, sell our common stock, or warrants, options or rights to acquire our common stock, at a price below the then-current net asset value per share of our common stock if our Board of Directors determines that such sale is in our best interests and in the best interests of our stockholders, and our stockholders approve such sale. In any such case, the price at which our securities are to be issued and sold may not be less than a price that, in the determination of our Board of Directors, closely approximates the market value of such securities (less any commission or discount). If we raise additional funds by issuing more common stock or senior securities convertible into, or exchangeable for, our common stock, then the percentage ownership of our stockholders at that time will decrease, and you may experience dilution.</w:t>
      </w:r>
    </w:p>
    <w:p>
      <w:pPr>
        <w:spacing w:after="0" w:line="18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borrow additional money, which would magnify the potential for gain or loss on amounts invested and may increase the risk of investing in us, and the calculation of our base management fee, which is based upon our gross assets, may have the effect of encouraging our investment adviser to utilize leverage when it may not be advisable to do so.</w:t>
      </w:r>
    </w:p>
    <w:p>
      <w:pPr>
        <w:spacing w:after="0" w:line="175"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The use of leverage magnifies the potential for gain or loss on amounts invested and, therefore, increases the risks associated with investing in our securities. In addition to the existing SBA-guaranteed debentures, we may borrow from and issue senior debt securities to banks, insurance companies and other lenders in the future. Holders of these senior securities will have fixed dollar claims on our assets that are superior to the claims of our common stockholders, and we would expect such lenders to seek recovery against our assets in the event of a default. If the value of our assets decreases, leverage would cause net asset value to decline more sharply than it otherwise would have had we not been leveraged. Similarly, any decrease in our income would cause net income to decline more sharply than it would have had we not borrowed. Such a decline could also negatively affect our ability to make distributions on our common stock. Leverage is generally considered a speculative investment technique. Our ability to service any debt that we incur will depend largely on our financial performance and will be subject to prevailing economic conditions and competitive pressures. Moreover, as the management fee payable to our investment adviser will be payable based on our gross assets, including those assets acquired through the use of leverage, our investment adviser will have a financial incentive to incur leverage that may not be consistent with our stockholders’ interests. In addition, our common stockholders will bear the burden of any increase in our expenses as a result of leverage, including any increase in the management fee payable to our investment adviser.</w:t>
      </w:r>
    </w:p>
    <w:p>
      <w:pPr>
        <w:spacing w:after="0" w:line="193" w:lineRule="exact"/>
        <w:rPr>
          <w:sz w:val="20"/>
          <w:szCs w:val="20"/>
          <w:color w:val="auto"/>
        </w:rPr>
      </w:pPr>
    </w:p>
    <w:p>
      <w:pPr>
        <w:ind w:right="140" w:firstLine="913"/>
        <w:spacing w:after="0" w:line="266" w:lineRule="auto"/>
        <w:rPr>
          <w:sz w:val="20"/>
          <w:szCs w:val="20"/>
          <w:color w:val="auto"/>
        </w:rPr>
      </w:pPr>
      <w:r>
        <w:rPr>
          <w:rFonts w:ascii="Times New Roman" w:cs="Times New Roman" w:eastAsia="Times New Roman" w:hAnsi="Times New Roman"/>
          <w:sz w:val="18"/>
          <w:szCs w:val="18"/>
          <w:color w:val="auto"/>
        </w:rPr>
        <w:t>It is also likely that any credit facility into which we may enter would impose financial and operating covenants that restrict our business activities, including limitations that could hinder our ability to finance additional loans and investments or to make the distributions required to maintain our status as a RIC under Subchapter M of the Code.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 the extent we borrow money to finance our investments, changes in interest rates will affect our cost of capital and net investment income.</w:t>
      </w:r>
    </w:p>
    <w:p>
      <w:pPr>
        <w:spacing w:after="0" w:line="229"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color w:val="auto"/>
        </w:rPr>
        <w:t>To the extent we borrow money to finance our investments, our net investment income will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event we borrow money to finance our investments. In periods of rising interest rates, our cost of funds would increase, which could reduce our net investment income. We expect that our long-term fixed-rate investments will be financed primarily with equity and long-term debt. We may use interest rate risk management techniques in an effort to limit our exposure to interest rate fluctuations. Such techniques may include various interest rate hedging activities to the extent permitted by the 1940 Act. Our investment adviser does not have significant experience with utilizing these techniques and did not implement these techniques to any significant extent with our portfolio. If we do not implement these techniques properly, we could experience losses on our hedging positions, which could be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disruption in the capital markets and the credit markets could impair our ability to raise capital and negatively affect our business.</w:t>
      </w:r>
    </w:p>
    <w:p>
      <w:pPr>
        <w:spacing w:after="0" w:line="229" w:lineRule="exact"/>
        <w:rPr>
          <w:sz w:val="20"/>
          <w:szCs w:val="20"/>
          <w:color w:val="auto"/>
        </w:rPr>
      </w:pPr>
    </w:p>
    <w:p>
      <w:pPr>
        <w:ind w:right="100" w:firstLine="913"/>
        <w:spacing w:after="0" w:line="282" w:lineRule="auto"/>
        <w:rPr>
          <w:sz w:val="20"/>
          <w:szCs w:val="20"/>
          <w:color w:val="auto"/>
        </w:rPr>
      </w:pPr>
      <w:r>
        <w:rPr>
          <w:rFonts w:ascii="Times New Roman" w:cs="Times New Roman" w:eastAsia="Times New Roman" w:hAnsi="Times New Roman"/>
          <w:sz w:val="18"/>
          <w:szCs w:val="18"/>
          <w:color w:val="auto"/>
        </w:rPr>
        <w:t>As a BDC, we have to maintain our ability to raise additional capital for investment purposes. Without sufficient access to the capital markets or credit markets, we may be forced to curtail our business operations or we may not be able to pursue new business opportunities.</w:t>
      </w:r>
    </w:p>
    <w:p>
      <w:pPr>
        <w:spacing w:after="0" w:line="162" w:lineRule="exact"/>
        <w:rPr>
          <w:sz w:val="20"/>
          <w:szCs w:val="20"/>
          <w:color w:val="auto"/>
        </w:rPr>
      </w:pPr>
    </w:p>
    <w:p>
      <w:pPr>
        <w:ind w:right="60" w:firstLine="913"/>
        <w:spacing w:after="0" w:line="254" w:lineRule="auto"/>
        <w:rPr>
          <w:sz w:val="20"/>
          <w:szCs w:val="20"/>
          <w:color w:val="auto"/>
        </w:rPr>
      </w:pPr>
      <w:r>
        <w:rPr>
          <w:rFonts w:ascii="Times New Roman" w:cs="Times New Roman" w:eastAsia="Times New Roman" w:hAnsi="Times New Roman"/>
          <w:sz w:val="18"/>
          <w:szCs w:val="18"/>
          <w:color w:val="auto"/>
        </w:rPr>
        <w:t>Since the middle of 2007, the capital markets and the credit markets have experienced periods of extreme volatility and disruption and, accordingly, there has been and may continue to be uncertainty in the financial markets in general. Continuing U.S. debt ceiling and budget deficit concerns, including automatic spending cuts stemming from sequestration, together with deteriorating sovereign debt conditions in Europe, have increased the possibility of additional credit-rating downgrades and economic slowdowns, or a recession in the United States. The impact of this or any further downgrades to the U.S. government’s sovereign credit rating or its perceived creditworthiness could adversely affect the U.S. and global financial markets and economic conditions. These developments, along with the European sovereign debt crisis, could cause interest rates and borrowing costs to rise, which may negatively impact our ability to access the debt markets on favorable terms. Continued adverse economic conditions could have a material adverse effect on our business, financial condition and results of operations. Any further disruptive conditions in the financial industry and the impact of new legislation in response to those conditions could restrict our business operations and could adversely impact our results of operations and financial condition.</w:t>
      </w:r>
    </w:p>
    <w:p>
      <w:pPr>
        <w:spacing w:after="0" w:line="189"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If the fair value of our assets declines substantially, we may fail to maintain the asset coverage ratios imposed upon us by the 1940 Act. Any such failure would affect our ability to issue senior securities, including borrowings, and pay dividends, which could materially impair our business operations. Our liquidity could be impaired further by an inability to access the capital markets or to consummate new borrowing facilities to provide capital for normal operations, including new originations. In recent years, reflecting concern about the stability of the financial markets, many lenders and institutional investors have reduced or ceased providing funding to borrowers.</w:t>
      </w:r>
    </w:p>
    <w:p>
      <w:pPr>
        <w:spacing w:after="0" w:line="184" w:lineRule="exact"/>
        <w:rPr>
          <w:sz w:val="20"/>
          <w:szCs w:val="20"/>
          <w:color w:val="auto"/>
        </w:rPr>
      </w:pPr>
    </w:p>
    <w:p>
      <w:pPr>
        <w:ind w:right="120" w:firstLine="913"/>
        <w:spacing w:after="0" w:line="256" w:lineRule="auto"/>
        <w:rPr>
          <w:sz w:val="20"/>
          <w:szCs w:val="20"/>
          <w:color w:val="auto"/>
        </w:rPr>
      </w:pPr>
      <w:r>
        <w:rPr>
          <w:rFonts w:ascii="Times New Roman" w:cs="Times New Roman" w:eastAsia="Times New Roman" w:hAnsi="Times New Roman"/>
          <w:sz w:val="18"/>
          <w:szCs w:val="18"/>
          <w:color w:val="auto"/>
        </w:rPr>
        <w:t>We have fully drawn on our SBA-guaranteed debentures and, absent changes to legislation or regulation, may not make borrowings in excess of their aggregate $202.2 million of SBA-guaranteed debentures outstanding as of September 30, 2013. If we are unable to secure additional debt financing on commercially reasonable terms, our liquidity could be reduced significantly. If we are unable to repay amounts outstanding under any debt facilities we may obtain and are declared in default or are unable to renew or refinance these facilities, we may not be able to operate our business in the normal course. These situations may arise due to circumstances that we may be unable to control, such as lack of access to the credit markets, a severe decline in the value of the U.S. dollar, another economic downturn or an operational problem that affects third parties or us, and could materially damage our business.</w:t>
      </w:r>
    </w:p>
    <w:p>
      <w:pPr>
        <w:spacing w:after="0" w:line="188" w:lineRule="exact"/>
        <w:rPr>
          <w:sz w:val="20"/>
          <w:szCs w:val="20"/>
          <w:color w:val="auto"/>
        </w:rPr>
      </w:pPr>
    </w:p>
    <w:p>
      <w:pPr>
        <w:ind w:right="360" w:firstLine="913"/>
        <w:spacing w:after="0" w:line="266" w:lineRule="auto"/>
        <w:rPr>
          <w:sz w:val="20"/>
          <w:szCs w:val="20"/>
          <w:color w:val="auto"/>
        </w:rPr>
      </w:pPr>
      <w:r>
        <w:rPr>
          <w:rFonts w:ascii="Times New Roman" w:cs="Times New Roman" w:eastAsia="Times New Roman" w:hAnsi="Times New Roman"/>
          <w:sz w:val="18"/>
          <w:szCs w:val="18"/>
          <w:color w:val="auto"/>
        </w:rPr>
        <w:t>You should also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our investment adviser with respect to our pre-incentive fee net investment income.</w:t>
      </w:r>
    </w:p>
    <w:p>
      <w:pPr>
        <w:sectPr>
          <w:pgSz w:w="11900" w:h="16838" w:orient="portrait"/>
          <w:cols w:equalWidth="0" w:num="1">
            <w:col w:w="11420"/>
          </w:cols>
          <w:pgMar w:left="240" w:top="455"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quarterly and annual results.</w:t>
      </w:r>
    </w:p>
    <w:p>
      <w:pPr>
        <w:spacing w:after="0" w:line="229"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We may experience fluctuations in our quarterly and annual operating results due to a number of factors, including our ability or inability to make investments in companies that meet our investment criteria, any sales, dispositions or liquidity events of our portfolio companies, the interest rate payable on the debt securities we acquire, the level of portfolio dividend and fee income, the level of our expenses, variations in and the timing of the recognition of realized and unrealized gains or losses, the degree to which we encounter competition in our markets and general economic conditions. Given that the portfolio is concentrated, distributions, dispositions or liquidity events affecting a portfolio company in which we own a significant position may adversely affect our net asset value and results of operations. As a result of these factors, results for any period should not be relied upon as being indicative of performance in future periods.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80"/>
          </w:cols>
          <w:pgMar w:left="240" w:top="117" w:right="37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may change our investment objective, operating policies and strategies without prior notice or stockholder approval, the effects of which may be adverse.</w:t>
      </w:r>
    </w:p>
    <w:p>
      <w:pPr>
        <w:spacing w:after="0" w:line="159"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to modify or waive our investment objective,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make distributions and cause you to lose all or part of your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be subject to corporate-level income tax if we are unable to qualify as a RIC.</w:t>
      </w:r>
    </w:p>
    <w:p>
      <w:pPr>
        <w:spacing w:after="0" w:line="229" w:lineRule="exact"/>
        <w:rPr>
          <w:sz w:val="20"/>
          <w:szCs w:val="20"/>
          <w:color w:val="auto"/>
        </w:rPr>
      </w:pPr>
    </w:p>
    <w:p>
      <w:pPr>
        <w:jc w:val="both"/>
        <w:ind w:right="120" w:firstLine="913"/>
        <w:spacing w:after="0" w:line="266" w:lineRule="auto"/>
        <w:rPr>
          <w:sz w:val="20"/>
          <w:szCs w:val="20"/>
          <w:color w:val="auto"/>
        </w:rPr>
      </w:pPr>
      <w:r>
        <w:rPr>
          <w:rFonts w:ascii="Times New Roman" w:cs="Times New Roman" w:eastAsia="Times New Roman" w:hAnsi="Times New Roman"/>
          <w:sz w:val="18"/>
          <w:szCs w:val="18"/>
          <w:color w:val="auto"/>
        </w:rPr>
        <w:t>Although we intend to elect to be treated as a RIC commencing with our tax year ending December 31, 2013, no assurance can be given that we will be able to qualify for and maintain our qualification as a RIC. To obtain and maintain our qualification as a RIC, we must meet the following source-of-asset diversification, and distribution requirements.</w:t>
      </w:r>
    </w:p>
    <w:p>
      <w:pPr>
        <w:spacing w:after="0" w:line="176" w:lineRule="exact"/>
        <w:rPr>
          <w:sz w:val="20"/>
          <w:szCs w:val="20"/>
          <w:color w:val="auto"/>
        </w:rPr>
      </w:pPr>
    </w:p>
    <w:p>
      <w:pPr>
        <w:ind w:right="280" w:firstLine="913"/>
        <w:spacing w:after="0" w:line="282" w:lineRule="auto"/>
        <w:rPr>
          <w:sz w:val="20"/>
          <w:szCs w:val="20"/>
          <w:color w:val="auto"/>
        </w:rPr>
      </w:pPr>
      <w:r>
        <w:rPr>
          <w:rFonts w:ascii="Times New Roman" w:cs="Times New Roman" w:eastAsia="Times New Roman" w:hAnsi="Times New Roman"/>
          <w:sz w:val="18"/>
          <w:szCs w:val="18"/>
          <w:color w:val="auto"/>
        </w:rPr>
        <w:t>The income source requirement will be satisfied if we obtain at least 90% of our income for each year from dividends, interest, gains from the sale of stock or securities or similar sources.</w:t>
      </w:r>
    </w:p>
    <w:p>
      <w:pPr>
        <w:spacing w:after="0" w:line="162" w:lineRule="exact"/>
        <w:rPr>
          <w:sz w:val="20"/>
          <w:szCs w:val="20"/>
          <w:color w:val="auto"/>
        </w:rPr>
      </w:pPr>
    </w:p>
    <w:p>
      <w:pPr>
        <w:ind w:right="120" w:firstLine="913"/>
        <w:spacing w:after="0" w:line="255" w:lineRule="auto"/>
        <w:rPr>
          <w:sz w:val="20"/>
          <w:szCs w:val="20"/>
          <w:color w:val="auto"/>
        </w:rPr>
      </w:pPr>
      <w:r>
        <w:rPr>
          <w:rFonts w:ascii="Times New Roman" w:cs="Times New Roman" w:eastAsia="Times New Roman" w:hAnsi="Times New Roman"/>
          <w:sz w:val="18"/>
          <w:szCs w:val="18"/>
          <w:color w:val="auto"/>
        </w:rPr>
        <w:t>The asset diversification requirement will be satisfied if we meet certain asset diversification requirements at the end of each quarter of our taxable year. Failure to meet those requirements may result in our having to dispose of certain investments quickly in order to prevent the loss of our qualification as a RIC. Because most of our investments will be in private companies, and therefore will be relatively illiquid, any such dispositions could be made at disadvantageous prices and could result in substantial losses. The annual distribution requirement for a RIC will be satisfied if we distribute to our stockholders on an annual basis at least 90% of our net ordinary income and net short-term capital gains in excess of our net long-term capital losses, if any. Because we may use debt financing, we are subject to certain asset coverage ratio requirements under the 1940 Act, as well as future financial covenants under loan and credit agreements that could, under certain circumstances, restrict us from making distributions necessary to satisfy the distribution requirement. If we are unable to obtain cash from other sources, we could fail to qualify as a RIC.</w:t>
      </w:r>
    </w:p>
    <w:p>
      <w:pPr>
        <w:spacing w:after="0" w:line="185" w:lineRule="exact"/>
        <w:rPr>
          <w:sz w:val="20"/>
          <w:szCs w:val="20"/>
          <w:color w:val="auto"/>
        </w:rPr>
      </w:pPr>
    </w:p>
    <w:p>
      <w:pPr>
        <w:ind w:right="360" w:firstLine="913"/>
        <w:spacing w:after="0" w:line="282" w:lineRule="auto"/>
        <w:rPr>
          <w:sz w:val="20"/>
          <w:szCs w:val="20"/>
          <w:color w:val="auto"/>
        </w:rPr>
      </w:pPr>
      <w:r>
        <w:rPr>
          <w:rFonts w:ascii="Times New Roman" w:cs="Times New Roman" w:eastAsia="Times New Roman" w:hAnsi="Times New Roman"/>
          <w:sz w:val="18"/>
          <w:szCs w:val="18"/>
          <w:color w:val="auto"/>
        </w:rPr>
        <w:t>If we fail to qualify for RIC tax treatment for any reason and remain or become subject to corporate income tax, the resulting corporate taxes could substantially reduce our net assets, the amount of income available for distribution and the amount of our distributions.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pay you distributions, our distributions may not grow over time and a portion of our distributions may be a return of capital.</w:t>
      </w:r>
    </w:p>
    <w:p>
      <w:pPr>
        <w:spacing w:after="0" w:line="229"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color w:val="auto"/>
        </w:rPr>
        <w:t>We intend to pay distributions to our stockholders out of assets legally available for distribution. We cannot assure you that we will achieve investment results that will allow us to make a specified level of cash distributions or year-to-year increases in cash distributions. Our ability to pay distributions might be adversely affected by, among other things, the impact of one or more of the risk factors described herein. In addition, the inability to satisfy the asset coverage test applicable to us as a BDC can limit our ability to pay distributions. All distributions will be paid at the discretion of our Board of Directors and will depend on our earnings, our financial condition, maintenance of our RIC status, compliance with applicable BDC regulations and such other factors as our Board of Directors may deem relevant from time to time. We cannot assure you that we will pay distributions to our stockholders in the future. In the event we liquidate or dispose of a significant equity position in our portfolio, we may distribute a special dividend relating to the realized capital gains from such investment in order to minimize to the greatest extent possible our federal income or excise tax liability.</w:t>
      </w:r>
    </w:p>
    <w:p>
      <w:pPr>
        <w:spacing w:after="0" w:line="185" w:lineRule="exact"/>
        <w:rPr>
          <w:sz w:val="20"/>
          <w:szCs w:val="20"/>
          <w:color w:val="auto"/>
        </w:rPr>
      </w:pPr>
    </w:p>
    <w:p>
      <w:pPr>
        <w:ind w:right="80" w:firstLine="913"/>
        <w:spacing w:after="0" w:line="258" w:lineRule="auto"/>
        <w:rPr>
          <w:sz w:val="20"/>
          <w:szCs w:val="20"/>
          <w:color w:val="auto"/>
        </w:rPr>
      </w:pPr>
      <w:r>
        <w:rPr>
          <w:rFonts w:ascii="Times New Roman" w:cs="Times New Roman" w:eastAsia="Times New Roman" w:hAnsi="Times New Roman"/>
          <w:sz w:val="18"/>
          <w:szCs w:val="18"/>
          <w:color w:val="auto"/>
        </w:rPr>
        <w:t>When we make distributions, we will be required to determine the extent to which such distributions are paid out of current or accumulated earnings and profits. Distributions in excess of current and accumulated earnings and profits will be treated as a non-taxable return of capital, which is a return of a portion of a shareholder’s original investment in our common stock, to the extent of an investor’s basis in our stock and, assuming that an investor holds our stock as a capital asset, thereafter as a capital gain. Generally, a non-taxable return of capital will reduce an investor’s basis in our stock for federal tax purposes, which will result in higher tax liability when the stock is sold.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paying our required distributions if we recognize income before or without receiving cash representing such income.</w:t>
      </w:r>
    </w:p>
    <w:p>
      <w:pPr>
        <w:spacing w:after="0" w:line="229"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For U.S. federal income tax purposes, we include in our taxable income certain amounts that we have not yet received in cash, such as PIK interest or original issue discount, which may arise if we receive warrants in connection with the origination of a loan or possibly in other circumstances. Such original issue discount or increases in loan balances as a result of contractual PIK arrangements are included in our taxable income before we receive any corresponding cash payments. We also may be required to include in our taxable income certain other amounts that we will not receive in cash.</w:t>
      </w:r>
    </w:p>
    <w:p>
      <w:pPr>
        <w:spacing w:after="0" w:line="180" w:lineRule="exact"/>
        <w:rPr>
          <w:sz w:val="20"/>
          <w:szCs w:val="20"/>
          <w:color w:val="auto"/>
        </w:rPr>
      </w:pPr>
    </w:p>
    <w:p>
      <w:pPr>
        <w:ind w:right="220" w:firstLine="913"/>
        <w:spacing w:after="0" w:line="258" w:lineRule="auto"/>
        <w:rPr>
          <w:sz w:val="20"/>
          <w:szCs w:val="20"/>
          <w:color w:val="auto"/>
        </w:rPr>
      </w:pPr>
      <w:r>
        <w:rPr>
          <w:rFonts w:ascii="Times New Roman" w:cs="Times New Roman" w:eastAsia="Times New Roman" w:hAnsi="Times New Roman"/>
          <w:sz w:val="18"/>
          <w:szCs w:val="18"/>
          <w:color w:val="auto"/>
        </w:rPr>
        <w:t>Since, in certain cases, we may recognize taxable income before or without receiving corresponding cash payments, we may have difficulty meeting the annual distribution requirement necessary to maintain our qualification as a RIC. Accordingly, to satisfy our RIC distribution requirements, we may have to sell some of our investments at times and/or at prices we would not consider advantageous, raise additional debt or equity capital or forgo new investment opportunities. If we are not able to obtain cash from other sources, we may fail to qualify as a RIC and thus become subject to corporate-level income tax.</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 adviser is not obligated to reimburse us for any part of the incentive fee it receives that is based on accrued income that we never receive.</w:t>
      </w:r>
    </w:p>
    <w:p>
      <w:pPr>
        <w:spacing w:after="0" w:line="229" w:lineRule="exact"/>
        <w:rPr>
          <w:sz w:val="20"/>
          <w:szCs w:val="20"/>
          <w:color w:val="auto"/>
        </w:rPr>
      </w:pPr>
    </w:p>
    <w:p>
      <w:pPr>
        <w:ind w:right="40" w:firstLine="913"/>
        <w:spacing w:after="0" w:line="256" w:lineRule="auto"/>
        <w:rPr>
          <w:sz w:val="20"/>
          <w:szCs w:val="20"/>
          <w:color w:val="auto"/>
        </w:rPr>
      </w:pPr>
      <w:r>
        <w:rPr>
          <w:rFonts w:ascii="Times New Roman" w:cs="Times New Roman" w:eastAsia="Times New Roman" w:hAnsi="Times New Roman"/>
          <w:sz w:val="18"/>
          <w:szCs w:val="18"/>
          <w:color w:val="auto"/>
        </w:rPr>
        <w:t>Part of the incentive fee payable by us to our investment adviser that relates to our net investment income is computed and paid on income that may include interest that has been accrued but not yet received in cash, such as market discount, debt instruments with PIK interest, preferred stock with PIK dividends and zero coupon securities. If a portfolio company defaults on a loan that is structured to provide accrued interest, it is possible that accrued interest previously used in the calculation of the incentive fee will become uncollectible. Our investment adviser will not be under any obligation to reimburse us for any part of the incentive fee it received that was based on accrued income that we never receive as a result of a default by an entity on the obligation that resulted in the accrual of such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 the future choose to pay dividends in our own stock, in which case you may be required to pay tax in excess of the cash you receive.</w:t>
      </w:r>
    </w:p>
    <w:p>
      <w:pPr>
        <w:spacing w:after="0" w:line="229" w:lineRule="exact"/>
        <w:rPr>
          <w:sz w:val="20"/>
          <w:szCs w:val="20"/>
          <w:color w:val="auto"/>
        </w:rPr>
      </w:pPr>
    </w:p>
    <w:p>
      <w:pPr>
        <w:ind w:right="60" w:firstLine="913"/>
        <w:spacing w:after="0" w:line="252" w:lineRule="auto"/>
        <w:rPr>
          <w:sz w:val="20"/>
          <w:szCs w:val="20"/>
          <w:color w:val="auto"/>
        </w:rPr>
      </w:pPr>
      <w:r>
        <w:rPr>
          <w:rFonts w:ascii="Times New Roman" w:cs="Times New Roman" w:eastAsia="Times New Roman" w:hAnsi="Times New Roman"/>
          <w:sz w:val="18"/>
          <w:szCs w:val="18"/>
          <w:color w:val="auto"/>
        </w:rPr>
        <w:t>We may distribute taxable dividends that are payable in part in our stock. In accordance with certain applicable Treasury regulations and private letter rulings issued by the Internal Revenue Service (“IRS”), a RIC may treat a distribution of its own stock as fulfilling the RIC distribution requirements if each stockholder may 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cash, each stockholder electing to receive cash must receive a pro rata amount of cash (with the balance of the distribution paid in stock). In no event will any stockholder, electing to receive cash, receive less than 20% of his or her entire distribution in cash. If these and certain other requirements are met, for U.S. federal income tax purposes, the amount of the dividend paid in stock will be equal to the amount of cash that could have been received instead of stock. Taxable stockholders receiving such dividends will be required to include the full amount of the dividend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the sale. 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it may put downward pressure on the trading price of our stock.</w:t>
      </w:r>
    </w:p>
    <w:p>
      <w:pPr>
        <w:spacing w:after="0" w:line="19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75"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(the “Sarbanes-Oxley Act”), or the subsequent testing by our independent registered public accounting firm (when undertaken, as noted below),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53"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 over financial reporting pursuant to Section 404 of the Sarbanes-Oxley Act.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As a public company, may incur significant additional expenses in the near term, which may negatively impact our financial performance and our ability to make distributions to our stockholders. This process also will result in a diversion of management’s time and attention. We cannot be certain as to the timing of completion of any evaluation, testing and remediation actions or the impact of the same on our operations, and we may not be able to ensure that the process is effective or that our internal controls over financial reporting are or will be effective in a timely manner. In the event that we are unable to maintain or achieve compliance with Section 404 of the Sarbanes-Oxley Act and related rules, the market price of our common stock may be adversely affected.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status as an “emerging growth company” under the JOBS Act may make it more difficult to raise capital as and when we need it.</w:t>
      </w:r>
    </w:p>
    <w:p>
      <w:pPr>
        <w:spacing w:after="0" w:line="229"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Because of the exemptions from various reporting requirements provided to us as an “emerging growth company” under the JOBS Act and because we will have an extended transition period for complying with new or revised financial accounting standards, we may be less attractive to investors and it may be difficult for us to raise additional capital as and when we need it. Investors may be unable to compare our business with other companies in our industry if they believe that our financial accounting is not as transparent as other companies in our industry. If we are unable to raise additional capital as and when we need it, our financial condition and results of operations may be materially and adversely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legislation may allow us to incur additional leverage.</w:t>
      </w:r>
    </w:p>
    <w:p>
      <w:pPr>
        <w:spacing w:after="0" w:line="229" w:lineRule="exact"/>
        <w:rPr>
          <w:sz w:val="20"/>
          <w:szCs w:val="20"/>
          <w:color w:val="auto"/>
        </w:rPr>
      </w:pPr>
    </w:p>
    <w:p>
      <w:pPr>
        <w:ind w:right="100" w:firstLine="913"/>
        <w:spacing w:after="0" w:line="256" w:lineRule="auto"/>
        <w:rPr>
          <w:sz w:val="20"/>
          <w:szCs w:val="20"/>
          <w:color w:val="auto"/>
        </w:rPr>
      </w:pPr>
      <w:r>
        <w:rPr>
          <w:rFonts w:ascii="Times New Roman" w:cs="Times New Roman" w:eastAsia="Times New Roman" w:hAnsi="Times New Roman"/>
          <w:sz w:val="18"/>
          <w:szCs w:val="18"/>
          <w:color w:val="auto"/>
        </w:rPr>
        <w:t>Under the 1940 Act, a BDC generally will not be permitted to incur indebtedness unless immediately after such borrowing the BDC has an asset coverage for total borrowings of at least 200% (i.e., the amount of debt may not exceed 50% of the value of total assets). Legislation introduced in the U.S. House of Representatives in 2012, if passed, would modify this section of the 1940 Act and increase the amount of debt that BDCs may incur by modifying the percentage from 200% to 150%. In addition, recent legislation introduced in the U.S. Senate would modify SBA regulations in a manner that may permit us to incur additional SBA guaranteed-indebtness. As a result, we may be able to incur additional indebtedness in the future, and therefore your risk of an investment in us may increase.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or regulations governing our operations may adversely affect our business or cause us to alter our business strategy.</w:t>
      </w:r>
    </w:p>
    <w:p>
      <w:pPr>
        <w:spacing w:after="0" w:line="229"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We and our portfolio companies will be subject to applicable local, state and federal laws and regulations. New legislation may be enacted or new interpretations, rulings or regulations could be adopted, including those governing the types of investments we are permitted to make, any of which could harm us and our stockholders, potentially with retroactive effect. Additionally, any changes to the laws and regulations governing our operations relating to permitted investments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our investment adviser’s investment team to other types of investments in which the investment team may have less expertise or little or no experience. Thus, any such changes, if they occur, could have a material adverse effect on our results of operations and the value of your investment. In addition, any change to the SBA’s current Debenture SBIC program could have a significant impact on our ability to obtain lower-cost financing and, therefore, our competitive advantage over other finance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Two of our wholly owned subsidiaries are licensed by the U.S. Small Business Administration, and as a result, we are subject to SBA regulations.</w:t>
      </w:r>
    </w:p>
    <w:p>
      <w:pPr>
        <w:spacing w:after="0" w:line="229" w:lineRule="exact"/>
        <w:rPr>
          <w:sz w:val="20"/>
          <w:szCs w:val="20"/>
          <w:color w:val="auto"/>
        </w:rPr>
      </w:pPr>
    </w:p>
    <w:p>
      <w:pPr>
        <w:ind w:right="40" w:firstLine="913"/>
        <w:spacing w:after="0" w:line="258" w:lineRule="auto"/>
        <w:rPr>
          <w:sz w:val="20"/>
          <w:szCs w:val="20"/>
          <w:color w:val="auto"/>
        </w:rPr>
      </w:pPr>
      <w:r>
        <w:rPr>
          <w:rFonts w:ascii="Times New Roman" w:cs="Times New Roman" w:eastAsia="Times New Roman" w:hAnsi="Times New Roman"/>
          <w:sz w:val="18"/>
          <w:szCs w:val="18"/>
          <w:color w:val="auto"/>
        </w:rPr>
        <w:t>Fund II and Fund III, which became our wholly owned subsidiaries after the completion of the Formation Transactions, are licensed to act as SBICs and are regulated by the SBA. As of September 30, 2013, Fund II and Fund III portfolio companies accounted for most of our aggregate portfolio. The SBIC licenses allow our SBIC subsidiaries to borrow funds by issuing SBA-guaranteed debentures, subject to the issuance of a capital commitment by the SBA and other customary procedures. The SBA regulations require, among other things, that a licensed SBIC be examined periodically and audited by an independent auditor to determine the SBIC’s compliance with the relevant SBA regulations.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Under current SBA regulations, a licensed SBIC may provide capital to those entities that have a tangible net worth not exceeding $18.0 million and an average annual net income after federal income taxes not exceeding $6.0 million for the two most recent fiscal years. In addition, a licensed SBIC must devote 25.0% of its investment activity to those entities that have a tangible net worth not exceeding $6.0 million and an average annual net income after federal income taxes not exceeding $2.0 million for the two most recent fiscal years. The SBA regulations also provide alternative size standard criteria to determine eligibility, which depend on the industry in which the business is engaged and are based on factors such as the number of employees and gross sales. The SBA regulations permit licensed SBICs to make long term loans to small businesses, invest in the equity securities of such businesses and provide them with consulting and advisory services. The SBA also places certain limitations on the financing terms of investments by SBICs in portfolio companies and prohibits SBICs from providing funds for certain purposes or to businesses in a few prohibited industries. Compliance with SBA requirements may cause a Legacy Fund to forego attractive investment opportunities that are not permitted under SBA regulations.</w:t>
      </w:r>
    </w:p>
    <w:p>
      <w:pPr>
        <w:spacing w:after="0" w:line="189"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The SBA also prohibits, without prior SBA approval, a “change of control” of an SBIC or transfers that would result in any person (or a group of persons acting in concert) owning 10.0% or more of a class of capital stock of a licensed SBIC. If Fund II or Fund III fails to comply with applicable SBA regulations, the SBA could, depending on the severity of the violation, limit or prohibit such Fund’s use of debentures, declare outstanding debentures immediately due and payable, and/ or limit such Fund from making new investments. Such actions by the SBA would, in turn, negatively affect us because Fund II and Fund III are our wholly owned subsidiaries. Each of Fund II and Fund III was in compliance with the terms of the SBA’s leverage requirements as of September 30, 2013 as a result of having sufficient capital as defined under the SBA regulations.</w:t>
      </w:r>
    </w:p>
    <w:p>
      <w:pPr>
        <w:spacing w:after="0" w:line="1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wholly owned SBIC subsidiaries may be unable to make distributions to us that will enable us to meet or maintain RIC status, which could result in the imposition of a corporate-level tax.</w:t>
      </w:r>
    </w:p>
    <w:p>
      <w:pPr>
        <w:spacing w:after="0" w:line="159"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color w:val="auto"/>
        </w:rPr>
        <w:t>In order for us to continue to qualify for RIC tax treatment and to minimize corporate-level taxes, we will be required to distribute substantially all of our net ordinary income and net capital gain income, including income from certain of our subsidiaries, which includes the income from our SBIC subsidiaries. We will be partially dependent on our SBIC subsidiaries for cash distributions to enable us to meet the RIC distribution requirements. Our SBIC subsidiaries may be limited by the SBA and SBA regulations from making certain distributions to us that may be necessary to maintain our status as a RIC. We may have to request a waiver of the SBA’s restrictions for our SBIC subsidiaries to make certain distributions to maintain our RIC status. We cannot assure you that the SBA will grant such waiver and if our SBIC subsidiaries are unable to obtain a waiver, compliance with the SBA regulations may result in loss of RIC tax treatment and a consequent imposition of a corporate-level tax on us.</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increasingly complex corporate governance, public disclosure and accounting requirements that are costly and could adversely affect our business and financial results.</w:t>
      </w:r>
    </w:p>
    <w:p>
      <w:pPr>
        <w:spacing w:after="0" w:line="159" w:lineRule="exact"/>
        <w:rPr>
          <w:sz w:val="20"/>
          <w:szCs w:val="20"/>
          <w:color w:val="auto"/>
        </w:rPr>
      </w:pPr>
    </w:p>
    <w:p>
      <w:pPr>
        <w:ind w:right="40" w:firstLine="913"/>
        <w:spacing w:after="0" w:line="254" w:lineRule="auto"/>
        <w:rPr>
          <w:sz w:val="20"/>
          <w:szCs w:val="20"/>
          <w:color w:val="auto"/>
        </w:rPr>
      </w:pPr>
      <w:r>
        <w:rPr>
          <w:rFonts w:ascii="Times New Roman" w:cs="Times New Roman" w:eastAsia="Times New Roman" w:hAnsi="Times New Roman"/>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and other rules implemented by the SEC. Also, we are subject to changing rules and regulations of federal and state government as well as the stock exchange on which our common stock is listed. These entities, including the Public Company Accounting Oversight Board, the SEC and the NASDAQ Global Select Market, have issued a significant number of new and increasingly complex requirements and regulations over the last several years and continue to develop additional regulations and requirements in response to laws enacted by Congress. For example, on July 21, 2010, the Dodd-Frank Wall Street Reform and Protection Act, or the Dodd-Frank Act, was enacted. There are significant corporate governance and executive compensation-related provisions in the Dodd-Frank Act that require the SEC to adopt additional rules and regulations in these areas such as “say on pay” and proxy access. Our efforts to comply with these requirements may result in an increase in expenses and a diversion of management’s time from other business activities.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file an application with the SEC requesting exemptive relief from certain provisions of the 1940 Act and the Exchange Act.</w:t>
      </w:r>
    </w:p>
    <w:p>
      <w:pPr>
        <w:spacing w:after="0" w:line="229" w:lineRule="exact"/>
        <w:rPr>
          <w:sz w:val="20"/>
          <w:szCs w:val="20"/>
          <w:color w:val="auto"/>
        </w:rPr>
      </w:pPr>
    </w:p>
    <w:p>
      <w:pPr>
        <w:ind w:right="40" w:firstLine="913"/>
        <w:spacing w:after="0" w:line="256" w:lineRule="auto"/>
        <w:rPr>
          <w:sz w:val="20"/>
          <w:szCs w:val="20"/>
          <w:color w:val="auto"/>
        </w:rPr>
      </w:pPr>
      <w:r>
        <w:rPr>
          <w:rFonts w:ascii="Times New Roman" w:cs="Times New Roman" w:eastAsia="Times New Roman" w:hAnsi="Times New Roman"/>
          <w:sz w:val="18"/>
          <w:szCs w:val="18"/>
          <w:color w:val="auto"/>
        </w:rPr>
        <w:t>We intend to file an application with the SEC requesting an SEC order exempting us, Fund II and Fund III from certain provisions of the 1940 Act (including an exemptive order granting relief from the asset coverage requirements for certain indebtedness issued by Fund II and Fund III as SBICs) and from certain reporting requirements mandated by the Exchange Act with respect to Fund II and Fund III, which are co-registrants with us. While the SEC has granted exemptive relief in substantially similar circumstances in the past, no assurance can be given that an exemptive order will be granted. Delays and costs involved in obtaining necessary approvals may make certain transactions impracticable or impossible to consummate, and there is no assurance that the application for exemptive relief will be granted by the SEC.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make distributions to our stockholders.</w:t>
      </w:r>
    </w:p>
    <w:p>
      <w:pPr>
        <w:spacing w:after="0" w:line="159" w:lineRule="exact"/>
        <w:rPr>
          <w:sz w:val="20"/>
          <w:szCs w:val="20"/>
          <w:color w:val="auto"/>
        </w:rPr>
      </w:pPr>
    </w:p>
    <w:p>
      <w:pPr>
        <w:jc w:val="both"/>
        <w:ind w:right="20" w:firstLine="913"/>
        <w:spacing w:after="0" w:line="261" w:lineRule="auto"/>
        <w:rPr>
          <w:sz w:val="20"/>
          <w:szCs w:val="20"/>
          <w:color w:val="auto"/>
        </w:rPr>
      </w:pPr>
      <w:r>
        <w:rPr>
          <w:rFonts w:ascii="Times New Roman" w:cs="Times New Roman" w:eastAsia="Times New Roman" w:hAnsi="Times New Roman"/>
          <w:sz w:val="18"/>
          <w:szCs w:val="18"/>
          <w:color w:val="auto"/>
        </w:rPr>
        <w:t>Our business is highly dependent on the communications and information systems of Capitala Investment Advisors. Certain of these systems are provided to Capitala Investment Advisors by third-party service providers. Any failure or interruption of such systems, including as a result of the termination of an agreement with any such third-party service provider, could cause delays or other problems in our activities. This, in turn, could have a material adverse effect on our operating results and negatively affect the market price of our common stock and our ability to make distributions to our stockholders.</w:t>
      </w:r>
    </w:p>
    <w:p>
      <w:pPr>
        <w:spacing w:after="0" w:line="17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Terrorist attacks, acts of war or natural disasters may affect the market for our common stock, impact the businesses in which we invest and harm our business, operating results and financial condition.</w:t>
      </w:r>
    </w:p>
    <w:p>
      <w:pPr>
        <w:spacing w:after="0" w:line="159"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Terrorist acts, acts of war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and natural disasters are generally uninsurable.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Investments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very risky and highly speculative.</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We invest primarily in senior secured term loans, mezzanine debt and select equity investments issued by leveraged companies.</w:t>
      </w:r>
    </w:p>
    <w:p>
      <w:pPr>
        <w:spacing w:after="0" w:line="221" w:lineRule="exact"/>
        <w:rPr>
          <w:sz w:val="20"/>
          <w:szCs w:val="20"/>
          <w:color w:val="auto"/>
        </w:rPr>
      </w:pPr>
    </w:p>
    <w:p>
      <w:pPr>
        <w:ind w:right="180" w:firstLine="913"/>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Secured Loans. </w:t>
      </w:r>
      <w:r>
        <w:rPr>
          <w:rFonts w:ascii="Times New Roman" w:cs="Times New Roman" w:eastAsia="Times New Roman" w:hAnsi="Times New Roman"/>
          <w:sz w:val="18"/>
          <w:szCs w:val="18"/>
          <w:color w:val="auto"/>
        </w:rPr>
        <w:t>There is a risk that the collateral securing our loans may decrease in value over time, may be difficult to sell in a timely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manner, may be difficult to appraise and may fluctuate in value based upon the success of the business and market conditions, including as a result of the inability of the portfolio company to raise additional capital, and,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83" w:lineRule="exact"/>
        <w:rPr>
          <w:sz w:val="20"/>
          <w:szCs w:val="20"/>
          <w:color w:val="auto"/>
        </w:rPr>
      </w:pPr>
    </w:p>
    <w:p>
      <w:pPr>
        <w:ind w:right="40" w:firstLine="91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Mezzanine Loans. </w:t>
      </w:r>
      <w:r>
        <w:rPr>
          <w:rFonts w:ascii="Times New Roman" w:cs="Times New Roman" w:eastAsia="Times New Roman" w:hAnsi="Times New Roman"/>
          <w:sz w:val="18"/>
          <w:szCs w:val="18"/>
          <w:color w:val="auto"/>
        </w:rPr>
        <w:t>Our mezzanine debt investments are generally subordinated to senior loans and may be unsecured. As such, other creditors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rank senior to us in the event of an insolvency, which could likely in many cases result in a substantial or complete loss on such investment in the case of such insolvency. This may result in an above average amount of risk and loss of principal.</w:t>
      </w:r>
    </w:p>
    <w:p>
      <w:pPr>
        <w:spacing w:after="0" w:line="171" w:lineRule="exact"/>
        <w:rPr>
          <w:sz w:val="20"/>
          <w:szCs w:val="20"/>
          <w:color w:val="auto"/>
        </w:rPr>
      </w:pPr>
    </w:p>
    <w:p>
      <w:pPr>
        <w:ind w:right="80" w:firstLine="913"/>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Investments. </w:t>
      </w:r>
      <w:r>
        <w:rPr>
          <w:rFonts w:ascii="Times New Roman" w:cs="Times New Roman" w:eastAsia="Times New Roman" w:hAnsi="Times New Roman"/>
          <w:sz w:val="18"/>
          <w:szCs w:val="18"/>
          <w:color w:val="auto"/>
        </w:rPr>
        <w:t>When we invest in senior secured loans or mezzanine loans, we may acquire equity securities as well. In addition, we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 directly in the equity securities of portfolio companies.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The portfolio currently has several significant equity positions. Distributions, dispositions, or liquidity events of these investments may affect our results of operations and cause us to have to pay a special dividend relating to the realized gains from such investment in order to minimize to the greatest extent possible our federal income or excise tax liability.</w:t>
      </w:r>
    </w:p>
    <w:p>
      <w:pPr>
        <w:spacing w:after="0" w:line="1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 addition, investing in smaller and lower middle-market companies involves a number of significant risks, including:</w:t>
      </w:r>
    </w:p>
    <w:p>
      <w:pPr>
        <w:spacing w:after="0" w:line="131" w:lineRule="exact"/>
        <w:rPr>
          <w:sz w:val="20"/>
          <w:szCs w:val="20"/>
          <w:color w:val="auto"/>
        </w:rPr>
      </w:pPr>
    </w:p>
    <w:p>
      <w:pPr>
        <w:jc w:val="both"/>
        <w:ind w:left="1460" w:right="360" w:hanging="547"/>
        <w:spacing w:after="0" w:line="266" w:lineRule="auto"/>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1" w:lineRule="exact"/>
        <w:rPr>
          <w:rFonts w:ascii="Times New Roman" w:cs="Times New Roman" w:eastAsia="Times New Roman" w:hAnsi="Times New Roman"/>
          <w:sz w:val="18"/>
          <w:szCs w:val="18"/>
          <w:color w:val="auto"/>
        </w:rPr>
      </w:pPr>
    </w:p>
    <w:p>
      <w:pPr>
        <w:ind w:left="1460" w:right="320" w:hanging="547"/>
        <w:spacing w:after="0" w:line="282" w:lineRule="auto"/>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typically have shorter operating histories, narrower product lines and smaller market shares than larger businesses, which tend to render them more vulnerable to competitors’ actions and market conditions, as well as general economic downturns;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460" w:right="20" w:hanging="547"/>
        <w:spacing w:after="0" w:line="266" w:lineRule="auto"/>
        <w:tabs>
          <w:tab w:leader="none" w:pos="1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81" w:lineRule="exact"/>
        <w:rPr>
          <w:rFonts w:ascii="Times New Roman" w:cs="Times New Roman" w:eastAsia="Times New Roman" w:hAnsi="Times New Roman"/>
          <w:sz w:val="18"/>
          <w:szCs w:val="18"/>
          <w:color w:val="auto"/>
        </w:rPr>
      </w:pPr>
    </w:p>
    <w:p>
      <w:pPr>
        <w:ind w:left="1460" w:right="120" w:hanging="547"/>
        <w:spacing w:after="0" w:line="266" w:lineRule="auto"/>
        <w:tabs>
          <w:tab w:leader="none" w:pos="1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81" w:lineRule="exact"/>
        <w:rPr>
          <w:rFonts w:ascii="Times New Roman" w:cs="Times New Roman" w:eastAsia="Times New Roman" w:hAnsi="Times New Roman"/>
          <w:sz w:val="18"/>
          <w:szCs w:val="18"/>
          <w:color w:val="auto"/>
        </w:rPr>
      </w:pPr>
    </w:p>
    <w:p>
      <w:pPr>
        <w:ind w:left="1460" w:right="60" w:hanging="547"/>
        <w:spacing w:after="0" w:line="282" w:lineRule="auto"/>
        <w:tabs>
          <w:tab w:leader="none" w:pos="1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have difficulty accessing the capital markets to meet future capital needs, which may limit their ability to grow or to repay their outstanding indebtedness upon maturity; and</w:t>
      </w:r>
    </w:p>
    <w:p>
      <w:pPr>
        <w:spacing w:after="0" w:line="67" w:lineRule="exact"/>
        <w:rPr>
          <w:rFonts w:ascii="Times New Roman" w:cs="Times New Roman" w:eastAsia="Times New Roman" w:hAnsi="Times New Roman"/>
          <w:sz w:val="18"/>
          <w:szCs w:val="18"/>
          <w:color w:val="auto"/>
        </w:rPr>
      </w:pPr>
    </w:p>
    <w:p>
      <w:pPr>
        <w:ind w:left="1460" w:right="140" w:hanging="547"/>
        <w:spacing w:after="0" w:line="282" w:lineRule="auto"/>
        <w:tabs>
          <w:tab w:leader="none" w:pos="1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directors and our investment adviser may, in the ordinary course of business, be named as defendants in litigation arising from our investments in the portfolio companies.</w:t>
      </w:r>
    </w:p>
    <w:p>
      <w:pPr>
        <w:spacing w:after="0" w:line="158"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 investment strategy focused primarily on smaller privately held companies involves a high degree of risk and presents certain challenges, including the lack of available information about these companies, a dependence on the talents and efforts of only a few key portfolio company personnel and a greater vulnerability to economic downturns.</w:t>
      </w:r>
    </w:p>
    <w:p>
      <w:pPr>
        <w:spacing w:after="0" w:line="175"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Our portfolio consists primarily of debt and equity investments in smaller privately owned venture capital- backed companies. Investing in venture capital-backed companies involves a number of significant risks. Typically, the debt in which we will invest is not initially rated by any rating agency; however, we believe that if such investments were rated, they would be rated below investment grade. Below investment grade securities, which are often referred to as “high yield” or “junk,” have predominantly speculative characteristics with respect to the issuer’s capacity to pay interest and repay principal. Compared to larger publicly owned companies, these venture capital-backed companies may be in a weaker financial position and experience wider variations in their operating results, which may make them more vulnerable to economic downturns. Typically, these companies need more capital to compete; however, their access to capital is limited and their cost of capital is often higher than that of their competitors. Our portfolio companies often face intense competition from larger companies with greater financial, technical and marketing resources and their success typically depends on the managerial talents and efforts of an individual or a small group of persons. Therefore, any loss of its key employees could affect a portfolio company’s ability to compete effectively and harm its financial condition. Further, some of these companies conduct business in regulated industries that are susceptible to regulatory changes. These factors could impair the cash flow of our portfolio companies and result in other events, such as bankruptcy. These events could limit a portfolio company’s ability to repay its obligations to us, which may have an adverse effect on the return on, or the recovery of, our investment in these businesses. Deterioration in a borrower’s financial condition and prospects may be accompanied by deterioration in the value of the loan’s collateral.</w:t>
      </w:r>
    </w:p>
    <w:p>
      <w:pPr>
        <w:spacing w:after="0" w:line="189"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Generally, little public information exists about these companies, and we are required to rely on the ability of our investment adviser’s investment team to obtain adequate information to evaluate the potential returns from investing in these companies. If we are unable to uncover all material information about these companies, we may not make a fully informed investment decision, and we may lose money on our investments. Also, privately held companies frequently have less diverse product lines and smaller market presence than larger competitors. These factors could adversely affect our investment returns as compared to companies investing primarily in the securities of public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of our loans are not fully amortizing and if a borrower cannot repay or refinance such loans at maturity, our results will suffer.</w:t>
      </w:r>
    </w:p>
    <w:p>
      <w:pPr>
        <w:spacing w:after="0" w:line="229" w:lineRule="exact"/>
        <w:rPr>
          <w:sz w:val="20"/>
          <w:szCs w:val="20"/>
          <w:color w:val="auto"/>
        </w:rPr>
      </w:pPr>
    </w:p>
    <w:p>
      <w:pPr>
        <w:ind w:right="100" w:firstLine="913"/>
        <w:spacing w:after="0" w:line="256" w:lineRule="auto"/>
        <w:rPr>
          <w:sz w:val="20"/>
          <w:szCs w:val="20"/>
          <w:color w:val="auto"/>
        </w:rPr>
      </w:pPr>
      <w:r>
        <w:rPr>
          <w:rFonts w:ascii="Times New Roman" w:cs="Times New Roman" w:eastAsia="Times New Roman" w:hAnsi="Times New Roman"/>
          <w:sz w:val="18"/>
          <w:szCs w:val="18"/>
          <w:color w:val="auto"/>
        </w:rPr>
        <w:t>Most of the loans in which we invest are not structured to fully amortize during their lifetime. Accordingly, a significant portion of the principal amount of such a loan may be due at maturity. As of September 30, 2013, all debt instruments in our portfolio, on a fair value basis, will not fully amortize prior to maturity. In order to create liquidity to pay the final principal payment, borrowers typically must raise additional capital. If they are unable to raise sufficient funds to repay us or we have not elected to enter into a new loan agreement providing for an extended maturity, the loan will go into default, which will require us to foreclose on the borrower’s assets, even if the loan was otherwise performing prior to maturity. This will deprive Capitala Finance from immediately obtaining full recovery on the loan and prevent or delay the reinvestment of the loan proceeds in other, more profitable investments.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in leveraged portfolio companies may be risky, and you could lose all or part of your investment.</w:t>
      </w:r>
    </w:p>
    <w:p>
      <w:pPr>
        <w:spacing w:after="0" w:line="229" w:lineRule="exact"/>
        <w:rPr>
          <w:sz w:val="20"/>
          <w:szCs w:val="20"/>
          <w:color w:val="auto"/>
        </w:rPr>
      </w:pPr>
    </w:p>
    <w:p>
      <w:pPr>
        <w:ind w:right="160" w:firstLine="913"/>
        <w:spacing w:after="0" w:line="266" w:lineRule="auto"/>
        <w:rPr>
          <w:sz w:val="20"/>
          <w:szCs w:val="20"/>
          <w:color w:val="auto"/>
        </w:rPr>
      </w:pPr>
      <w:r>
        <w:rPr>
          <w:rFonts w:ascii="Times New Roman" w:cs="Times New Roman" w:eastAsia="Times New Roman" w:hAnsi="Times New Roman"/>
          <w:sz w:val="18"/>
          <w:szCs w:val="18"/>
          <w:color w:val="auto"/>
        </w:rPr>
        <w:t>Investment in leveraged companies involves a number of significant risks. Leveraged companies in which we invest may have limited financial resources and may be unable to meet their obligations under their loans and debt securities that we hold. Such developments may be accompanied by a deterioration in the value of any collateral and a reduction in the likelihood of our realizing any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guarantees that we may have obtained in connection with our investment. Smaller leveraged companies also may have less predictable operating results and may require substantial additional capital to support their operations, finance their expansion or maintain their competitive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portfolio companies may incur debt that ranks equally with, or senior to, our investments in such companies.</w:t>
      </w:r>
    </w:p>
    <w:p>
      <w:pPr>
        <w:spacing w:after="0" w:line="229"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Our portfolio companies may have, or may be permitted to incur, other debt that ranks equally with, or in some cases senior to, the debt in which we invest. By their terms, such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sufficient remaining assets to repay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spacing w:after="0" w:line="18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59" w:lineRule="exact"/>
        <w:rPr>
          <w:sz w:val="20"/>
          <w:szCs w:val="20"/>
          <w:color w:val="auto"/>
        </w:rPr>
      </w:pPr>
    </w:p>
    <w:p>
      <w:pPr>
        <w:ind w:right="20" w:firstLine="913"/>
        <w:spacing w:after="0" w:line="253" w:lineRule="auto"/>
        <w:rPr>
          <w:sz w:val="20"/>
          <w:szCs w:val="20"/>
          <w:color w:val="auto"/>
        </w:rPr>
      </w:pPr>
      <w:r>
        <w:rPr>
          <w:rFonts w:ascii="Times New Roman" w:cs="Times New Roman" w:eastAsia="Times New Roman" w:hAnsi="Times New Roman"/>
          <w:sz w:val="18"/>
          <w:szCs w:val="18"/>
          <w:color w:val="auto"/>
        </w:rPr>
        <w:t>Certain loans that we make are secured by a second priority security interest in the same collateral pledged by a portfolio company to secure senior debt owed by the portfolio company to commercial banks or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may require assurances that it will control the disposition of any collateral in the event of bankruptcy or other default. In many such cases, the senior lender requires us to enter into an “intercreditor agreement” prior to permitting the portfolio company to borrow from us. Typically the intercreditor agreements we are requested to execute expressly subordinate our debt instruments to those held by the senior lender and further provide that the senior lender shall control: (i) the commencement of foreclosure or other proceedings to liquidate and collect on the collateral; (ii) the nature, timing and conduct of foreclosure or other collection proceedings;</w:t>
      </w:r>
    </w:p>
    <w:p>
      <w:pPr>
        <w:spacing w:after="0" w:line="1" w:lineRule="exact"/>
        <w:rPr>
          <w:sz w:val="20"/>
          <w:szCs w:val="20"/>
          <w:color w:val="auto"/>
        </w:rPr>
      </w:pPr>
    </w:p>
    <w:p>
      <w:pPr>
        <w:ind w:right="180" w:firstLine="8"/>
        <w:spacing w:after="0" w:line="255" w:lineRule="auto"/>
        <w:tabs>
          <w:tab w:leader="none" w:pos="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any collateral document; (iv) the release of the security interests in respect of any collateral; and (v) the waiver of defaults under any security agreement. Because of the control we may cede to senior lenders under intercreditor agreements we may enter, we may be unable to realize the proceeds of any collateral securing some of our loans.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make subordinated investments, the obligors or the portfolio companies may not generate sufficient cash flow to service their debt obligations to us.</w:t>
      </w:r>
    </w:p>
    <w:p>
      <w:pPr>
        <w:spacing w:after="0" w:line="229" w:lineRule="exact"/>
        <w:rPr>
          <w:sz w:val="20"/>
          <w:szCs w:val="20"/>
          <w:color w:val="auto"/>
        </w:rPr>
      </w:pPr>
    </w:p>
    <w:p>
      <w:pPr>
        <w:ind w:right="200" w:firstLine="913"/>
        <w:spacing w:after="0" w:line="261" w:lineRule="auto"/>
        <w:rPr>
          <w:sz w:val="20"/>
          <w:szCs w:val="20"/>
          <w:color w:val="auto"/>
        </w:rPr>
      </w:pPr>
      <w:r>
        <w:rPr>
          <w:rFonts w:ascii="Times New Roman" w:cs="Times New Roman" w:eastAsia="Times New Roman" w:hAnsi="Times New Roman"/>
          <w:sz w:val="18"/>
          <w:szCs w:val="18"/>
          <w:color w:val="auto"/>
        </w:rPr>
        <w:t>We have made, and may make, subordinated investments that rank below other obligations of the obligor in right of payment. Subordinated investments are subject to greater risk of default than senior obligations as a result of adverse changes in the financial condition of the obligor or economic conditions in general. If we make a subordinated investment in a portfolio company, the portfolio company may be highly leveraged, and its relatively high debt-to-equity ratio may create increased risks that its operations might not generate sufficient cash flow to service all of its debt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disposition of our investments may result in contingent liabilities.</w:t>
      </w:r>
    </w:p>
    <w:p>
      <w:pPr>
        <w:spacing w:after="0" w:line="229" w:lineRule="exact"/>
        <w:rPr>
          <w:sz w:val="20"/>
          <w:szCs w:val="20"/>
          <w:color w:val="auto"/>
        </w:rPr>
      </w:pPr>
    </w:p>
    <w:p>
      <w:pPr>
        <w:jc w:val="both"/>
        <w:ind w:right="100" w:firstLine="913"/>
        <w:spacing w:after="0" w:line="258" w:lineRule="auto"/>
        <w:rPr>
          <w:sz w:val="20"/>
          <w:szCs w:val="20"/>
          <w:color w:val="auto"/>
        </w:rPr>
      </w:pPr>
      <w:r>
        <w:rPr>
          <w:rFonts w:ascii="Times New Roman" w:cs="Times New Roman" w:eastAsia="Times New Roman" w:hAnsi="Times New Roman"/>
          <w:sz w:val="18"/>
          <w:szCs w:val="18"/>
          <w:color w:val="auto"/>
        </w:rPr>
        <w:t>Substantially all of our investments involve loans and private securities. In connection with the disposition of an investment in loans and private securities, we may be required to make representations about the business and financial affairs of the portfolio company typical of those made in connection with the sale of a business. We may also be required to indemnify the purchasers of such investment to the extent that any such representations turn out to be inaccurate or with respect to potential liabilities. These arrangements may result in contingent liabilities that ultimately result in funding obligations that we must satisfy through our return of distributions previously made to us.</w:t>
      </w:r>
    </w:p>
    <w:p>
      <w:pPr>
        <w:spacing w:after="0" w:line="18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be circumstances where our debt investments could be subordinated to claims of other creditors or we could be subject to lender liability claims.</w:t>
      </w:r>
    </w:p>
    <w:p>
      <w:pPr>
        <w:spacing w:after="0" w:line="159" w:lineRule="exact"/>
        <w:rPr>
          <w:sz w:val="20"/>
          <w:szCs w:val="20"/>
          <w:color w:val="auto"/>
        </w:rPr>
      </w:pPr>
    </w:p>
    <w:p>
      <w:pPr>
        <w:jc w:val="both"/>
        <w:ind w:firstLine="913"/>
        <w:spacing w:after="0" w:line="266" w:lineRule="auto"/>
        <w:rPr>
          <w:sz w:val="20"/>
          <w:szCs w:val="20"/>
          <w:color w:val="auto"/>
        </w:rPr>
      </w:pPr>
      <w:r>
        <w:rPr>
          <w:rFonts w:ascii="Times New Roman" w:cs="Times New Roman" w:eastAsia="Times New Roman" w:hAnsi="Times New Roman"/>
          <w:sz w:val="18"/>
          <w:szCs w:val="18"/>
          <w:color w:val="auto"/>
        </w:rPr>
        <w:t>Even though we may have structured most of our investments as secured loans, if one of our portfolio companies were to go bankrupt, depending on the facts and circumstances, and based upon principles of equitable subordination as defined by existing case law, a bankruptcy court could subordinate all or a portion of our claim to that of other creditors and transfer any lien securing</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such subordinated claim to the bankruptcy estate. The principles of equitable subordination defined by case law have generally indicated that a claim may be subordinated only if its holder is guilty of misconduct or where the senior loan is re-characterized as an equity investment and the senior lender has actually provided significant managerial assistance to the bankrupt debtor.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 or actions to compel and collect payments from the borrower outside the ordinary course of business. Such risk of equitable subordination may be potentially heightened with respect to various portfolio investments that we may be deemed to control. See also “—Because we expect that we will not hold controlling equity interests in most of our portfolio companies, we may not be in a position to exercise control over our portfolio companies or to prevent decisions by management of our portfolio companies that could decrease the value of our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recessions could impair our portfolio companies and harm our operating results.</w:t>
      </w:r>
    </w:p>
    <w:p>
      <w:pPr>
        <w:spacing w:after="0" w:line="229" w:lineRule="exact"/>
        <w:rPr>
          <w:sz w:val="20"/>
          <w:szCs w:val="20"/>
          <w:color w:val="auto"/>
        </w:rPr>
      </w:pPr>
    </w:p>
    <w:p>
      <w:pPr>
        <w:ind w:right="80" w:firstLine="913"/>
        <w:spacing w:after="0" w:line="261" w:lineRule="auto"/>
        <w:rPr>
          <w:sz w:val="20"/>
          <w:szCs w:val="20"/>
          <w:color w:val="auto"/>
        </w:rPr>
      </w:pPr>
      <w:r>
        <w:rPr>
          <w:rFonts w:ascii="Times New Roman" w:cs="Times New Roman" w:eastAsia="Times New Roman" w:hAnsi="Times New Roman"/>
          <w:sz w:val="18"/>
          <w:szCs w:val="18"/>
          <w:color w:val="auto"/>
        </w:rPr>
        <w:t>Certain of our portfolio companies may be susceptible to an economic downturn and may be unable to repay our loans during this period. Therefore, assets may become non-performing and the value of our portfolio may decrease during this period. The adverse economic conditions also may decrease the value of collateral securing some of our loans and the value of our equity investments. A recession could lead to financial losses in our portfolio and a decrease in our revenues, net income and the value of our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liquidity in our investments may adversely affect our business.</w:t>
      </w:r>
    </w:p>
    <w:p>
      <w:pPr>
        <w:spacing w:after="0" w:line="229"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We generally invest in companies whose securities are not publicly traded, and whose securities will be subject to legal and other restrictions on resale or will otherwise be less liquid than publicly traded securities. There is no established trading market for the securities in which we invest.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As a result, we do not expect to achieve liquidity in our investments in the near-term. Further, we may face other restrictions on our ability to liquidate an investment in a portfolio company to the extent that we have material non-public information regarding such portfolio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make follow-on investments in our portfolio companies could impair the value of our portfolio.</w:t>
      </w:r>
    </w:p>
    <w:p>
      <w:pPr>
        <w:spacing w:after="0" w:line="229" w:lineRule="exact"/>
        <w:rPr>
          <w:sz w:val="20"/>
          <w:szCs w:val="20"/>
          <w:color w:val="auto"/>
        </w:rPr>
      </w:pPr>
    </w:p>
    <w:p>
      <w:pPr>
        <w:ind w:right="120" w:firstLine="913"/>
        <w:spacing w:after="0" w:line="254" w:lineRule="auto"/>
        <w:rPr>
          <w:sz w:val="20"/>
          <w:szCs w:val="20"/>
          <w:color w:val="auto"/>
        </w:rPr>
      </w:pPr>
      <w:r>
        <w:rPr>
          <w:rFonts w:ascii="Times New Roman" w:cs="Times New Roman" w:eastAsia="Times New Roman" w:hAnsi="Times New Roman"/>
          <w:sz w:val="18"/>
          <w:szCs w:val="18"/>
          <w:color w:val="auto"/>
        </w:rPr>
        <w:t>Following an initial investment in a portfolio company, we may make additional investments in that portfolio company as “follow-on” investments, in order to: (i) increase or maintain in whole or in part our equity ownership percentage; (ii) exercise warrants, options or convertible securities that were acquired in the original or a subsequent financing; or (iii) attempt to preserve or enhance the value of our investment. We may elect not to make follow-on investments or otherwise lack sufficient funds to make those investments. We will have the discretion to make any follow-on investments, subject to the availability of capital resources.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do not want to increase our concentration of risk, we prefer other opportunities, we are subject to BDC requirements that would prevent such follow-on investments, or the follow- on investment would affect our qualification as a RIC. For example, we may be prohibited under the 1940 Act from making follow-on investments in our portfolio companies that we may be deemed to “control” or in which affiliates of investment adviser are also invested.</w:t>
      </w:r>
    </w:p>
    <w:p>
      <w:pPr>
        <w:spacing w:after="0" w:line="18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enter into new transactions with our affiliates, and to restructure or exit our investments in portfolio companies that we are deemed to “control” under the 1940 Act, will be restricted by the 1940 Act, which may limit the scope of investment opportunities available to us.</w:t>
      </w:r>
    </w:p>
    <w:p>
      <w:pPr>
        <w:spacing w:after="0" w:line="159" w:lineRule="exact"/>
        <w:rPr>
          <w:sz w:val="20"/>
          <w:szCs w:val="20"/>
          <w:color w:val="auto"/>
        </w:rPr>
      </w:pPr>
    </w:p>
    <w:p>
      <w:pPr>
        <w:ind w:right="120" w:firstLine="913"/>
        <w:spacing w:after="0" w:line="271" w:lineRule="auto"/>
        <w:rPr>
          <w:sz w:val="20"/>
          <w:szCs w:val="20"/>
          <w:color w:val="auto"/>
        </w:rPr>
      </w:pPr>
      <w:r>
        <w:rPr>
          <w:rFonts w:ascii="Times New Roman" w:cs="Times New Roman" w:eastAsia="Times New Roman" w:hAnsi="Times New Roman"/>
          <w:sz w:val="17"/>
          <w:szCs w:val="17"/>
          <w:color w:val="auto"/>
        </w:rPr>
        <w:t>We are prohibited under the 1940 Act from participating in certain transactions with our affiliates without the prior approval of our independent directors and, in some cases, the SEC. Any person that owns, directly or indirectly, 5% or more of our outstanding voting securities will be our affiliate for purposes of the 1940 Act and we are generally prohibited from buying or selling any security from or to such affiliate without the prior approval of our independent directors. The 1940 Act also prohibits certain ‘‘joint’’ transactions with certain of our affiliates, which could include concurrent investments in the same company, without prior approval of our independent directors and, in some cases, the SEC. We are prohibited from buying or selling any security from or to any person that controls us or who owns more than 25% of our voting securities or certain of that person’s affiliates, or entering into prohibited joint transactions with such persons, absent the prior approval of the SEC. As a result of these restrictions, we may be prohibited from buying or selling any security (other than any security of which we are the issuer) from or to any company that is advised or managed by our investment adviser or its affiliates without the prior approval of the SEC, which may limit the scope of investment opportunities that would otherwise be available to us.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80"/>
          </w:cols>
          <w:pgMar w:left="240" w:top="455" w:right="2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In the future, we may co-invest with investment funds, accounts and vehicles managed by our investment adviser or its affiliates when doing so is consistent with our investment strategy as well as applicable law and SEC staff interpretations. We generally will only be permitted to co-invest with such investment funds, accounts and vehicles where the only term that is negotiated is price. However, we and our investment adviser may in the future file an exemptive application with the SEC to permit greater flexibility to negotiate the terms of co-investments with investment funds, accounts and investment vehicles managed by our investment adviser or its affiliates in a manner consistent with our investment objective, positions, policies, strategies and restrictions as well as regulatory requirements and other pertinent factors. If we file this exemptive application, there can be no assurance that we will receive exemptive relief from the SEC to permit us to co-invest with investment funds, accounts and investment vehicles managed by our investment adviser or its affiliates where terms other than price are negotiated.</w:t>
      </w:r>
    </w:p>
    <w:p>
      <w:pPr>
        <w:spacing w:after="0" w:line="185" w:lineRule="exact"/>
        <w:rPr>
          <w:sz w:val="20"/>
          <w:szCs w:val="20"/>
          <w:color w:val="auto"/>
        </w:rPr>
      </w:pPr>
    </w:p>
    <w:p>
      <w:pPr>
        <w:ind w:right="80" w:firstLine="913"/>
        <w:spacing w:after="0" w:line="256" w:lineRule="auto"/>
        <w:rPr>
          <w:sz w:val="20"/>
          <w:szCs w:val="20"/>
          <w:color w:val="auto"/>
        </w:rPr>
      </w:pPr>
      <w:r>
        <w:rPr>
          <w:rFonts w:ascii="Times New Roman" w:cs="Times New Roman" w:eastAsia="Times New Roman" w:hAnsi="Times New Roman"/>
          <w:sz w:val="18"/>
          <w:szCs w:val="18"/>
          <w:color w:val="auto"/>
        </w:rPr>
        <w:t>In addition, within our portfolio there are investments that may be deemed to be “controlled” investment under the 1940 Act. To the extent that our investments in such portfolio companies need to be restructured or that we choose to exit these investments in the future, our ability to do so may be limited if such restructuring or exit also involves the affiliates of our investment adviser because such a transaction could be considered a joint transaction prohibited by the 1940 Act in the absence of our receipt of relief from the SEC in connection with such transaction. For example, if an affiliate of our investment adviser were required to approve a restructuring of an investment in the portfolio and the affiliate of our investment adviser was deemed to be our affiliate, such a restructuring transaction may constitute a prohibited joint transaction under the 1940 Act.</w:t>
      </w:r>
    </w:p>
    <w:p>
      <w:pPr>
        <w:spacing w:after="0" w:line="1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may lack diversification among portfolio companies, which may subject us to a risk of significant loss if one or more of these companies defaults on its obligations under any of its debt instruments.</w:t>
      </w:r>
    </w:p>
    <w:p>
      <w:pPr>
        <w:spacing w:after="0" w:line="159" w:lineRule="exact"/>
        <w:rPr>
          <w:sz w:val="20"/>
          <w:szCs w:val="20"/>
          <w:color w:val="auto"/>
        </w:rPr>
      </w:pPr>
    </w:p>
    <w:p>
      <w:pPr>
        <w:ind w:right="20" w:firstLine="913"/>
        <w:spacing w:after="0" w:line="277" w:lineRule="auto"/>
        <w:rPr>
          <w:sz w:val="20"/>
          <w:szCs w:val="20"/>
          <w:color w:val="auto"/>
        </w:rPr>
      </w:pPr>
      <w:r>
        <w:rPr>
          <w:rFonts w:ascii="Times New Roman" w:cs="Times New Roman" w:eastAsia="Times New Roman" w:hAnsi="Times New Roman"/>
          <w:sz w:val="17"/>
          <w:szCs w:val="17"/>
          <w:color w:val="auto"/>
        </w:rPr>
        <w:t>Our portfolio may be concentrated in a limited number of portfolio companies. Beyond the asset diversification requirements associated with our qualification as a RIC under the Code, we do not have fixed guidelines for diversification, and our investments may be concentrated in relatively few companies. As our portfolio is less diversified than the portfolios of some larger funds, we are more susceptible to failure if a single loan fails. The disposition or liquidity of a significant investment may also adversely impact our net asset value and our results of operations. Similarly, the aggregate returns we realize may be significantly adversely affected if a small number of investments perform poorly or if we need to write down the value of any one investment.</w:t>
      </w:r>
    </w:p>
    <w:p>
      <w:pPr>
        <w:spacing w:after="0" w:line="16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159" w:lineRule="exact"/>
        <w:rPr>
          <w:sz w:val="20"/>
          <w:szCs w:val="20"/>
          <w:color w:val="auto"/>
        </w:rPr>
      </w:pPr>
    </w:p>
    <w:p>
      <w:pPr>
        <w:ind w:right="80" w:firstLine="913"/>
        <w:spacing w:after="0" w:line="256" w:lineRule="auto"/>
        <w:rPr>
          <w:sz w:val="20"/>
          <w:szCs w:val="20"/>
          <w:color w:val="auto"/>
        </w:rPr>
      </w:pPr>
      <w:r>
        <w:rPr>
          <w:rFonts w:ascii="Times New Roman" w:cs="Times New Roman" w:eastAsia="Times New Roman" w:hAnsi="Times New Roman"/>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Beyond the asset diversification requirements associated with our qualification as a RIC under the Code, we do not have fixed guidelines for diversification. To the extent that we assume large positions in the securities of a small number of issuers or our investments are concentrated in relatively few industries,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w:t>
      </w:r>
    </w:p>
    <w:p>
      <w:pPr>
        <w:spacing w:after="0" w:line="184"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may be concentrated in a limited number of industries, which may subject us to a risk of significant loss if there is a downturn in a particular industry in which a number of our investments are concentrated.</w:t>
      </w:r>
    </w:p>
    <w:p>
      <w:pPr>
        <w:spacing w:after="0" w:line="159" w:lineRule="exact"/>
        <w:rPr>
          <w:sz w:val="20"/>
          <w:szCs w:val="20"/>
          <w:color w:val="auto"/>
        </w:rPr>
      </w:pPr>
    </w:p>
    <w:p>
      <w:pPr>
        <w:ind w:right="440" w:firstLine="913"/>
        <w:spacing w:after="0" w:line="261" w:lineRule="auto"/>
        <w:rPr>
          <w:sz w:val="20"/>
          <w:szCs w:val="20"/>
          <w:color w:val="auto"/>
        </w:rPr>
      </w:pPr>
      <w:r>
        <w:rPr>
          <w:rFonts w:ascii="Times New Roman" w:cs="Times New Roman" w:eastAsia="Times New Roman" w:hAnsi="Times New Roman"/>
          <w:sz w:val="18"/>
          <w:szCs w:val="18"/>
          <w:color w:val="auto"/>
        </w:rPr>
        <w:t>Our portfolio may be concentrated in a limited number of industries. A downturn in any particular industry in which we are invested could significantly impact the aggregate returns we realize. If an industry in which we have significant investments suffers from adverse business or economic conditions, as these industries have to varying degrees, a material portion of our investment portfolio could be affected adversely, which, in turn, could adversely affect our financial position and results of operations.</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will not hold controlling equity interests in most of our portfolio companies, we may not be in a position to exercise control over our portfolio companies or to prevent decisions by management of our portfolio companies that could decrease the value of our investments.</w:t>
      </w:r>
    </w:p>
    <w:p>
      <w:pPr>
        <w:spacing w:after="0" w:line="159" w:lineRule="exact"/>
        <w:rPr>
          <w:sz w:val="20"/>
          <w:szCs w:val="20"/>
          <w:color w:val="auto"/>
        </w:rPr>
      </w:pPr>
    </w:p>
    <w:p>
      <w:pPr>
        <w:ind w:right="20" w:firstLine="913"/>
        <w:spacing w:after="0" w:line="282" w:lineRule="auto"/>
        <w:rPr>
          <w:sz w:val="20"/>
          <w:szCs w:val="20"/>
          <w:color w:val="auto"/>
        </w:rPr>
      </w:pPr>
      <w:r>
        <w:rPr>
          <w:rFonts w:ascii="Times New Roman" w:cs="Times New Roman" w:eastAsia="Times New Roman" w:hAnsi="Times New Roman"/>
          <w:sz w:val="18"/>
          <w:szCs w:val="18"/>
          <w:color w:val="auto"/>
        </w:rPr>
        <w:t>We currently hold controlling equity positions in eight portfolio companies. Although we may do so in the future, we expect that we will not hold controlling equity positions in most of our portfolio companies. If we do not hold a controlling equity position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in a portfolio company, we are subject to the risk that the portfolio company may make business decisions with which we disagree, and that the management and/or stockholders of the portfolio company may take risks or otherwise act in ways that are adverse to our interests. Due to the lack of liquidity of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Defaults by our portfolio companies will harm our operating results.</w:t>
      </w:r>
    </w:p>
    <w:p>
      <w:pPr>
        <w:spacing w:after="0" w:line="229" w:lineRule="exact"/>
        <w:rPr>
          <w:sz w:val="20"/>
          <w:szCs w:val="20"/>
          <w:color w:val="auto"/>
        </w:rPr>
      </w:pPr>
    </w:p>
    <w:p>
      <w:pPr>
        <w:ind w:right="100" w:firstLine="913"/>
        <w:spacing w:after="0" w:line="255" w:lineRule="auto"/>
        <w:rPr>
          <w:sz w:val="20"/>
          <w:szCs w:val="20"/>
          <w:color w:val="auto"/>
        </w:rPr>
      </w:pPr>
      <w:r>
        <w:rPr>
          <w:rFonts w:ascii="Times New Roman" w:cs="Times New Roman" w:eastAsia="Times New Roman" w:hAnsi="Times New Roman"/>
          <w:sz w:val="18"/>
          <w:szCs w:val="18"/>
          <w:color w:val="auto"/>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Any extension or restructuring of our loans could adversely affect our cash flows. In addition, if one of our portfolio companies were to go bankrupt, even though we may have structured our interest as senior debt, depending on the facts and circumstances, including the extent to which we actually provided managerial assistance to that portfolio company, a bankruptcy court might recharacterize our debt holding and subordinate all or a portion of our claim to that of other creditors. If any of these occur, it could materially and adversely affect our operating results and cash flows.</w:t>
      </w:r>
    </w:p>
    <w:p>
      <w:pPr>
        <w:spacing w:after="0" w:line="18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portfolio companies are unable to protect their proprietary, technological and other intellectual property rights, our business and prospects could be harmed, and if portfolio companies are required to devote significant resources to protecting their intellectual property rights, the value of our investment could be reduced.</w:t>
      </w:r>
    </w:p>
    <w:p>
      <w:pPr>
        <w:spacing w:after="0" w:line="175"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that may be available in a downside scenario to repay our loans. Our portfolio companies will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third-party’s patent or other proprietary rights, it could be required to pay damages to the third-party, alter its products or processes, obtain a license from the third-party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spacing w:after="0" w:line="18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unrealized losses we experience on our loan portfolio may be an indication of future realized losses, which could reduce our income available for distribution.</w:t>
      </w:r>
    </w:p>
    <w:p>
      <w:pPr>
        <w:spacing w:after="0" w:line="159"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As a BDC, we are required to carry our investments at market value or, if no market value is ascertainable, at the fair value as determined in good faith by our Board of Directors. Decreases in the market values or fair values of our investments will be recorded as unrealized depreciation. Any unrealized losses in our loan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Prepayments of our debt investments by our portfolio companies could adversely impact our results of operations and reduce our return on equity.</w:t>
      </w:r>
    </w:p>
    <w:p>
      <w:pPr>
        <w:spacing w:after="0" w:line="229" w:lineRule="exact"/>
        <w:rPr>
          <w:sz w:val="20"/>
          <w:szCs w:val="20"/>
          <w:color w:val="auto"/>
        </w:rPr>
      </w:pPr>
    </w:p>
    <w:p>
      <w:pPr>
        <w:ind w:right="220" w:firstLine="913"/>
        <w:spacing w:after="0" w:line="256" w:lineRule="auto"/>
        <w:rPr>
          <w:sz w:val="20"/>
          <w:szCs w:val="20"/>
          <w:color w:val="auto"/>
        </w:rPr>
      </w:pPr>
      <w:r>
        <w:rPr>
          <w:rFonts w:ascii="Times New Roman" w:cs="Times New Roman" w:eastAsia="Times New Roman" w:hAnsi="Times New Roman"/>
          <w:sz w:val="18"/>
          <w:szCs w:val="18"/>
          <w:color w:val="auto"/>
        </w:rPr>
        <w:t>We are subject to the risk that the investments we make in our portfolio companies may be repaid prior to maturity. When this occurs, we will generally reinvest these proceeds in temporary investments or repay any revolving credit facility, depending on expected future investment in new portfolio companies. Temporary investments will typically have substantially lower yields than the debt being prepaid and we could experience significant delays in reinvesting these amounts. Any future investment in a new portfolio company may also be at lower yields than the debt that was repaid. As a result, our results of operations could be materially adversely affected if one or more of our portfolio companies elect to prepay amounts owed to us. Additionally, prepayments could negatively impact our return on equity, which could result in a decline in the market price of our common stock.</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gains from our equity investments.</w:t>
      </w:r>
    </w:p>
    <w:p>
      <w:pPr>
        <w:spacing w:after="0" w:line="229" w:lineRule="exact"/>
        <w:rPr>
          <w:sz w:val="20"/>
          <w:szCs w:val="20"/>
          <w:color w:val="auto"/>
        </w:rPr>
      </w:pPr>
    </w:p>
    <w:p>
      <w:pPr>
        <w:ind w:right="80" w:firstLine="913"/>
        <w:spacing w:after="0" w:line="254" w:lineRule="auto"/>
        <w:rPr>
          <w:sz w:val="20"/>
          <w:szCs w:val="20"/>
          <w:color w:val="auto"/>
        </w:rPr>
      </w:pPr>
      <w:r>
        <w:rPr>
          <w:rFonts w:ascii="Times New Roman" w:cs="Times New Roman" w:eastAsia="Times New Roman" w:hAnsi="Times New Roman"/>
          <w:sz w:val="18"/>
          <w:szCs w:val="18"/>
          <w:color w:val="auto"/>
        </w:rPr>
        <w:t>Certain investments that we may make include warrants or other equity securities. 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and limited voting rights. In addition, we may from time to time make non-control, equity investments in portfolio companies. Our goal is ultimately to realize gains upon our disposition of such equity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We also may be unable to realize any value if a portfolio company does not have a liquidity event, such as a sale of the business, recapitalization or public offering, which would allow us to sell the underlying equity interests. We will often seek puts or similar rights to give us the right to sell our equity securities back to the portfolio company issuer. We may be unable to exercise these put rights for the consideration provided in our investment documents if the issuer is in financial distress.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expose ourselves to risks if we engage in hedging transactions.</w:t>
      </w:r>
    </w:p>
    <w:p>
      <w:pPr>
        <w:spacing w:after="0" w:line="229" w:lineRule="exact"/>
        <w:rPr>
          <w:sz w:val="20"/>
          <w:szCs w:val="20"/>
          <w:color w:val="auto"/>
        </w:rPr>
      </w:pPr>
    </w:p>
    <w:p>
      <w:pPr>
        <w:ind w:right="60" w:firstLine="913"/>
        <w:spacing w:after="0" w:line="253" w:lineRule="auto"/>
        <w:rPr>
          <w:sz w:val="20"/>
          <w:szCs w:val="20"/>
          <w:color w:val="auto"/>
        </w:rPr>
      </w:pPr>
      <w:r>
        <w:rPr>
          <w:rFonts w:ascii="Times New Roman" w:cs="Times New Roman" w:eastAsia="Times New Roman" w:hAnsi="Times New Roman"/>
          <w:sz w:val="18"/>
          <w:szCs w:val="18"/>
          <w:color w:val="auto"/>
        </w:rPr>
        <w:t>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8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will be authorized to reclassify any unissued shares of common stock into one or more classes of preferred stock, which could convey special rights and privileges to its owners.</w:t>
      </w:r>
    </w:p>
    <w:p>
      <w:pPr>
        <w:spacing w:after="0" w:line="159"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Under Maryland General Corporation Law and our charter, our Board of Directors will be authorized to classify and reclassify any authorized but unissued shares of stock into one or more classes of stock, including preferred stock. Prior to issuance of shares of each class or series, our Board of Directors will be required by Maryland law and our charter to set the terms, preferences, conversion or other rights, voting powers, restrictions, limitations as to dividends or other distributions, qualifications and terms or conditions of redemption for each class or series. Thus, our Board of Directors could authorize the issuance of shares of preferred stock with terms and conditions that could have the effect of delaying, deferring or preventing a transaction or a change in control that might involve a premium price for holders of our common stock or otherwise be in their best interest. The cost of any such reclassification would be borne by our common stockholders. Certain matters under the 1940 Act require the separate vote of the holders of any issued and outstanding preferred stock. For example, holders of preferred stock would vote separately from the holders of common stock on a proposal to cease operations as a BDC. In addition, the 1940 Act provides that holders of preferred stock are entitled to vote separately from holders of common stock to elect two preferred stock directors. We currently have no plans to issue preferred stock. The issuance of preferred shares convertible into shares of common stock may also reduce the net income and net asset value per share of our common stock upon conversion, provided, that we will only be permitted to issue such convertible preferred stock to the extent we comply with the requirements of Section 61 of the 1940 Act, including obtaining common stockholder approval. These effects, among others, could have an adverse effect on your investment in our common stock.</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159"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The Maryland General Corporation Law and our charter and bylaws contain provisions that may discourage, delay or make more difficult a change in control of Capitala Finance or the removal of our directors. We are subject to the Maryland Business Combination Act,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independent directors. If the resolution exempting business combinations is repealed or our board does not approve a business combination, the Business Combination Act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may discourage third parties from trying to acquire control of us and increase the difficulty of consummating such an offer. Our bylaws exempt from the Maryland Control Share Acquisition Act acquisitions of our stock by any person. If we amend our bylaws to repeal the exemption from the Control Share Acquisition Act, the Control Share Acquisition Act also may make it more difficult for a third-party to obtain control of us and increase the difficulty of consummating such a transaction.</w:t>
      </w:r>
    </w:p>
    <w:p>
      <w:pPr>
        <w:spacing w:after="0" w:line="180"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We have also adopted measures that may make it difficult for a third-party to obtain control of us, including provisions of our charter classifying our Board of Directors in three classes serving staggered three-year terms, and authorizing our Board of Directors to classify or reclassify shares of our stock in one or more classes or series, to cause the issuance of additional shares of our stock, to amend our charter without stockholder approval and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84"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The foregoing provisions are expected to discourage certain coercive takeover practices and inadequate takeover bids and to encourage persons seeking to acquire control of us to negotiate first with our Board of Directors. However, these provisions may deprive a shareholder of the opportunity to sell such shareholder’s shares at a premium to a potential acquirer. We believe that the benefits of these provisions outweigh the potential disadvantages of discouraging any such acquisition proposals because, among other things, the negotiation of such proposals may improve their terms. Our Board of Directors has considered both the positive and negative effects of the foregoing provisions and determined that they are in the best interest of our shareholders.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On September 24, 2013, Capitala Finance Corp. (the “Company”) priced its initial public offering, selling 4 million shares of common stock at a public offering price of $20.00 per share. Immediately prior to pricing of this offering, the Company acquired 100% of the limited partnership interests in CapitalSouth Partners Fund II Limited Partnership (“Fund II”), CapitalSouth Partners SBIC Fund III, L.P. (“Fund III”) and CapitalSouth Partners Florida Sidecar Fund I, L.P. (“Florida Sidecar”) and each of their respective general partners, as well as certain assets from CapitalSouth Partners Fund I Limited Partnership (“Fund I”) and CapitalSouth Partners Fund III, L.P. (“Fund III Parent” and, collectively with Fund I, Fund II, Fund III and Florida Sidecar, the “Legacy Funds”), in exchange for an aggregate of 8,974,420 shares of the Company’s common stock, which were issued pursuant to the exemption from registration provided by Section 4(2) under the Securities Act of 1933, as amended.</w:t>
      </w:r>
    </w:p>
    <w:p>
      <w:pPr>
        <w:spacing w:after="0" w:line="189" w:lineRule="exact"/>
        <w:rPr>
          <w:sz w:val="20"/>
          <w:szCs w:val="20"/>
          <w:color w:val="auto"/>
        </w:rPr>
      </w:pPr>
    </w:p>
    <w:p>
      <w:pPr>
        <w:ind w:right="160" w:firstLine="913"/>
        <w:spacing w:after="0" w:line="282" w:lineRule="auto"/>
        <w:rPr>
          <w:sz w:val="20"/>
          <w:szCs w:val="20"/>
          <w:color w:val="auto"/>
        </w:rPr>
      </w:pPr>
      <w:r>
        <w:rPr>
          <w:rFonts w:ascii="Times New Roman" w:cs="Times New Roman" w:eastAsia="Times New Roman" w:hAnsi="Times New Roman"/>
          <w:sz w:val="18"/>
          <w:szCs w:val="18"/>
          <w:color w:val="auto"/>
        </w:rPr>
        <w:t>The net proceeds to the Company of the initial public offering, after deducting the underwriting fees and commissions, was $76.0 million. The other costs of the initial public offering were borne by the limited partners of the Legacy Funds.</w:t>
      </w:r>
    </w:p>
    <w:p>
      <w:pPr>
        <w:spacing w:after="0" w:line="162"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The Company intends to use the net proceeds from this offering to make investments in privately held smaller and lower middle-market companies in the United States and for general working capital purposes. Deutsche Bank Securities, UBS Investment Bank and Barclays acted as joint book-running managers for the offering and BB&amp;T Capital Markets, Oppenheimer &amp; Co., Janney Montgomery Scott, Stephens Inc. and Wunderlich Securities acted as co-lead managers for the offering.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40"/>
          </w:cols>
          <w:pgMar w:left="240" w:top="455" w:right="31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 to exhibits previously filed with the SEC:</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860" w:type="dxa"/>
            <w:vAlign w:val="bottom"/>
            <w:gridSpan w:val="3"/>
            <w:vMerge w:val="restart"/>
          </w:tcPr>
          <w:p>
            <w:pPr>
              <w:ind w:left="49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7"/>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8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3.1</w:t>
            </w:r>
          </w:p>
        </w:tc>
        <w:tc>
          <w:tcPr>
            <w:tcW w:w="4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Articles of Amendment and Restatement(1)</w:t>
            </w:r>
          </w:p>
        </w:tc>
        <w:tc>
          <w:tcPr>
            <w:tcW w:w="152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3.2</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Certificate of Limited Partnership of CapitalSouth Partners Fund II Limited Partnership(2)</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3.3</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Certificate of Limited Partnership of CapitalSouth Partners SBIC Fund III, L.P.(2)</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3.4</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Bylaws(1)</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3.5</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Amended and Restated Limited Partnership Agreement of CapitalSouth Partners Fund II Limited Partnership(4)</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3.6</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Amended and Restated Agreement of Limited Partnership of CapitalSouth Partners SBIC Fund III, L.P.(4)</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4.1</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Common Stock Certificate(1)</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95"/>
              </w:rPr>
              <w:t>10.1</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Dividend Reinvestment Plan(1)</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95"/>
              </w:rPr>
              <w:t>10.2</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Investment Advisory Agreement by and between Registrant and Capitala Investment Advisors, LLC(1)</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95"/>
              </w:rPr>
              <w:t>10.3</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Custodian Agreement(1)</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95"/>
              </w:rPr>
              <w:t>10.4</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Administration Agreement by and between Registrant and Capitala Advisors Corp.(1)</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95"/>
              </w:rPr>
              <w:t>10.5</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Indemnification Agreement by and between Registrant and each of its directors(1)</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95"/>
              </w:rPr>
              <w:t>10.6</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Trademark License Agreement by and between Registrant and Capitala Investment Advisors, LLC(1)</w:t>
            </w:r>
          </w:p>
        </w:tc>
        <w:tc>
          <w:tcPr>
            <w:tcW w:w="0" w:type="dxa"/>
            <w:vAlign w:val="bottom"/>
          </w:tcPr>
          <w:p>
            <w:pPr>
              <w:spacing w:after="0"/>
              <w:rPr>
                <w:sz w:val="1"/>
                <w:szCs w:val="1"/>
                <w:color w:val="auto"/>
              </w:rPr>
            </w:pPr>
          </w:p>
        </w:tc>
      </w:tr>
      <w:tr>
        <w:trPr>
          <w:trHeight w:val="306"/>
        </w:trPr>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95"/>
              </w:rPr>
              <w:t>10.7</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9"/>
              </w:rPr>
              <w:t>Form of Purchase and Sale Agreement by and among Registrant, CapitalSouth Partners Fund III, L.P., CapitalSouth Partners SBIC Fund III, L.P.</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and CapitalSouth Partners SBIC F-III, LLC(4)</w:t>
            </w:r>
          </w:p>
        </w:tc>
        <w:tc>
          <w:tcPr>
            <w:tcW w:w="0" w:type="dxa"/>
            <w:vAlign w:val="bottom"/>
          </w:tcPr>
          <w:p>
            <w:pPr>
              <w:spacing w:after="0"/>
              <w:rPr>
                <w:sz w:val="1"/>
                <w:szCs w:val="1"/>
                <w:color w:val="auto"/>
              </w:rPr>
            </w:pPr>
          </w:p>
        </w:tc>
      </w:tr>
      <w:tr>
        <w:trPr>
          <w:trHeight w:val="306"/>
        </w:trPr>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95"/>
              </w:rPr>
              <w:t>10.8</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Purchase and Sale Agreement by and among Registrant, Atlas Powers Investments, LLC, Markham Hunt Broyhill and John F.</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McGlinn(4)</w:t>
            </w:r>
          </w:p>
        </w:tc>
        <w:tc>
          <w:tcPr>
            <w:tcW w:w="0" w:type="dxa"/>
            <w:vAlign w:val="bottom"/>
          </w:tcPr>
          <w:p>
            <w:pPr>
              <w:spacing w:after="0"/>
              <w:rPr>
                <w:sz w:val="1"/>
                <w:szCs w:val="1"/>
                <w:color w:val="auto"/>
              </w:rPr>
            </w:pPr>
          </w:p>
        </w:tc>
      </w:tr>
      <w:tr>
        <w:trPr>
          <w:trHeight w:val="306"/>
        </w:trPr>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95"/>
              </w:rPr>
              <w:t>10.9</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Purchase and Sale Agreement by and among Registrant, CapitalSouth Partners F-II, LLC, Atlas Powers Investments, LLC, Markham</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Hunt Broyhill, John F. McGlinn, Capitala Transaction Corp., Joseph B. Alala, III and Chris Norton(4)</w:t>
            </w: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Agreement and Plan of Merger by and between Registrant, CS F-II Acquisition Sub, LLC, CapitalSouth Partners Fund II Limited</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Partnership and CapitalSouth Partners F-II, LLC(4)</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Purchase Agreement by and between Registrant, CapitalSouth Partners Fund III, L.P. and CapitalSouth Partners F-III,  LLC(4)</w:t>
            </w: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9"/>
              </w:rPr>
              <w:t>Form of Purchase and Sale Agreement by and among Registrant, CapitalSouth Partners Florida Sidecar Fund I, L.P., Florida Growth Fund, LLC</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and CSP-Florida Mezzanine Fund I, LLC(4)</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Purchase Agreement by and among Registrant, CapitalSouth Partners Fund I, Limited Partnership and CapitalSouth Partners, LLC(4)</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Purchase and Sale Agreement by and between Registrant and CapitalSouth Corporation(4)</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95"/>
              </w:rPr>
              <w:t>11.1</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Computation of Per Share Earnings (included in the notes to the financial statements contained in this report)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95"/>
              </w:rPr>
              <w:t>31.1</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 of the Securities Exchange Act of 1934, as amended</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95"/>
              </w:rPr>
              <w:t>31.2</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 of the Securities Exchange Act of 1934, as amended</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95"/>
              </w:rPr>
              <w:t>32.1</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95"/>
              </w:rPr>
              <w:t>32.2</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80" w:hanging="452"/>
        <w:spacing w:after="0" w:line="261"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Pre-Effective Amendment No. 1 to Capitala Finance Corp.’s registration statement on Form N-2 (File No. 333-188956) filed on September 9, 2013.</w:t>
      </w:r>
    </w:p>
    <w:p>
      <w:pPr>
        <w:ind w:left="460" w:right="340" w:hanging="452"/>
        <w:spacing w:after="0" w:line="250"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Pre-Effective Amendment No. 2 to Capitala Finance Corp.’s registration statement on Form N-2 (File No. 333-188956) filed on September 16, 2013.</w:t>
      </w:r>
    </w:p>
    <w:p>
      <w:pPr>
        <w:ind w:left="460" w:right="340" w:hanging="452"/>
        <w:spacing w:after="0" w:line="250"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Pre-Effective Amendment No. 4 to Capitala Finance Corp.’s registration statement on Form N-2 (File No. 333-188956) filed on September 20, 2013.</w:t>
      </w:r>
    </w:p>
    <w:p>
      <w:pPr>
        <w:ind w:left="460" w:right="340" w:hanging="452"/>
        <w:spacing w:after="0" w:line="261"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Pre-Effective Amendment No. 5 to Capitala Finance Corp.’s registration statement on Form N-2 (File No. 333-188956) filed on September 24, 2013.</w:t>
      </w:r>
    </w:p>
    <w:p>
      <w:pPr>
        <w:sectPr>
          <w:pgSz w:w="11900" w:h="16838" w:orient="portrait"/>
          <w:cols w:equalWidth="0" w:num="1">
            <w:col w:w="11380"/>
          </w:cols>
          <w:pgMar w:left="240" w:top="455" w:right="279" w:bottom="1440" w:gutter="0" w:footer="0" w:header="0"/>
        </w:sectPr>
      </w:pP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80"/>
          </w:cols>
          <w:pgMar w:left="240" w:top="455" w:right="279" w:bottom="1440" w:gutter="0" w:footer="0" w:header="0"/>
          <w:type w:val="continuous"/>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Date: November 14, 2013</w:t>
      </w:r>
      <w:r>
        <w:rPr>
          <w:sz w:val="20"/>
          <w:szCs w:val="20"/>
          <w:color w:val="auto"/>
        </w:rPr>
        <w:tab/>
      </w:r>
      <w:r>
        <w:rPr>
          <w:rFonts w:ascii="Times New Roman" w:cs="Times New Roman" w:eastAsia="Times New Roman" w:hAnsi="Times New Roman"/>
          <w:sz w:val="18"/>
          <w:szCs w:val="18"/>
          <w:color w:val="auto"/>
        </w:rPr>
        <w:t>By /s/ 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Joseph B. Alala III</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Capitala Finance Corp.</w:t>
      </w:r>
    </w:p>
    <w:p>
      <w:pPr>
        <w:spacing w:after="0" w:line="207"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Date: November 14, 2013</w:t>
      </w:r>
      <w:r>
        <w:rPr>
          <w:sz w:val="20"/>
          <w:szCs w:val="20"/>
          <w:color w:val="auto"/>
        </w:rPr>
        <w:tab/>
      </w:r>
      <w:r>
        <w:rPr>
          <w:rFonts w:ascii="Times New Roman" w:cs="Times New Roman" w:eastAsia="Times New Roman" w:hAnsi="Times New Roman"/>
          <w:sz w:val="18"/>
          <w:szCs w:val="18"/>
          <w:color w:val="auto"/>
        </w:rPr>
        <w:t>By /s/ 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Stephen A. Arnall</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Capitala Finance Corp.</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00"/>
          </w:cols>
          <w:pgMar w:left="240" w:top="455" w:right="45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B. Alala III, certify that:</w:t>
      </w:r>
    </w:p>
    <w:p>
      <w:pPr>
        <w:spacing w:after="0" w:line="131"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Capitala Finance Corp.;</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500" w:hanging="452"/>
        <w:spacing w:after="0" w:line="282"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7" w:lineRule="exact"/>
        <w:rPr>
          <w:rFonts w:ascii="Times New Roman" w:cs="Times New Roman" w:eastAsia="Times New Roman" w:hAnsi="Times New Roman"/>
          <w:sz w:val="18"/>
          <w:szCs w:val="18"/>
          <w:color w:val="auto"/>
        </w:rPr>
      </w:pPr>
    </w:p>
    <w:p>
      <w:pPr>
        <w:ind w:left="1480" w:right="60" w:hanging="567"/>
        <w:spacing w:after="0" w:line="266" w:lineRule="auto"/>
        <w:tabs>
          <w:tab w:leader="none" w:pos="14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jc w:val="both"/>
        <w:ind w:left="1480" w:right="220" w:hanging="567"/>
        <w:spacing w:after="0" w:line="313" w:lineRule="auto"/>
        <w:tabs>
          <w:tab w:leader="none" w:pos="148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1480" w:right="200" w:hanging="567"/>
        <w:spacing w:after="0" w:line="266" w:lineRule="auto"/>
        <w:tabs>
          <w:tab w:leader="none" w:pos="14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480" w:right="460" w:hanging="567"/>
        <w:spacing w:after="0" w:line="282" w:lineRule="auto"/>
        <w:tabs>
          <w:tab w:leader="none" w:pos="14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480" w:right="140" w:hanging="567"/>
        <w:spacing w:after="0" w:line="282" w:lineRule="auto"/>
        <w:tabs>
          <w:tab w:leader="none" w:pos="14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2013</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Joseph B. Alala III</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Capitala Finance Corp.</w:t>
      </w:r>
    </w:p>
    <w:p>
      <w:pPr>
        <w:sectPr>
          <w:pgSz w:w="11900" w:h="16838" w:orient="portrait"/>
          <w:cols w:equalWidth="0" w:num="1">
            <w:col w:w="11420"/>
          </w:cols>
          <w:pgMar w:left="240" w:top="117"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Arnall, certify that:</w:t>
      </w:r>
    </w:p>
    <w:p>
      <w:pPr>
        <w:spacing w:after="0" w:line="131"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Capitala Finance Corp.;</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500" w:hanging="452"/>
        <w:spacing w:after="0" w:line="282"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7" w:lineRule="exact"/>
        <w:rPr>
          <w:rFonts w:ascii="Times New Roman" w:cs="Times New Roman" w:eastAsia="Times New Roman" w:hAnsi="Times New Roman"/>
          <w:sz w:val="18"/>
          <w:szCs w:val="18"/>
          <w:color w:val="auto"/>
        </w:rPr>
      </w:pPr>
    </w:p>
    <w:p>
      <w:pPr>
        <w:ind w:left="1480" w:right="60" w:hanging="567"/>
        <w:spacing w:after="0" w:line="266" w:lineRule="auto"/>
        <w:tabs>
          <w:tab w:leader="none" w:pos="14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jc w:val="both"/>
        <w:ind w:left="1480" w:right="220" w:hanging="567"/>
        <w:spacing w:after="0" w:line="313" w:lineRule="auto"/>
        <w:tabs>
          <w:tab w:leader="none" w:pos="148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1480" w:right="200" w:hanging="567"/>
        <w:spacing w:after="0" w:line="266" w:lineRule="auto"/>
        <w:tabs>
          <w:tab w:leader="none" w:pos="14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480" w:right="460" w:hanging="567"/>
        <w:spacing w:after="0" w:line="282" w:lineRule="auto"/>
        <w:tabs>
          <w:tab w:leader="none" w:pos="14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480" w:right="140" w:hanging="567"/>
        <w:spacing w:after="0" w:line="282" w:lineRule="auto"/>
        <w:tabs>
          <w:tab w:leader="none" w:pos="14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2013</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Stephen A. Arnall</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Capitala Finance Corp.</w:t>
      </w:r>
    </w:p>
    <w:p>
      <w:pPr>
        <w:sectPr>
          <w:pgSz w:w="11900" w:h="16838" w:orient="portrait"/>
          <w:cols w:equalWidth="0" w:num="1">
            <w:col w:w="11420"/>
          </w:cols>
          <w:pgMar w:left="240" w:top="117" w:right="2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I, Joseph B. Alala III, Chief Executive Officer, in connection with the Quarterly Report of Capitala Finance Corp. (the “Company”) on Form 10-Q for the quarterly period ended September 30, 2013, as filed with the Securities and Exchange Commission on the date hereof (the “Quarterly Report”), certify, pursuant to Section 906 of the Sarbanes-Oxley Act of 2002, that:</w:t>
      </w:r>
    </w:p>
    <w:p>
      <w:pPr>
        <w:spacing w:after="0" w:line="82" w:lineRule="exact"/>
        <w:rPr>
          <w:sz w:val="20"/>
          <w:szCs w:val="20"/>
          <w:color w:val="auto"/>
        </w:rPr>
      </w:pPr>
    </w:p>
    <w:p>
      <w:pPr>
        <w:ind w:left="1480" w:hanging="567"/>
        <w:spacing w:after="0" w:line="282" w:lineRule="auto"/>
        <w:tabs>
          <w:tab w:leader="none" w:pos="1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fully complies with the requirements of Section 13(a) or 15(d) of the Securities Exchange Act of 1934, as amended; and</w:t>
      </w:r>
    </w:p>
    <w:p>
      <w:pPr>
        <w:spacing w:after="0" w:line="67" w:lineRule="exact"/>
        <w:rPr>
          <w:rFonts w:ascii="Times New Roman" w:cs="Times New Roman" w:eastAsia="Times New Roman" w:hAnsi="Times New Roman"/>
          <w:sz w:val="18"/>
          <w:szCs w:val="18"/>
          <w:color w:val="auto"/>
        </w:rPr>
      </w:pPr>
    </w:p>
    <w:p>
      <w:pPr>
        <w:ind w:left="1480" w:right="800" w:hanging="567"/>
        <w:spacing w:after="0" w:line="282" w:lineRule="auto"/>
        <w:tabs>
          <w:tab w:leader="none" w:pos="1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2013</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Joseph B. Alala III</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Capitala Finance Corp.</w:t>
      </w:r>
    </w:p>
    <w:p>
      <w:pPr>
        <w:sectPr>
          <w:pgSz w:w="11900" w:h="16838" w:orient="portrait"/>
          <w:cols w:equalWidth="0" w:num="1">
            <w:col w:w="11420"/>
          </w:cols>
          <w:pgMar w:left="240" w:top="117" w:right="2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I, Stephen A. Arnall, Chief Financial Officer, in connection with the Quarterly Report of Capitala Finance Corp. (the “Company”) on Form 10-Q for the quarterly period ended September 30, 2013, as filed with the Securities and Exchange Commission on the date hereof (the “Quarterly Report”), certify, pursuant to Section 906 of the Sarbanes-Oxley Act of 2002, that:</w:t>
      </w:r>
    </w:p>
    <w:p>
      <w:pPr>
        <w:spacing w:after="0" w:line="82" w:lineRule="exact"/>
        <w:rPr>
          <w:sz w:val="20"/>
          <w:szCs w:val="20"/>
          <w:color w:val="auto"/>
        </w:rPr>
      </w:pPr>
    </w:p>
    <w:p>
      <w:pPr>
        <w:ind w:left="1480" w:hanging="567"/>
        <w:spacing w:after="0" w:line="282" w:lineRule="auto"/>
        <w:tabs>
          <w:tab w:leader="none" w:pos="1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fully complies with the requirements of Section 13(a) or 15(d) of the Securities Exchange Act of 1934, as amended; and</w:t>
      </w:r>
    </w:p>
    <w:p>
      <w:pPr>
        <w:spacing w:after="0" w:line="67" w:lineRule="exact"/>
        <w:rPr>
          <w:rFonts w:ascii="Times New Roman" w:cs="Times New Roman" w:eastAsia="Times New Roman" w:hAnsi="Times New Roman"/>
          <w:sz w:val="18"/>
          <w:szCs w:val="18"/>
          <w:color w:val="auto"/>
        </w:rPr>
      </w:pPr>
    </w:p>
    <w:p>
      <w:pPr>
        <w:ind w:left="1480" w:right="800" w:hanging="567"/>
        <w:spacing w:after="0" w:line="282" w:lineRule="auto"/>
        <w:tabs>
          <w:tab w:leader="none" w:pos="1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2013</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Stephen A. Arnall</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Capitala Finance Corp.</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lowerLetter"/>
      <w:start w:val="2"/>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lowerRoman"/>
      <w:start w:val="3"/>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2019-12-08T06:18:05Z</dcterms:created>
  <dcterms:modified xsi:type="dcterms:W3CDTF">2019-12-08T06:18:05Z</dcterms:modified>
</cp:coreProperties>
</file>