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fc-20231231.htm"/>
      <w:bookmarkStart w:id="1" w:name="kslrfc20231231"/>
      <w:bookmarkEnd w:id="0"/>
      <w:bookmarkEnd w:id="1"/>
      <w:r>
        <w:rPr/>
        <w:t> </w:t>
      </w:r>
    </w:p>
    <w:p>
      <w:pPr>
        <w:pStyle w:val="TextBody"/>
        <w:pBdr>
          <w:top w:val="single" w:sz="18" w:space="1" w:color="000000"/>
          <w:bottom w:val="single" w:sz="6" w:space="1" w:color="000000"/>
        </w:pBdr>
        <w:bidi w:val="0"/>
        <w:spacing w:before="160" w:after="283"/>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UNITED STATES </w:t>
        <w:br/>
        <w:t xml:space="preserve">SECURITIES AND EXCHANGE COMMISSION </w:t>
        <w:br/>
      </w:r>
      <w:r>
        <w:rPr>
          <w:rFonts w:ascii="Times New Roman" w:hAnsi="Times New Roman"/>
          <w:b/>
          <w:color w:val="000000"/>
          <w:sz w:val="16"/>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FORM 10-K</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7"/>
        </w:rPr>
      </w:pPr>
      <w:r>
        <w:rPr>
          <w:rFonts w:ascii="Times New Roman" w:hAnsi="Times New Roman"/>
          <w:b/>
          <w:color w:val="000000"/>
          <w:sz w:val="17"/>
        </w:rPr>
        <w:t>For the Fiscal Year Ended December 31, 2023</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8"/>
        <w:gridCol w:w="109"/>
        <w:gridCol w:w="6110"/>
        <w:gridCol w:w="109"/>
        <w:gridCol w:w="2819"/>
      </w:tblGrid>
      <w:tr>
        <w:trPr/>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105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Commission</w:t>
              <w:br/>
              <w:t>File Number</w:t>
            </w:r>
            <w:r>
              <w:rPr>
                <w:rFonts w:ascii="Times New Roman" w:hAnsi="Times New Roman"/>
                <w:color w:val="000000"/>
                <w:sz w:val="16"/>
              </w:rPr>
              <w:t xml:space="preserve"> </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Exact name of registrant as specified in its charter, address of principal executive</w:t>
              <w:br/>
              <w:t>office, telephone number and state or other jurisdiction of incorporation or organization</w:t>
            </w:r>
            <w:r>
              <w:rPr>
                <w:rFonts w:ascii="Times New Roman" w:hAnsi="Times New Roman"/>
                <w:color w:val="000000"/>
                <w:sz w:val="16"/>
              </w:rPr>
              <w:t xml:space="preserve"> </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I.R.S. Employer Identification Number</w:t>
            </w:r>
            <w:r>
              <w:rPr>
                <w:rFonts w:ascii="Times New Roman" w:hAnsi="Times New Roman"/>
                <w:color w:val="000000"/>
                <w:sz w:val="16"/>
              </w:rPr>
              <w:t xml:space="preserve"> </w:t>
            </w:r>
          </w:p>
        </w:tc>
      </w:tr>
      <w:tr>
        <w:trPr/>
        <w:tc>
          <w:tcPr>
            <w:tcW w:w="105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7"/>
              </w:rPr>
              <w:t>814-01022</w:t>
            </w:r>
            <w:r>
              <w:rPr>
                <w:rFonts w:ascii="Times New Roman" w:hAnsi="Times New Roman"/>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6110"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30"/>
              </w:rPr>
              <w:t>Logan Ridge Finance Corporation</w:t>
            </w:r>
            <w:r>
              <w:rPr>
                <w:rFonts w:ascii="Times New Roman" w:hAnsi="Times New Roman"/>
                <w:color w:val="000000"/>
                <w:sz w:val="20"/>
              </w:rPr>
              <w:t xml:space="preserve"> </w:t>
            </w:r>
          </w:p>
          <w:p>
            <w:pPr>
              <w:pStyle w:val="TableContents"/>
              <w:bidi w:val="0"/>
              <w:spacing w:before="80" w:after="283"/>
              <w:jc w:val="center"/>
              <w:rPr>
                <w:rFonts w:ascii="Times New Roman" w:hAnsi="Times New Roman"/>
                <w:b/>
                <w:color w:val="000000"/>
                <w:sz w:val="17"/>
              </w:rPr>
            </w:pPr>
            <w:r>
              <w:rPr>
                <w:rFonts w:ascii="Times New Roman" w:hAnsi="Times New Roman"/>
                <w:b/>
                <w:color w:val="000000"/>
                <w:sz w:val="17"/>
              </w:rPr>
              <w:t>650 Madison Avenue, 23rd Floor</w:t>
            </w:r>
          </w:p>
          <w:p>
            <w:pPr>
              <w:pStyle w:val="TableContents"/>
              <w:bidi w:val="0"/>
              <w:jc w:val="center"/>
              <w:rPr>
                <w:rFonts w:ascii="Times New Roman" w:hAnsi="Times New Roman"/>
                <w:sz w:val="20"/>
              </w:rPr>
            </w:pPr>
            <w:r>
              <w:rPr>
                <w:rFonts w:ascii="Times New Roman" w:hAnsi="Times New Roman"/>
                <w:b/>
                <w:color w:val="000000"/>
                <w:sz w:val="17"/>
              </w:rPr>
              <w:t>New York, New York</w:t>
            </w:r>
            <w:r>
              <w:rPr>
                <w:rFonts w:ascii="Times New Roman" w:hAnsi="Times New Roman"/>
                <w:color w:val="000000"/>
                <w:sz w:val="20"/>
              </w:rPr>
              <w:t xml:space="preserve"> </w:t>
            </w:r>
            <w:r>
              <w:rPr>
                <w:rFonts w:ascii="Times New Roman" w:hAnsi="Times New Roman"/>
                <w:b/>
                <w:color w:val="000000"/>
                <w:sz w:val="17"/>
              </w:rPr>
              <w:t>10022</w:t>
            </w:r>
          </w:p>
          <w:p>
            <w:pPr>
              <w:pStyle w:val="TableContents"/>
              <w:bidi w:val="0"/>
              <w:jc w:val="center"/>
              <w:rPr>
                <w:rFonts w:ascii="Times New Roman" w:hAnsi="Times New Roman"/>
                <w:b/>
                <w:color w:val="000000"/>
                <w:sz w:val="17"/>
              </w:rPr>
            </w:pPr>
            <w:r>
              <w:rPr>
                <w:rFonts w:ascii="Times New Roman" w:hAnsi="Times New Roman"/>
                <w:b/>
                <w:color w:val="000000"/>
                <w:sz w:val="17"/>
              </w:rPr>
              <w:t>Telephone: (212) 891-2880</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State of Incorporation: Maryland</w:t>
            </w:r>
          </w:p>
        </w:tc>
        <w:tc>
          <w:tcPr>
            <w:tcW w:w="109" w:type="dxa"/>
            <w:tcBorders/>
            <w:vAlign w:val="center"/>
          </w:tcPr>
          <w:p>
            <w:pPr>
              <w:pStyle w:val="TableContents"/>
              <w:bidi w:val="0"/>
              <w:spacing w:before="0" w:after="283"/>
              <w:jc w:val="left"/>
              <w:rPr>
                <w:sz w:val="4"/>
                <w:szCs w:val="4"/>
              </w:rPr>
            </w:pPr>
            <w:r>
              <w:rPr>
                <w:sz w:val="4"/>
                <w:szCs w:val="4"/>
              </w:rPr>
            </w:r>
          </w:p>
        </w:tc>
        <w:tc>
          <w:tcPr>
            <w:tcW w:w="28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7"/>
              </w:rPr>
              <w:t>90-0945675</w:t>
            </w:r>
            <w:r>
              <w:rPr>
                <w:rFonts w:ascii="Times New Roman" w:hAnsi="Times New Roman"/>
                <w:color w:val="000000"/>
                <w:sz w:val="20"/>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17"/>
        </w:rPr>
        <w:t>Securities registered pursuant to Section 12(b) of the Act:</w:t>
      </w:r>
      <w:r>
        <w:rPr>
          <w:rFonts w:ascii="Times New Roman" w:hAnsi="Times New Roman"/>
          <w:color w:val="000000"/>
          <w:sz w:val="20"/>
        </w:rPr>
        <w:t xml:space="preserve"> </w:t>
      </w:r>
    </w:p>
    <w:tbl>
      <w:tblPr>
        <w:tblW w:w="8426" w:type="dxa"/>
        <w:jc w:val="left"/>
        <w:tblInd w:w="0" w:type="dxa"/>
        <w:tblLayout w:type="fixed"/>
        <w:tblCellMar>
          <w:top w:w="28" w:type="dxa"/>
          <w:left w:w="28" w:type="dxa"/>
          <w:bottom w:w="28" w:type="dxa"/>
          <w:right w:w="28" w:type="dxa"/>
        </w:tblCellMar>
      </w:tblPr>
      <w:tblGrid>
        <w:gridCol w:w="3226"/>
        <w:gridCol w:w="109"/>
        <w:gridCol w:w="1471"/>
        <w:gridCol w:w="109"/>
        <w:gridCol w:w="351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bottom w:w="50" w:type="dxa"/>
              <w:right w:w="0" w:type="dxa"/>
            </w:tcMar>
            <w:vAlign w:val="center"/>
          </w:tcPr>
          <w:p>
            <w:pPr>
              <w:pStyle w:val="TableContents"/>
              <w:bidi w:val="0"/>
              <w:spacing w:before="100" w:after="283"/>
              <w:jc w:val="center"/>
              <w:rPr>
                <w:rFonts w:ascii="Times New Roman" w:hAnsi="Times New Roman"/>
                <w:sz w:val="16"/>
              </w:rPr>
            </w:pPr>
            <w:r>
              <w:rPr>
                <w:rFonts w:ascii="Times New Roman" w:hAnsi="Times New Roman"/>
                <w:b/>
                <w:color w:val="000000"/>
                <w:sz w:val="16"/>
              </w:rPr>
              <w:t>Title of Each Class</w:t>
            </w:r>
            <w:r>
              <w:rPr>
                <w:rFonts w:ascii="Times New Roman" w:hAnsi="Times New Roman"/>
                <w:color w:val="000000"/>
                <w:sz w:val="16"/>
              </w:rPr>
              <w:t xml:space="preserve"> </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6" w:space="0" w:color="000000"/>
            </w:tcBorders>
            <w:tcMar>
              <w:top w:w="0" w:type="dxa"/>
              <w:left w:w="0" w:type="dxa"/>
              <w:bottom w:w="50" w:type="dxa"/>
              <w:right w:w="0" w:type="dxa"/>
            </w:tcMar>
            <w:vAlign w:val="center"/>
          </w:tcPr>
          <w:p>
            <w:pPr>
              <w:pStyle w:val="TableContents"/>
              <w:bidi w:val="0"/>
              <w:spacing w:before="100" w:after="283"/>
              <w:jc w:val="center"/>
              <w:rPr>
                <w:rFonts w:ascii="Times New Roman" w:hAnsi="Times New Roman"/>
                <w:sz w:val="16"/>
              </w:rPr>
            </w:pPr>
            <w:r>
              <w:rPr>
                <w:rFonts w:ascii="Times New Roman" w:hAnsi="Times New Roman"/>
                <w:b/>
                <w:color w:val="000000"/>
                <w:sz w:val="16"/>
              </w:rPr>
              <w:t>Trading symbol(s)</w:t>
            </w:r>
            <w:r>
              <w:rPr>
                <w:rFonts w:ascii="Times New Roman" w:hAnsi="Times New Roman"/>
                <w:color w:val="000000"/>
                <w:sz w:val="16"/>
              </w:rPr>
              <w:t xml:space="preserve"> </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1" w:type="dxa"/>
            <w:tcBorders>
              <w:bottom w:val="single" w:sz="6" w:space="0" w:color="000000"/>
            </w:tcBorders>
            <w:tcMar>
              <w:top w:w="0" w:type="dxa"/>
              <w:left w:w="0" w:type="dxa"/>
              <w:bottom w:w="50" w:type="dxa"/>
              <w:right w:w="0" w:type="dxa"/>
            </w:tcMar>
            <w:vAlign w:val="center"/>
          </w:tcPr>
          <w:p>
            <w:pPr>
              <w:pStyle w:val="TableContents"/>
              <w:bidi w:val="0"/>
              <w:spacing w:before="100" w:after="283"/>
              <w:jc w:val="center"/>
              <w:rPr>
                <w:rFonts w:ascii="Times New Roman" w:hAnsi="Times New Roman"/>
                <w:sz w:val="16"/>
              </w:rPr>
            </w:pPr>
            <w:r>
              <w:rPr>
                <w:rFonts w:ascii="Times New Roman" w:hAnsi="Times New Roman"/>
                <w:b/>
                <w:color w:val="000000"/>
                <w:sz w:val="16"/>
              </w:rPr>
              <w:t>Name of Each Exchange on Which Registered</w:t>
            </w:r>
            <w:r>
              <w:rPr>
                <w:rFonts w:ascii="Times New Roman" w:hAnsi="Times New Roman"/>
                <w:color w:val="000000"/>
                <w:sz w:val="16"/>
              </w:rPr>
              <w:t xml:space="preserve"> </w:t>
            </w:r>
          </w:p>
        </w:tc>
      </w:tr>
      <w:tr>
        <w:trPr/>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7"/>
              </w:rPr>
              <w:t>Common Stock, par value $0.01 per share</w:t>
            </w:r>
            <w:r>
              <w:rPr>
                <w:rFonts w:ascii="Times New Roman" w:hAnsi="Times New Roman"/>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7"/>
              </w:rPr>
              <w:t>LRFC</w:t>
            </w:r>
            <w:r>
              <w:rPr>
                <w:rFonts w:ascii="Times New Roman" w:hAnsi="Times New Roman"/>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 xml:space="preserve">NASDAQ Global Select Market </w:t>
            </w:r>
          </w:p>
        </w:tc>
      </w:tr>
    </w:tbl>
    <w:p>
      <w:pPr>
        <w:pStyle w:val="TextBody"/>
        <w:bidi w:val="0"/>
        <w:spacing w:before="120" w:after="283"/>
        <w:jc w:val="center"/>
        <w:rPr>
          <w:rFonts w:ascii="Times New Roman" w:hAnsi="Times New Roman"/>
          <w:sz w:val="20"/>
        </w:rPr>
      </w:pPr>
      <w:r>
        <w:rPr>
          <w:rFonts w:ascii="Times New Roman" w:hAnsi="Times New Roman"/>
          <w:b/>
          <w:color w:val="000000"/>
          <w:sz w:val="17"/>
        </w:rPr>
        <w:t>Securities registered pursuant to Section 12(g) of the Act: None</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w:t>
      </w:r>
      <w:r>
        <w:rPr>
          <w:rFonts w:ascii="Times New Roman" w:hAnsi="Times New Roman"/>
          <w:color w:val="000000"/>
          <w:sz w:val="20"/>
        </w:rPr>
        <w:t xml:space="preserve"> </w:t>
      </w:r>
    </w:p>
    <w:p>
      <w:pPr>
        <w:pStyle w:val="TextBody"/>
        <w:bidi w:val="0"/>
        <w:spacing w:before="60" w:after="283"/>
        <w:jc w:val="right"/>
        <w:rPr>
          <w:rFonts w:ascii="Times New Roman" w:hAnsi="Times New Roman"/>
          <w:sz w:val="20"/>
        </w:rPr>
      </w:pPr>
      <w:r>
        <w:rPr>
          <w:rFonts w:ascii="Times New Roman" w:hAnsi="Times New Roman"/>
          <w:color w:val="000000"/>
          <w:sz w:val="16"/>
        </w:rPr>
        <w:t>Yes ☐ No</w:t>
      </w:r>
      <w:r>
        <w:rPr>
          <w:rFonts w:ascii="Times New Roman" w:hAnsi="Times New Roman"/>
          <w:color w:val="000000"/>
          <w:sz w:val="20"/>
        </w:rPr>
        <w:t xml:space="preserve"> ☒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if the registrant is not required to file reports pursuant to Section 13 or Section 15(d) of the Act.</w:t>
      </w:r>
      <w:r>
        <w:rPr>
          <w:rFonts w:ascii="Times New Roman" w:hAnsi="Times New Roman"/>
          <w:color w:val="000000"/>
          <w:sz w:val="20"/>
        </w:rPr>
        <w:t xml:space="preserve"> </w:t>
      </w:r>
    </w:p>
    <w:p>
      <w:pPr>
        <w:pStyle w:val="TextBody"/>
        <w:bidi w:val="0"/>
        <w:spacing w:before="60" w:after="283"/>
        <w:jc w:val="right"/>
        <w:rPr>
          <w:rFonts w:ascii="Times New Roman" w:hAnsi="Times New Roman"/>
          <w:sz w:val="20"/>
        </w:rPr>
      </w:pPr>
      <w:r>
        <w:rPr>
          <w:rFonts w:ascii="Times New Roman" w:hAnsi="Times New Roman"/>
          <w:color w:val="000000"/>
          <w:sz w:val="16"/>
        </w:rPr>
        <w:t>Yes ☐ No</w:t>
      </w:r>
      <w:r>
        <w:rPr>
          <w:rFonts w:ascii="Times New Roman" w:hAnsi="Times New Roman"/>
          <w:color w:val="000000"/>
          <w:sz w:val="20"/>
        </w:rPr>
        <w:t xml:space="preserve"> ☒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p>
    <w:p>
      <w:pPr>
        <w:pStyle w:val="TextBody"/>
        <w:bidi w:val="0"/>
        <w:spacing w:before="60" w:after="283"/>
        <w:jc w:val="right"/>
        <w:rPr>
          <w:rFonts w:ascii="Times New Roman" w:hAnsi="Times New Roman"/>
          <w:sz w:val="20"/>
        </w:rPr>
      </w:pP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spacing w:before="60" w:after="283"/>
        <w:jc w:val="right"/>
        <w:rPr>
          <w:rFonts w:ascii="Times New Roman" w:hAnsi="Times New Roman"/>
          <w:sz w:val="20"/>
        </w:rPr>
      </w:pP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before="60" w:after="283"/>
        <w:jc w:val="both"/>
        <w:rPr/>
      </w:pPr>
      <w:r>
        <w:rPr/>
        <w:t> </w:t>
      </w:r>
    </w:p>
    <w:tbl>
      <w:tblPr>
        <w:tblW w:w="4574" w:type="dxa"/>
        <w:jc w:val="left"/>
        <w:tblInd w:w="0" w:type="dxa"/>
        <w:tblLayout w:type="fixed"/>
        <w:tblCellMar>
          <w:top w:w="28" w:type="dxa"/>
          <w:left w:w="28" w:type="dxa"/>
          <w:bottom w:w="28" w:type="dxa"/>
          <w:right w:w="28" w:type="dxa"/>
        </w:tblCellMar>
      </w:tblPr>
      <w:tblGrid>
        <w:gridCol w:w="1906"/>
        <w:gridCol w:w="109"/>
        <w:gridCol w:w="109"/>
        <w:gridCol w:w="2296"/>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Large accelerated filer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Accelerated filer ☐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Non-accelerated filer</w:t>
            </w:r>
            <w:r>
              <w:rPr>
                <w:rFonts w:ascii="Times New Roman" w:hAnsi="Times New Roman"/>
                <w:color w:val="000000"/>
                <w:sz w:val="20"/>
              </w:rPr>
              <w:t xml:space="preserve">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 xml:space="preserve">Smaller reporting company </w:t>
            </w:r>
            <w:r>
              <w:rPr>
                <w:rFonts w:ascii="Times New Roman" w:hAnsi="Times New Roman"/>
                <w:color w:val="000000"/>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 xml:space="preserve">Emerging growth company </w:t>
            </w:r>
            <w:r>
              <w:rPr>
                <w:rFonts w:ascii="Times New Roman" w:hAnsi="Times New Roman"/>
                <w:color w:val="000000"/>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rFonts w:ascii="Times New Roman" w:hAnsi="Times New Roman"/>
          <w:sz w:val="20"/>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Indicate by check mark whether the registrant is a shell company (as defined in Rule 12b-2 of the Act).</w:t>
      </w:r>
      <w:r>
        <w:rPr>
          <w:rFonts w:ascii="Times New Roman" w:hAnsi="Times New Roman"/>
          <w:color w:val="000000"/>
          <w:sz w:val="20"/>
        </w:rPr>
        <w:t xml:space="preserve"> </w:t>
      </w:r>
    </w:p>
    <w:p>
      <w:pPr>
        <w:pStyle w:val="TextBody"/>
        <w:bidi w:val="0"/>
        <w:spacing w:before="60" w:after="283"/>
        <w:jc w:val="right"/>
        <w:rPr>
          <w:rFonts w:ascii="Times New Roman" w:hAnsi="Times New Roman"/>
          <w:sz w:val="20"/>
        </w:rPr>
      </w:pPr>
      <w:r>
        <w:rPr>
          <w:rFonts w:ascii="Times New Roman" w:hAnsi="Times New Roman"/>
          <w:color w:val="000000"/>
          <w:sz w:val="16"/>
        </w:rPr>
        <w:t xml:space="preserve">Yes ☐ No </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sz w:val="20"/>
        </w:rPr>
      </w:pPr>
      <w:r>
        <w:rPr>
          <w:rFonts w:ascii="Times New Roman" w:hAnsi="Times New Roman"/>
          <w:color w:val="000000"/>
          <w:sz w:val="17"/>
        </w:rPr>
        <w:t>The aggregate market value of the registrant’s common stock held by non-affiliates of the registrant was $55.4</w:t>
      </w:r>
      <w:r>
        <w:rPr>
          <w:rFonts w:ascii="Times New Roman" w:hAnsi="Times New Roman"/>
          <w:color w:val="000000"/>
          <w:sz w:val="20"/>
        </w:rPr>
        <w:t xml:space="preserve"> </w:t>
      </w:r>
      <w:r>
        <w:rPr>
          <w:rFonts w:ascii="Times New Roman" w:hAnsi="Times New Roman"/>
          <w:color w:val="000000"/>
          <w:sz w:val="17"/>
        </w:rPr>
        <w:t>million based on the number of shares held by non-affiliates of the registrant as of June 30, 2023, which was the last business day of the registrant’s most recently completed second fiscal quarter. For the purposes of calculating this amount only, all directors and executive officers of the registrant have been treated as affiliates.</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17"/>
        </w:rPr>
      </w:pPr>
      <w:r>
        <w:rPr>
          <w:rFonts w:ascii="Times New Roman" w:hAnsi="Times New Roman"/>
          <w:color w:val="000000"/>
          <w:sz w:val="17"/>
        </w:rPr>
        <w:t>The number of shares of Logan Ridge Finance Corporation’s common stock, $0.01 par value, outstanding as of March 19, 2024 was 2,678,155.</w:t>
      </w:r>
    </w:p>
    <w:p>
      <w:pPr>
        <w:pStyle w:val="TextBody"/>
        <w:bidi w:val="0"/>
        <w:jc w:val="center"/>
        <w:rPr/>
      </w:pPr>
      <w:r>
        <w:rPr/>
        <w:t> </w:t>
      </w:r>
    </w:p>
    <w:p>
      <w:pPr>
        <w:pStyle w:val="TextBody"/>
        <w:bidi w:val="0"/>
        <w:jc w:val="center"/>
        <w:rPr>
          <w:rFonts w:ascii="Times New Roman" w:hAnsi="Times New Roman"/>
          <w:b/>
          <w:color w:val="231F20"/>
          <w:sz w:val="17"/>
        </w:rPr>
      </w:pPr>
      <w:r>
        <w:rPr>
          <w:rFonts w:ascii="Times New Roman" w:hAnsi="Times New Roman"/>
          <w:b/>
          <w:color w:val="231F20"/>
          <w:sz w:val="17"/>
        </w:rPr>
        <w:t>DOCUMENTS INCORPORATED BY REFERENCE</w:t>
      </w:r>
    </w:p>
    <w:p>
      <w:pPr>
        <w:pStyle w:val="TextBody"/>
        <w:bidi w:val="0"/>
        <w:spacing w:before="60" w:after="283"/>
        <w:jc w:val="left"/>
        <w:rPr>
          <w:rFonts w:ascii="Times New Roman" w:hAnsi="Times New Roman"/>
          <w:color w:val="231F20"/>
          <w:sz w:val="17"/>
        </w:rPr>
      </w:pPr>
      <w:r>
        <w:rPr>
          <w:rFonts w:ascii="Times New Roman" w:hAnsi="Times New Roman"/>
          <w:color w:val="231F20"/>
          <w:sz w:val="17"/>
        </w:rPr>
        <w:t>Portions of the Registrant’s Proxy Statement for the Annual Meeting of Stockholders to be held in 2024 are incorporated by reference in Part III of this Form 10-K.</w:t>
      </w:r>
    </w:p>
    <w:p>
      <w:pPr>
        <w:pStyle w:val="TextBody"/>
        <w:pBdr>
          <w:top w:val="single" w:sz="8" w:space="1" w:color="000000"/>
          <w:bottom w:val="single" w:sz="18"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0"/>
        <w:gridCol w:w="146"/>
        <w:gridCol w:w="7727"/>
        <w:gridCol w:w="1342"/>
      </w:tblGrid>
      <w:tr>
        <w:trPr/>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99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PART I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center"/>
              <w:rPr/>
            </w:pPr>
            <w:r>
              <w:rPr/>
              <w:t>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_business">
              <w:r>
                <w:rPr>
                  <w:rStyle w:val="InternetLink"/>
                  <w:rFonts w:ascii="Times New Roman" w:hAnsi="Times New Roman"/>
                  <w:color w:val="0000FF"/>
                  <w:sz w:val="16"/>
                  <w:u w:val="single"/>
                </w:rPr>
                <w:t>Item 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16"/>
                  <w:u w:val="single"/>
                </w:rPr>
                <w:t>Business</w:t>
              </w:r>
            </w:hyperlink>
            <w:r>
              <w:rPr>
                <w:rFonts w:ascii="Times New Roman" w:hAnsi="Times New Roman"/>
                <w:color w:val="000000"/>
                <w:sz w:val="16"/>
              </w:rPr>
              <w:t xml:space="preserve"> </w:t>
            </w:r>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2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a_risk_factors">
              <w:r>
                <w:rPr>
                  <w:rStyle w:val="InternetLink"/>
                  <w:rFonts w:ascii="Times New Roman" w:hAnsi="Times New Roman"/>
                  <w:color w:val="0000FF"/>
                  <w:sz w:val="16"/>
                  <w:u w:val="single"/>
                </w:rPr>
                <w:t>Item 1A.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16"/>
                  <w:u w:val="single"/>
                </w:rPr>
                <w:t>Risk Factors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22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_1b_unresolved_staff_comments">
              <w:r>
                <w:rPr>
                  <w:rStyle w:val="InternetLink"/>
                  <w:rFonts w:ascii="Times New Roman" w:hAnsi="Times New Roman"/>
                  <w:color w:val="0000FF"/>
                  <w:sz w:val="16"/>
                  <w:u w:val="single"/>
                </w:rPr>
                <w:t>Item 1B.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6"/>
                  <w:u w:val="single"/>
                </w:rPr>
                <w:t>Unresolved Staff Comments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46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_1c_cybersecurity">
              <w:r>
                <w:rPr>
                  <w:rStyle w:val="InternetLink"/>
                  <w:rFonts w:ascii="Times New Roman" w:hAnsi="Times New Roman"/>
                  <w:color w:val="0000FF"/>
                  <w:sz w:val="16"/>
                  <w:u w:val="single"/>
                </w:rPr>
                <w:t>Item 1C.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16"/>
                  <w:u w:val="single"/>
                </w:rPr>
                <w:t>Cybersecurity</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46</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_2_properties">
              <w:r>
                <w:rPr>
                  <w:rStyle w:val="InternetLink"/>
                  <w:rFonts w:ascii="Times New Roman" w:hAnsi="Times New Roman"/>
                  <w:color w:val="0000FF"/>
                  <w:sz w:val="16"/>
                  <w:u w:val="single"/>
                </w:rPr>
                <w:t>Item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6"/>
                  <w:u w:val="single"/>
                </w:rPr>
                <w:t>Properties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47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_3_legal_proceedings">
              <w:r>
                <w:rPr>
                  <w:rStyle w:val="InternetLink"/>
                  <w:rFonts w:ascii="Times New Roman" w:hAnsi="Times New Roman"/>
                  <w:color w:val="0000FF"/>
                  <w:sz w:val="16"/>
                  <w:u w:val="single"/>
                </w:rPr>
                <w:t>Item 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6"/>
                  <w:u w:val="single"/>
                </w:rPr>
                <w:t>Legal Proceedings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47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4_mine_safety_disclosures">
              <w:r>
                <w:rPr>
                  <w:rStyle w:val="InternetLink"/>
                  <w:rFonts w:ascii="Times New Roman" w:hAnsi="Times New Roman"/>
                  <w:color w:val="0000FF"/>
                  <w:sz w:val="16"/>
                  <w:u w:val="single"/>
                </w:rPr>
                <w:t>Item 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16"/>
                  <w:u w:val="single"/>
                </w:rPr>
                <w:t>Mine Safety Disclosures</w:t>
              </w:r>
            </w:hyperlink>
          </w:p>
        </w:tc>
        <w:tc>
          <w:tcPr>
            <w:tcW w:w="13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47 </w:t>
            </w:r>
          </w:p>
        </w:tc>
      </w:tr>
      <w:tr>
        <w:trPr/>
        <w:tc>
          <w:tcPr>
            <w:tcW w:w="9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0" w:after="283"/>
              <w:ind w:left="0" w:right="0" w:firstLine="1210"/>
              <w:jc w:val="left"/>
              <w:rPr>
                <w:sz w:val="4"/>
                <w:szCs w:val="4"/>
              </w:rPr>
            </w:pPr>
            <w:r>
              <w:rPr>
                <w:sz w:val="4"/>
                <w:szCs w:val="4"/>
              </w:rPr>
            </w:r>
          </w:p>
        </w:tc>
      </w:tr>
      <w:tr>
        <w:trPr/>
        <w:tc>
          <w:tcPr>
            <w:tcW w:w="990" w:type="dxa"/>
            <w:tcBorders/>
            <w:tcMar>
              <w:top w:w="0" w:type="dxa"/>
              <w:left w:w="0" w:type="dxa"/>
              <w:bottom w:w="0" w:type="dxa"/>
              <w:right w:w="0" w:type="dxa"/>
            </w:tcMar>
            <w:vAlign w:val="center"/>
          </w:tcPr>
          <w:p>
            <w:pPr>
              <w:pStyle w:val="TableContents"/>
              <w:pBdr/>
              <w:bidi w:val="0"/>
              <w:spacing w:before="0" w:after="283"/>
              <w:ind w:left="265" w:right="0" w:hanging="945"/>
              <w:jc w:val="left"/>
              <w:rPr/>
            </w:pPr>
            <w:hyperlink w:anchor="item5_market_for_registrant_common">
              <w:r>
                <w:rPr>
                  <w:rStyle w:val="InternetLink"/>
                  <w:rFonts w:ascii="Times New Roman" w:hAnsi="Times New Roman"/>
                  <w:color w:val="0000FF"/>
                  <w:sz w:val="16"/>
                  <w:u w:val="single"/>
                </w:rPr>
                <w:t>Item 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5_market_for_registrant_common">
              <w:r>
                <w:rPr>
                  <w:rStyle w:val="InternetLink"/>
                  <w:rFonts w:ascii="Times New Roman" w:hAnsi="Times New Roman"/>
                  <w:color w:val="0000FF"/>
                  <w:sz w:val="16"/>
                  <w:u w:val="single"/>
                </w:rPr>
                <w:t>Market for Registrant’s Common Equity, Related Stockholder Matters and Issuer Purchases of Equity Securities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48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6_selected_consolidated_financial">
              <w:r>
                <w:rPr>
                  <w:rStyle w:val="InternetLink"/>
                  <w:rFonts w:ascii="Times New Roman" w:hAnsi="Times New Roman"/>
                  <w:color w:val="0000FF"/>
                  <w:sz w:val="16"/>
                  <w:u w:val="single"/>
                </w:rPr>
                <w:t>Item 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6_selected_consolidated_financial">
              <w:r>
                <w:rPr>
                  <w:rStyle w:val="InternetLink"/>
                  <w:rFonts w:ascii="Times New Roman" w:hAnsi="Times New Roman"/>
                  <w:color w:val="0000FF"/>
                  <w:sz w:val="16"/>
                  <w:u w:val="single"/>
                </w:rPr>
                <w:t>[Reserved]</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51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7_management_discussion_and_analysis">
              <w:r>
                <w:rPr>
                  <w:rStyle w:val="InternetLink"/>
                  <w:rFonts w:ascii="Times New Roman" w:hAnsi="Times New Roman"/>
                  <w:color w:val="0000FF"/>
                  <w:sz w:val="16"/>
                  <w:u w:val="single"/>
                </w:rPr>
                <w:t>Item 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7_management_discussion_and_analysis">
              <w:r>
                <w:rPr>
                  <w:rStyle w:val="InternetLink"/>
                  <w:rFonts w:ascii="Times New Roman" w:hAnsi="Times New Roman"/>
                  <w:color w:val="0000FF"/>
                  <w:sz w:val="16"/>
                  <w:u w:val="single"/>
                </w:rPr>
                <w:t>Management’s Discussion and Analysis of Financial Condition and Results of Operations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52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7a_quantitative_and_qualitative_dis">
              <w:r>
                <w:rPr>
                  <w:rStyle w:val="InternetLink"/>
                  <w:rFonts w:ascii="Times New Roman" w:hAnsi="Times New Roman"/>
                  <w:color w:val="0000FF"/>
                  <w:sz w:val="16"/>
                  <w:u w:val="single"/>
                </w:rPr>
                <w:t>Item 7A.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7a_quantitative_and_qualitative_dis">
              <w:r>
                <w:rPr>
                  <w:rStyle w:val="InternetLink"/>
                  <w:rFonts w:ascii="Times New Roman" w:hAnsi="Times New Roman"/>
                  <w:color w:val="0000FF"/>
                  <w:sz w:val="16"/>
                  <w:u w:val="single"/>
                </w:rPr>
                <w:t>Quantitative and Qualitative Disclosures about Market Risk</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64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8_consolidated_financial_stmt_sd">
              <w:r>
                <w:rPr>
                  <w:rStyle w:val="InternetLink"/>
                  <w:rFonts w:ascii="Times New Roman" w:hAnsi="Times New Roman"/>
                  <w:color w:val="0000FF"/>
                  <w:sz w:val="16"/>
                  <w:u w:val="single"/>
                </w:rPr>
                <w:t>Item 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8_consolidated_financial_stmt_sd">
              <w:r>
                <w:rPr>
                  <w:rStyle w:val="InternetLink"/>
                  <w:rFonts w:ascii="Times New Roman" w:hAnsi="Times New Roman"/>
                  <w:color w:val="0000FF"/>
                  <w:sz w:val="16"/>
                  <w:u w:val="single"/>
                </w:rPr>
                <w:t>Consolidated Financial Statements and Supplementary Data</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F-1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9_changes_in_and_disagreements_with">
              <w:r>
                <w:rPr>
                  <w:rStyle w:val="InternetLink"/>
                  <w:rFonts w:ascii="Times New Roman" w:hAnsi="Times New Roman"/>
                  <w:color w:val="0000FF"/>
                  <w:sz w:val="16"/>
                  <w:u w:val="single"/>
                </w:rPr>
                <w:t>Item 9.</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9_changes_in_and_disagreements_with">
              <w:r>
                <w:rPr>
                  <w:rStyle w:val="InternetLink"/>
                  <w:rFonts w:ascii="Times New Roman" w:hAnsi="Times New Roman"/>
                  <w:color w:val="0000FF"/>
                  <w:sz w:val="16"/>
                  <w:u w:val="single"/>
                </w:rPr>
                <w:t>Changes in and Disagreements with Accountants on Accounting and Financial Disclosure</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66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9a_controls_and_procedures">
              <w:r>
                <w:rPr>
                  <w:rStyle w:val="InternetLink"/>
                  <w:rFonts w:ascii="Times New Roman" w:hAnsi="Times New Roman"/>
                  <w:color w:val="0000FF"/>
                  <w:sz w:val="16"/>
                  <w:u w:val="single"/>
                </w:rPr>
                <w:t>Item 9A.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9a_controls_and_procedures">
              <w:r>
                <w:rPr>
                  <w:rStyle w:val="InternetLink"/>
                  <w:rFonts w:ascii="Times New Roman" w:hAnsi="Times New Roman"/>
                  <w:color w:val="0000FF"/>
                  <w:sz w:val="16"/>
                  <w:u w:val="single"/>
                </w:rPr>
                <w:t>Controls and Procedures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66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9b_other_information">
              <w:r>
                <w:rPr>
                  <w:rStyle w:val="InternetLink"/>
                  <w:rFonts w:ascii="Times New Roman" w:hAnsi="Times New Roman"/>
                  <w:color w:val="0000FF"/>
                  <w:sz w:val="16"/>
                  <w:u w:val="single"/>
                </w:rPr>
                <w:t>Item 9B.</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9b_other_information">
              <w:r>
                <w:rPr>
                  <w:rStyle w:val="InternetLink"/>
                  <w:rFonts w:ascii="Times New Roman" w:hAnsi="Times New Roman"/>
                  <w:color w:val="0000FF"/>
                  <w:sz w:val="16"/>
                  <w:u w:val="single"/>
                </w:rPr>
                <w:t>Other Information</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67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9c_disclosure_regarding">
              <w:r>
                <w:rPr>
                  <w:rStyle w:val="InternetLink"/>
                  <w:rFonts w:ascii="Times New Roman" w:hAnsi="Times New Roman"/>
                  <w:color w:val="0000FF"/>
                  <w:sz w:val="16"/>
                  <w:u w:val="single"/>
                </w:rPr>
                <w:t>Item 9C.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9c_disclosure_regarding">
              <w:r>
                <w:rPr>
                  <w:rStyle w:val="InternetLink"/>
                  <w:rFonts w:ascii="Times New Roman" w:hAnsi="Times New Roman"/>
                  <w:color w:val="0000FF"/>
                  <w:sz w:val="16"/>
                  <w:u w:val="single"/>
                </w:rPr>
                <w:t>Disclosure Regarding Foreign Jurisdictions that Prevent Inspections</w:t>
              </w:r>
            </w:hyperlink>
          </w:p>
        </w:tc>
        <w:tc>
          <w:tcPr>
            <w:tcW w:w="13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67 </w:t>
            </w:r>
          </w:p>
        </w:tc>
      </w:tr>
      <w:tr>
        <w:trPr/>
        <w:tc>
          <w:tcPr>
            <w:tcW w:w="9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 III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0_directors_executive_officers_and">
              <w:r>
                <w:rPr>
                  <w:rStyle w:val="InternetLink"/>
                  <w:rFonts w:ascii="Times New Roman" w:hAnsi="Times New Roman"/>
                  <w:color w:val="0000FF"/>
                  <w:sz w:val="16"/>
                  <w:u w:val="single"/>
                </w:rPr>
                <w:t>Item 10.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0_directors_executive_officers_and">
              <w:r>
                <w:rPr>
                  <w:rStyle w:val="InternetLink"/>
                  <w:rFonts w:ascii="Times New Roman" w:hAnsi="Times New Roman"/>
                  <w:color w:val="0000FF"/>
                  <w:sz w:val="16"/>
                  <w:u w:val="single"/>
                </w:rPr>
                <w:t>Directors, Executive Officers and Corporate Governance</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68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1_executive_compensation">
              <w:r>
                <w:rPr>
                  <w:rStyle w:val="InternetLink"/>
                  <w:rFonts w:ascii="Times New Roman" w:hAnsi="Times New Roman"/>
                  <w:color w:val="0000FF"/>
                  <w:sz w:val="16"/>
                  <w:u w:val="single"/>
                </w:rPr>
                <w:t>Item 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1_executive_compensation">
              <w:r>
                <w:rPr>
                  <w:rStyle w:val="InternetLink"/>
                  <w:rFonts w:ascii="Times New Roman" w:hAnsi="Times New Roman"/>
                  <w:color w:val="0000FF"/>
                  <w:sz w:val="16"/>
                  <w:u w:val="single"/>
                </w:rPr>
                <w:t>Executive Compensation</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68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2_security_ownership_of_certain_ben">
              <w:r>
                <w:rPr>
                  <w:rStyle w:val="InternetLink"/>
                  <w:rFonts w:ascii="Times New Roman" w:hAnsi="Times New Roman"/>
                  <w:color w:val="0000FF"/>
                  <w:sz w:val="16"/>
                  <w:u w:val="single"/>
                </w:rPr>
                <w:t>Item 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2_security_ownership_of_certain_ben">
              <w:r>
                <w:rPr>
                  <w:rStyle w:val="InternetLink"/>
                  <w:rFonts w:ascii="Times New Roman" w:hAnsi="Times New Roman"/>
                  <w:color w:val="0000FF"/>
                  <w:sz w:val="16"/>
                  <w:u w:val="single"/>
                </w:rPr>
                <w:t>Security Ownership of Certain Beneficial Owners and Management and Related Stockholder Matters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68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3_certain_relationships_and_related">
              <w:r>
                <w:rPr>
                  <w:rStyle w:val="InternetLink"/>
                  <w:rFonts w:ascii="Times New Roman" w:hAnsi="Times New Roman"/>
                  <w:color w:val="0000FF"/>
                  <w:sz w:val="16"/>
                  <w:u w:val="single"/>
                </w:rPr>
                <w:t>Item 13.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3_certain_relationships_and_related">
              <w:r>
                <w:rPr>
                  <w:rStyle w:val="InternetLink"/>
                  <w:rFonts w:ascii="Times New Roman" w:hAnsi="Times New Roman"/>
                  <w:color w:val="0000FF"/>
                  <w:sz w:val="16"/>
                  <w:u w:val="single"/>
                </w:rPr>
                <w:t>Certain Relationships and Related Transactions, and Director Independence</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68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4_principal_accountant_fees_and_ser">
              <w:r>
                <w:rPr>
                  <w:rStyle w:val="InternetLink"/>
                  <w:rFonts w:ascii="Times New Roman" w:hAnsi="Times New Roman"/>
                  <w:color w:val="0000FF"/>
                  <w:sz w:val="16"/>
                  <w:u w:val="single"/>
                </w:rPr>
                <w:t>Item 14.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4_principal_accountant_fees_and_ser">
              <w:r>
                <w:rPr>
                  <w:rStyle w:val="InternetLink"/>
                  <w:rFonts w:ascii="Times New Roman" w:hAnsi="Times New Roman"/>
                  <w:color w:val="0000FF"/>
                  <w:sz w:val="16"/>
                  <w:u w:val="single"/>
                </w:rPr>
                <w:t>Principal Accountant Fees and Services</w:t>
              </w:r>
            </w:hyperlink>
          </w:p>
        </w:tc>
        <w:tc>
          <w:tcPr>
            <w:tcW w:w="13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68 </w:t>
            </w:r>
          </w:p>
        </w:tc>
      </w:tr>
      <w:tr>
        <w:trPr/>
        <w:tc>
          <w:tcPr>
            <w:tcW w:w="9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 IV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5_exhibits_and_consolidated_financ">
              <w:r>
                <w:rPr>
                  <w:rStyle w:val="InternetLink"/>
                  <w:rFonts w:ascii="Times New Roman" w:hAnsi="Times New Roman"/>
                  <w:color w:val="0000FF"/>
                  <w:sz w:val="16"/>
                  <w:u w:val="single"/>
                </w:rPr>
                <w:t>Item 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5_exhibits_and_consolidated_financ">
              <w:r>
                <w:rPr>
                  <w:rStyle w:val="InternetLink"/>
                  <w:rFonts w:ascii="Times New Roman" w:hAnsi="Times New Roman"/>
                  <w:color w:val="0000FF"/>
                  <w:sz w:val="16"/>
                  <w:u w:val="single"/>
                </w:rPr>
                <w:t>Exhibits and Consolidated Financial Statement Schedules</w:t>
              </w:r>
            </w:hyperlink>
          </w:p>
        </w:tc>
        <w:tc>
          <w:tcPr>
            <w:tcW w:w="1342" w:type="dxa"/>
            <w:tcBorders/>
            <w:tcMar>
              <w:top w:w="0" w:type="dxa"/>
              <w:left w:w="0" w:type="dxa"/>
              <w:bottom w:w="0" w:type="dxa"/>
              <w:right w:w="0" w:type="dxa"/>
            </w:tcMar>
            <w:vAlign w:val="center"/>
          </w:tcPr>
          <w:p>
            <w:pPr>
              <w:pStyle w:val="TableContents"/>
              <w:bidi w:val="0"/>
              <w:spacing w:before="0" w:after="283"/>
              <w:ind w:left="0" w:right="0" w:firstLine="259"/>
              <w:jc w:val="right"/>
              <w:rPr>
                <w:rFonts w:ascii="Times New Roman" w:hAnsi="Times New Roman"/>
                <w:color w:val="000000"/>
                <w:sz w:val="16"/>
              </w:rPr>
            </w:pPr>
            <w:r>
              <w:rPr>
                <w:rFonts w:ascii="Times New Roman" w:hAnsi="Times New Roman"/>
                <w:color w:val="000000"/>
                <w:sz w:val="16"/>
              </w:rPr>
              <w:t xml:space="preserve">69 </w:t>
            </w:r>
          </w:p>
        </w:tc>
      </w:tr>
      <w:tr>
        <w:trPr/>
        <w:tc>
          <w:tcPr>
            <w:tcW w:w="990" w:type="dxa"/>
            <w:tcBorders/>
            <w:tcMar>
              <w:top w:w="0" w:type="dxa"/>
              <w:left w:w="0" w:type="dxa"/>
              <w:bottom w:w="0" w:type="dxa"/>
              <w:right w:w="0" w:type="dxa"/>
            </w:tcMar>
            <w:vAlign w:val="center"/>
          </w:tcPr>
          <w:p>
            <w:pPr>
              <w:pStyle w:val="TableContents"/>
              <w:bidi w:val="0"/>
              <w:spacing w:before="0" w:after="283"/>
              <w:ind w:left="259" w:right="0" w:firstLine="259"/>
              <w:jc w:val="left"/>
              <w:rPr/>
            </w:pPr>
            <w:hyperlink w:anchor="item16_form_10k_summary">
              <w:r>
                <w:rPr>
                  <w:rStyle w:val="InternetLink"/>
                  <w:rFonts w:ascii="Times New Roman" w:hAnsi="Times New Roman"/>
                  <w:color w:val="0000FF"/>
                  <w:sz w:val="16"/>
                  <w:u w:val="single"/>
                </w:rPr>
                <w:t>Item 16.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27" w:type="dxa"/>
            <w:tcBorders/>
            <w:tcMar>
              <w:top w:w="0" w:type="dxa"/>
              <w:left w:w="0" w:type="dxa"/>
              <w:bottom w:w="0" w:type="dxa"/>
              <w:right w:w="0" w:type="dxa"/>
            </w:tcMar>
            <w:vAlign w:val="center"/>
          </w:tcPr>
          <w:p>
            <w:pPr>
              <w:pStyle w:val="TableContents"/>
              <w:bidi w:val="0"/>
              <w:spacing w:before="0" w:after="283"/>
              <w:jc w:val="left"/>
              <w:rPr/>
            </w:pPr>
            <w:hyperlink w:anchor="item16_form_10k_summary">
              <w:r>
                <w:rPr>
                  <w:rStyle w:val="InternetLink"/>
                  <w:rFonts w:ascii="Times New Roman" w:hAnsi="Times New Roman"/>
                  <w:color w:val="0000FF"/>
                  <w:sz w:val="16"/>
                  <w:u w:val="single"/>
                </w:rPr>
                <w:t>Form 10-K Summary</w:t>
              </w:r>
            </w:hyperlink>
          </w:p>
        </w:tc>
        <w:tc>
          <w:tcPr>
            <w:tcW w:w="13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71 </w:t>
            </w:r>
          </w:p>
        </w:tc>
      </w:tr>
      <w:tr>
        <w:trPr/>
        <w:tc>
          <w:tcPr>
            <w:tcW w:w="886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6"/>
                  <w:u w:val="single"/>
                </w:rPr>
                <w:t>Signatures</w:t>
              </w:r>
            </w:hyperlink>
          </w:p>
        </w:tc>
        <w:tc>
          <w:tcPr>
            <w:tcW w:w="13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72 </w:t>
            </w:r>
          </w:p>
        </w:tc>
      </w:tr>
    </w:tbl>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color w:val="000000"/>
          <w:sz w:val="16"/>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Some of the statements in this Annual Report on Form 10-K constitute forward-looking statements, which relate to future events or our performance or financial condition. The forward-looking statements contained in our Annual Report on Form 10-K involve risks and uncertainties, including statements as to: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our future operating results;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our business prospects and the prospects of our portfolio companies, including our and their ability to achieve our respective objectives;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the impact of investments that we expect to make;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our contractual arrangements and relationships with third parties;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the dependence of our future success on the general economy and its impact on the industries in which we invest;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our expected financings and investments;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the adequacy of our cash resources and working capital; and</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the timing of cash flows, if any, from the operations of our portfolio companies.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an economic downturn could impair our portfolio companies’ ability to continue to operate or repay their borrowings, which could lead to the loss of some or all of our investments in such portfolio companies;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a contraction of available credit and/or an inability to access the equity markets could impair our lending and investment activities;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geopolitical instability and volatility in the global markets caused by events such as the deterioration in the bilateral relationship between the U.S. and China, the military conflict between Russia and Ukraine, and the military conflict between Israel and Hamas;</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uncertain effects due to the discontinuation of LIBOR and due to the transition to SOFR;</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interest rate volatility could adversely affect our results, particularly if we use leverage as part of our investment strategy; and</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ymbol;serif" w:hAnsi="Symbol;serif"/>
          <w:color w:val="000000"/>
          <w:sz w:val="16"/>
        </w:rPr>
        <w:t>·</w:t>
      </w:r>
      <w:r>
        <w:rPr>
          <w:rFonts w:ascii="Times New Roman" w:hAnsi="Times New Roman"/>
          <w:color w:val="000000"/>
          <w:sz w:val="20"/>
        </w:rPr>
        <w:t xml:space="preserve"> </w:t>
      </w:r>
      <w:r>
        <w:rPr>
          <w:rFonts w:ascii="Times New Roman" w:hAnsi="Times New Roman"/>
          <w:color w:val="000000"/>
          <w:sz w:val="16"/>
        </w:rPr>
        <w:t>the risks, uncertainties and other factors we identify in “Risk Factors” and elsewhere in this Annual Report on Form 10-K.</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2" w:name="part_i"/>
      <w:bookmarkEnd w:id="2"/>
      <w:r>
        <w:rPr>
          <w:rFonts w:ascii="Times New Roman" w:hAnsi="Times New Roman"/>
          <w:b/>
          <w:color w:val="000000"/>
          <w:sz w:val="16"/>
        </w:rPr>
        <w:t>PART I</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In this Annual Report on Form 10-K, except as otherwise indicated, the terms:</w:t>
      </w:r>
      <w:r>
        <w:rPr>
          <w:rFonts w:ascii="Times New Roman" w:hAnsi="Times New Roman"/>
          <w:color w:val="000000"/>
          <w:sz w:val="20"/>
        </w:rPr>
        <w:t xml:space="preserve"> </w:t>
      </w:r>
    </w:p>
    <w:p>
      <w:pPr>
        <w:pStyle w:val="TextBody"/>
        <w:bidi w:val="0"/>
        <w:spacing w:before="160" w:after="283"/>
        <w:jc w:val="both"/>
        <w:rPr>
          <w:color w:val="000000"/>
        </w:rPr>
      </w:pPr>
      <w:r>
        <w:rPr>
          <w:color w:val="000000"/>
        </w:rPr>
        <w:t>•</w:t>
      </w:r>
    </w:p>
    <w:p>
      <w:pPr>
        <w:pStyle w:val="TextBody"/>
        <w:bidi w:val="0"/>
        <w:spacing w:before="160" w:after="283"/>
        <w:jc w:val="both"/>
        <w:rPr>
          <w:color w:val="000000"/>
        </w:rPr>
      </w:pPr>
      <w:r>
        <w:rPr>
          <w:color w:val="000000"/>
        </w:rPr>
        <w:t>“</w:t>
      </w:r>
      <w:r>
        <w:rPr>
          <w:rFonts w:ascii="Times New Roman" w:hAnsi="Times New Roman"/>
          <w:i/>
          <w:color w:val="000000"/>
          <w:sz w:val="16"/>
        </w:rPr>
        <w:t xml:space="preserve">we,” “us,” “our,” “Logan Ridge” and the “Company” refer to Logan Ridge Finance Corporation, together with its consolidated subsidiaries;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 xml:space="preserve">The “Investment Adviser”, "Adviser" and “Mount Logan” refer to Mount Logan Management LLC, our investment adviser;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16"/>
        </w:rPr>
        <w:t>The “Administrator” refers to BC Partners Management LLC, our administrator and an affiliate of BC Partners.</w:t>
      </w:r>
      <w:r>
        <w:rPr>
          <w:color w:val="000000"/>
        </w:rPr>
        <w:t xml:space="preserve"> </w:t>
      </w:r>
    </w:p>
    <w:p>
      <w:pPr>
        <w:pStyle w:val="TextBody"/>
        <w:bidi w:val="0"/>
        <w:spacing w:before="240" w:after="283"/>
        <w:jc w:val="left"/>
        <w:rPr>
          <w:rFonts w:ascii="Times New Roman" w:hAnsi="Times New Roman"/>
          <w:sz w:val="20"/>
        </w:rPr>
      </w:pPr>
      <w:bookmarkStart w:id="3" w:name="item1_business"/>
      <w:bookmarkEnd w:id="3"/>
      <w:r>
        <w:rPr>
          <w:rFonts w:ascii="Times New Roman" w:hAnsi="Times New Roman"/>
          <w:b/>
          <w:color w:val="000000"/>
          <w:sz w:val="16"/>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FORMATION OF OUR COMPANY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We are managed by </w:t>
      </w:r>
      <w:r>
        <w:rPr>
          <w:rFonts w:ascii="Times New Roman" w:hAnsi="Times New Roman"/>
          <w:i/>
          <w:color w:val="000000"/>
          <w:sz w:val="16"/>
        </w:rPr>
        <w:t xml:space="preserve">Mount Logan Management LLC, </w:t>
      </w:r>
      <w:r>
        <w:rPr>
          <w:rFonts w:ascii="Times New Roman" w:hAnsi="Times New Roman"/>
          <w:color w:val="000000"/>
          <w:sz w:val="16"/>
        </w:rPr>
        <w:t xml:space="preserve">an investment adviser that is registered as an investment adviser under the Investment Advisers Act of 1940, as amended (the “Advisers Act”), and </w:t>
      </w:r>
      <w:r>
        <w:rPr>
          <w:rFonts w:ascii="Times New Roman" w:hAnsi="Times New Roman"/>
          <w:i/>
          <w:color w:val="000000"/>
          <w:sz w:val="16"/>
        </w:rPr>
        <w:t xml:space="preserve">BC Partners Management LLC </w:t>
      </w:r>
      <w:r>
        <w:rPr>
          <w:rFonts w:ascii="Times New Roman" w:hAnsi="Times New Roman"/>
          <w:color w:val="000000"/>
          <w:sz w:val="16"/>
        </w:rPr>
        <w:t>provides the administrative services necessary for us to operate. For U.S. federal income tax purposes, we have elected to be treated as a regulated investment company (“RIC”) under subchapter M of the Internal Revenue Code of 1986, as amended (the “Code”). The Company believes it qualified as a RIC under the Code for the fiscal year ended December 31, 2023, and the Company intends to comply with the requirements to continue to qualify annually as a RIC under the Code. For the fiscal years ended December 31, 2022, 2021 and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“Business – Failure to Qualify as a RIC”.</w:t>
      </w:r>
    </w:p>
    <w:p>
      <w:pPr>
        <w:pStyle w:val="TextBody"/>
        <w:bidi w:val="0"/>
        <w:spacing w:before="160" w:after="283"/>
        <w:jc w:val="both"/>
        <w:rPr>
          <w:rFonts w:ascii="Times New Roman" w:hAnsi="Times New Roman"/>
          <w:sz w:val="20"/>
        </w:rPr>
      </w:pPr>
      <w:r>
        <w:rPr>
          <w:rFonts w:ascii="Times New Roman" w:hAnsi="Times New Roman"/>
          <w:color w:val="000000"/>
          <w:sz w:val="16"/>
        </w:rPr>
        <w:t>Our investment objective is to generate both current income and capital appreciation through debt and equity investments. We offer customized financing to business owners, management teams and financial sponsors for change of ownership transactions, recapitalizations, strategic acquisitions, business expansion and other growth initiatives. We invest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w:t>
      </w:r>
      <w:r>
        <w:rPr>
          <w:rFonts w:ascii="Times New Roman" w:hAnsi="Times New Roman"/>
          <w:color w:val="231F20"/>
          <w:sz w:val="16"/>
        </w:rPr>
        <w:t xml:space="preserve">Fund III, L.P. (f/k/a CapitalSouth </w:t>
      </w:r>
      <w:r>
        <w:rPr>
          <w:rFonts w:ascii="Times New Roman" w:hAnsi="Times New Roman"/>
          <w:color w:val="000000"/>
          <w:sz w:val="16"/>
        </w:rPr>
        <w:t>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small business investment company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us, and was legally dissolved as a standalone partnership. On March 1, 2019, Fund II repaid its outstanding debentures guaranteed by the SBA (“SBA-guaranteed debentures”) and relinquished its SBIC license. </w:t>
      </w:r>
      <w:r>
        <w:rPr>
          <w:rFonts w:ascii="Times New Roman" w:hAnsi="Times New Roman"/>
          <w:color w:val="231F20"/>
          <w:sz w:val="16"/>
        </w:rPr>
        <w:t>On June 10, 2021, Fund III repaid its SBA-guaranteed debentures and relinquished its SBIC license. Accordingly, as of December 31, 2023 and 2022, there were no SBA-guaranteed debentures outstanding.</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These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60" w:after="160"/>
        <w:jc w:val="left"/>
        <w:rPr>
          <w:rFonts w:ascii="Times New Roman" w:hAnsi="Times New Roman"/>
          <w:sz w:val="20"/>
        </w:rPr>
      </w:pPr>
      <w:r>
        <w:rPr>
          <w:rFonts w:ascii="Times New Roman" w:hAnsi="Times New Roman"/>
          <w:color w:val="000000"/>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The financial statements of CBL are consolidated with those of Logan Ridge Finance Corporation.</w:t>
      </w:r>
      <w:r>
        <w:rPr>
          <w:rFonts w:ascii="Times New Roman" w:hAnsi="Times New Roman"/>
          <w:color w:val="000000"/>
          <w:sz w:val="20"/>
        </w:rPr>
        <w:t xml:space="preserve"> </w:t>
      </w:r>
    </w:p>
    <w:p>
      <w:pPr>
        <w:pStyle w:val="TextBody"/>
        <w:bidi w:val="0"/>
        <w:spacing w:before="0" w:after="16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spacing w:before="0" w:after="160"/>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0" w:after="160"/>
        <w:jc w:val="both"/>
        <w:rPr>
          <w:rFonts w:ascii="Times New Roman" w:hAnsi="Times New Roman"/>
          <w:color w:val="000000"/>
          <w:sz w:val="16"/>
        </w:rPr>
      </w:pPr>
      <w:r>
        <w:rPr>
          <w:rFonts w:ascii="Times New Roman" w:hAnsi="Times New Roman"/>
          <w:color w:val="000000"/>
          <w:sz w:val="16"/>
        </w:rPr>
        <w:t>As part of the Transaction, beginning on July 1, 2021,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0" w:after="160"/>
        <w:jc w:val="both"/>
        <w:rPr>
          <w:rFonts w:ascii="Times New Roman" w:hAnsi="Times New Roman"/>
          <w:color w:val="000000"/>
          <w:sz w:val="16"/>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p>
    <w:p>
      <w:pPr>
        <w:pStyle w:val="TextBody"/>
        <w:bidi w:val="0"/>
        <w:spacing w:before="0" w:after="160"/>
        <w:jc w:val="both"/>
        <w:rPr>
          <w:rFonts w:ascii="Times New Roman" w:hAnsi="Times New Roman"/>
          <w:sz w:val="20"/>
        </w:rPr>
      </w:pPr>
      <w:r>
        <w:rPr>
          <w:rFonts w:ascii="Times New Roman" w:hAnsi="Times New Roman"/>
          <w:color w:val="000000"/>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16"/>
        </w:rPr>
      </w:pPr>
      <w:r>
        <w:rPr>
          <w:rFonts w:ascii="Times New Roman" w:hAnsi="Times New Roman"/>
          <w:color w:val="000000"/>
          <w:sz w:val="16"/>
        </w:rPr>
        <w:t>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bidi w:val="0"/>
        <w:jc w:val="both"/>
        <w:rPr>
          <w:rFonts w:ascii="Times New Roman" w:hAnsi="Times New Roman"/>
          <w:color w:val="000000"/>
          <w:sz w:val="16"/>
        </w:rPr>
      </w:pPr>
      <w:r>
        <w:rPr>
          <w:rFonts w:ascii="Times New Roman" w:hAnsi="Times New Roman"/>
          <w:color w:val="000000"/>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pStyle w:val="TextBody"/>
        <w:bidi w:val="0"/>
        <w:spacing w:before="240" w:after="283"/>
        <w:jc w:val="left"/>
        <w:rPr>
          <w:rFonts w:ascii="Times New Roman" w:hAnsi="Times New Roman"/>
          <w:sz w:val="20"/>
        </w:rPr>
      </w:pPr>
      <w:r>
        <w:rPr>
          <w:rFonts w:ascii="Times New Roman" w:hAnsi="Times New Roman"/>
          <w:b/>
          <w:color w:val="000000"/>
          <w:sz w:val="16"/>
        </w:rPr>
        <w:t>SUMMARY 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 xml:space="preserve">The risk factors described below are a summary of the principal risk factors associated with an investment in us. These are not the only risks we face. You should carefully consider these risk factors, together with the risk factors set forth in </w:t>
      </w:r>
      <w:r>
        <w:rPr>
          <w:rFonts w:ascii="Times New Roman" w:hAnsi="Times New Roman"/>
          <w:color w:val="000000"/>
          <w:sz w:val="20"/>
        </w:rPr>
        <w:t>“</w:t>
      </w:r>
      <w:r>
        <w:rPr>
          <w:rFonts w:ascii="Times New Roman" w:hAnsi="Times New Roman"/>
          <w:i/>
          <w:color w:val="000000"/>
          <w:sz w:val="16"/>
        </w:rPr>
        <w:t>Item 1A. Risk Factors</w:t>
      </w:r>
      <w:r>
        <w:rPr>
          <w:rFonts w:ascii="Times New Roman" w:hAnsi="Times New Roman"/>
          <w:color w:val="000000"/>
          <w:sz w:val="20"/>
        </w:rPr>
        <w:t xml:space="preserve">” </w:t>
      </w:r>
      <w:r>
        <w:rPr>
          <w:rFonts w:ascii="Times New Roman" w:hAnsi="Times New Roman"/>
          <w:i/>
          <w:color w:val="000000"/>
          <w:sz w:val="16"/>
        </w:rPr>
        <w:t>of this Annual Report on Form 10-K and the other reports and documents filed by us with the SEC.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Risks Relating to Our Business and Structure</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ability to achieve our investment objective depends on the ability of the Investment Adviser to manage and support our investment process. If the Investment Adviser were to lose any members of their respective senior management teams, our ability to achieve our investment objective could be significantly harmed.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depend upon our Investment Adviser’s key personnel for our future success.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operate in a highly competitive market for investment opportunities, which could reduce returns and result in losses.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Any inability of our Investment Adviser to maintain or develop strong referral relationships, or the failure of these relationships to generate investment opportunities, could adversely affect our business.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Failure to maintain our status as a BDC would reduce our operating flexibility.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Regulations governing our operation as a BDC affect our ability to raise additional capital and the way in which we do so. As a BDC, the necessity of raising additional capital may expose us to risks, including the typical risks associated with leverage.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We borrow money, which magnifies the potential for gain or loss on amounts invested and may increase the risk of investing in us. Borrowed money may also adversely affect the return on our assets, reduce cash available for distribution to our stockholders, and result in losses.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Capital markets may experience periods of disruption and instability. These market conditions could materially adversely affect the Company’s business, financial condition and results of operations.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Adverse developments in the credit markets may impair our ability to secure debt financing.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Inflation may adversely affect our business and operations and those of our portfolio companies.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Disruptions to the global supply chain may have adverse impact on our portfolio companies and, in turn, harm us.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will be subject to corporate-level U.S. federal income tax if we are unable to qualify or maintain our RIC tax treatment under the Code.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Investment Adviser is not obligated to reimburse us for any part of the incentive fee it receives that is based on accrued income that we never receive.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As a publicly traded company, we are subject to increasingly complex corporate governance, public disclosure and accounting requirements that are costly and could adversely affect our business and financial results.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Internal and external cyber threats, as well as other disasters, could impair our ability to conduct business effectively.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Economic sanction laws in the United States and other jurisdictions may prohibit us and our affiliates from transacting with certain countries, individuals and companies.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Major public health issues could have an adverse impact on our financial condition and results of operations and other aspects of our business.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have identified a material weakness in our internal control over financial reporting and if our remediation of this material weakness is not effective, or if we fail to maintain an effective system of internal control over financial reporting in the future, we may not be able to accurately or timely report our financial condition or operating results, which may adversely affect our business. </w:t>
      </w:r>
    </w:p>
    <w:p>
      <w:pPr>
        <w:pStyle w:val="TextBody"/>
        <w:bidi w:val="0"/>
        <w:spacing w:before="240" w:after="283"/>
        <w:jc w:val="left"/>
        <w:rPr>
          <w:rFonts w:ascii="Times New Roman" w:hAnsi="Times New Roman"/>
          <w:sz w:val="20"/>
        </w:rPr>
      </w:pPr>
      <w:r>
        <w:rPr>
          <w:rFonts w:ascii="Times New Roman" w:hAnsi="Times New Roman"/>
          <w:b/>
          <w:color w:val="000000"/>
          <w:sz w:val="16"/>
        </w:rPr>
        <w:t>Risks Related to Our Investments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Our investments in prospective portfolio companies may be risky, and we could lose all or part of our investment.</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investments in leveraged portfolio companies may be risky, and we could lose all or part of our investment.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health and performance of our portfolio companies could be adversely affected by political and economic conditions in the countries in which they conduct business.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currently operating in a period of capital markets disruption and economic uncertainty.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lack of liquidity in our investments may adversely affect our business.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may not have the funds or ability to make additional investments in our portfolio companies or to fund our unfunded debt commitments which may impair the value of our portfolio.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are a non-diversified investment company within the meaning of the 1940 Act, and therefore we are not limited with respect to the proportion of our assets that may be invested in securities of a single issuer.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Our portfolio may be concentrated in a limited number of industries, which may subject us to a risk of significant loss if there is a downturn in a particular industry in which a number of our investments are concentrated. Our portfolio will be considered to be concentrated in a particular industry when 25% or greater of its total assets are invested in issuers that are a part of that industry. The Company currently has investments concentrated in the healthcare industry.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 covenant breach or other defaults by our portfolio companies may adversely affect our operating results.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Any unrealized depreciation we experience on our loan portfolio may be an indication of future realized losses, which could reduce our income available for distribution.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Prepayments of our debt investments by our portfolio companies could adversely impact our results of operations and reduce our return on equity.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may not realize gains from our equity investments.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interest rates of some of our floating-rate loans to our portfolio companies may be priced using a spread over LIBOR, which is being phased out.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We may choose to waive or defer enforcement of covenants in the debt securities held in our portfolio, which may cause us to lose all or part of our investment in these companies.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investments in securities rated below investment grade are speculative in nature and are subject to additional risk factors such as increased possibility of default, illiquidity of the security, and changes in value based on changes in interest rates.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Our investments may be in portfolio companies which may have limited operating histories and financial resources. </w:t>
      </w:r>
    </w:p>
    <w:p>
      <w:pPr>
        <w:pStyle w:val="TextBody"/>
        <w:bidi w:val="0"/>
        <w:spacing w:before="240" w:after="283"/>
        <w:jc w:val="left"/>
        <w:rPr>
          <w:rFonts w:ascii="Times New Roman" w:hAnsi="Times New Roman"/>
          <w:sz w:val="20"/>
        </w:rPr>
      </w:pPr>
      <w:r>
        <w:rPr>
          <w:rFonts w:ascii="Times New Roman" w:hAnsi="Times New Roman"/>
          <w:b/>
          <w:color w:val="000000"/>
          <w:sz w:val="16"/>
        </w:rPr>
        <w:t>Risks Relating to Our Securities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market price of our common stock may fluctuate significantly.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business and operation could be negatively affected if we become subject to any securities litigation or stockholder activism, which could cause us to incur significant expense, hinder execution of investment strategy and impact our stock price.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Investing in our common stock involves a high degree of risk.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We cannot assure you that the market price of shares of our common stock will not decline.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common stockholders will bear the expenses associated with our borrowings, and the holders of our debt securities will have certain rights senior to our common stockholders.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Sales of substantial amounts of our common stock in the public market may have an adverse effect on the market price of our common stock.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Shares of our common stock have traded at a discount from net asset value and may do so in the future.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There is a risk that investors in our equity securities may not receive distributions consistent with historical levels or at all, or that our distributions may not grow over time and a portion of our distributions may be a return of capital.</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 stockholder’s interest in us will be diluted if we issue additional shares of common stock, which could reduce the overall value of an investment in us.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We will have broad discretion over the use of proceeds of any successful offering of securities.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Your interest in the Company may be diluted if you do not fully exercise your subscription rights in any rights offering.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If we issue preferred stock, the net asset value and market value of our common stock will likely become more volatile.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Holders of any preferred stock we might issue would have the right to elect members of our Board and class voting rights on certain matters. </w:t>
      </w:r>
    </w:p>
    <w:p>
      <w:pPr>
        <w:pStyle w:val="TextBody"/>
        <w:bidi w:val="0"/>
        <w:spacing w:before="240" w:after="283"/>
        <w:jc w:val="left"/>
        <w:rPr>
          <w:rFonts w:ascii="Times New Roman" w:hAnsi="Times New Roman"/>
          <w:sz w:val="20"/>
        </w:rPr>
      </w:pPr>
      <w:r>
        <w:rPr>
          <w:rFonts w:ascii="Times New Roman" w:hAnsi="Times New Roman"/>
          <w:b/>
          <w:color w:val="000000"/>
          <w:sz w:val="16"/>
        </w:rPr>
        <w:t>OUR INVESTMENT STRATEGY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investment objective is to generate both current income and capital appreciation through debt and equity investments. We expect the companies in which we invest will generally have between $5 million and $50 million in trailing twelve-month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OUR INVESTMENT ADVISER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managed by the Investment Adviser, whose investment team members have significant and diverse experience financing, advising, operating and investing in lower middle-market and traditional middle-market companies. Mount Logan was formed in 2020 and is registered as an investment adviser under the Advisers Act. Mount Logan is controlled by MLC, a publicly listed Canada-based alternative asset management company. Mount Logan is an affiliate of BC Partners for U.S. regulatory purposes and BC Partners provides Mount Logan with personnel pursuant to a resource sharing agreement, which allows Mount Logan to utilize the resources of BC Partners’ broader credit team.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MLC is managed by the founders of BC Partners Credit bringing to bear the investment expertise and deep resources of the broader BC Partners platform, all of which the Company - as an entity within the BC Partners ecosystem - benefits from. Mount Logan provides investment management services to privately offered investment funds and acts as the collateral manager to issuers of collateralized loan obligations ("CLOs") backed by debt obligations and similar assets.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Mount Logan’s investment committee, or the Mount Logan Investment Committee, includes Ted Goldthorpe, Matthias Ederer, Henry Wang and Raymond Svider, each experienced members of Mount Logan’s investment personnel.</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With over $40 billion in assets under management and offices in London, Paris, Hamburg, and New York, the BC Partners organization is comprised of a private equity platform ("BC Partners Private Equity"), a credit platform ("BC Partners Credit"), and a real estate platform ("BC Partners Real Estate"). All three platforms operate as integrated businesses within the overall BC Partners organization. Founded in 1986, BC Partners grew and evolved with the development of the European private equity market, consistently maintaining its position as one of the leading buyout firms in the region. It subsequently expanded investment operations to North America to support larger transactions operating more globally and established a successful investment platform for buyouts of businesses based in the United States and around the world. BC Partners expanded its strategic offering by establishing a credit platform in 2017 and a real estate platform in 2018. BC Partners has a 35-year investing track record across a variety of geographies and sectors. Throughout its investment history, BC Partners has built strong and longstanding relationships with global institutional investors.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To the extent permitted by the 1940 Act and interpretation of the staff of the U.S. Securities and Exchange Commission (the “SEC”), the Investment Adviser and its affiliates may determine that an investment is appropriate for us and for one or more of those other funds. In such event, depending on the availability of such investment and other appropriate factors, the Investment Adviser or its affiliates may determine that we should invest side-by-side with one or more other funds. Any such investments will be made only to the extent permitted by applicable law and interpretive positions of the SEC and its staff, and consistent with the Investment Adviser’s allocation procedures.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p>
    <w:p>
      <w:pPr>
        <w:pStyle w:val="TextBody"/>
        <w:bidi w:val="0"/>
        <w:spacing w:before="160" w:after="283"/>
        <w:jc w:val="both"/>
        <w:rPr>
          <w:rFonts w:ascii="Times New Roman" w:hAnsi="Times New Roman"/>
          <w:sz w:val="20"/>
        </w:rPr>
      </w:pPr>
      <w:r>
        <w:rPr>
          <w:rFonts w:ascii="Times New Roman" w:hAnsi="Times New Roman"/>
          <w:color w:val="000000"/>
          <w:sz w:val="16"/>
        </w:rPr>
        <w:t>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Adviser’s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of our debt investments will require the borrower to pay an early termination fee. Collectively, these attributes have been, and are expected to be, important contributors to the returns generated by our Investment Adviser’s investment team.</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Types of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will target debt investments that yield meaningful current income and, in certain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Established Companies With Positive Cash Flow.</w:t>
      </w:r>
      <w:r>
        <w:rPr>
          <w:color w:val="000000"/>
        </w:rPr>
        <w:t xml:space="preserve"> </w:t>
      </w:r>
      <w:r>
        <w:rPr>
          <w:rFonts w:ascii="Times New Roman" w:hAnsi="Times New Roman"/>
          <w:color w:val="000000"/>
          <w:sz w:val="16"/>
        </w:rPr>
        <w:t xml:space="preserve">We seek to invest in established companies with a history of generating revenues and positive cash flows. We intend to focus on companies with a history of profitability and minimum trailing twelve-month EBITDA of between $5 million and $50 million. We do not intend to invest in start-up companies, distressed or “turn-around” situations or companies with business plans that we do not understand.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Experienced Management Teams with Meaningful Investment.</w:t>
      </w:r>
      <w:r>
        <w:rPr>
          <w:color w:val="000000"/>
        </w:rPr>
        <w:t xml:space="preserve"> </w:t>
      </w:r>
      <w:r>
        <w:rPr>
          <w:rFonts w:ascii="Times New Roman" w:hAnsi="Times New Roman"/>
          <w:color w:val="000000"/>
          <w:sz w:val="16"/>
        </w:rPr>
        <w:t xml:space="preserve">We seek to invest in companies in which senior or key 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Significant Invested Capital.</w:t>
      </w:r>
      <w:r>
        <w:rPr>
          <w:color w:val="000000"/>
        </w:rPr>
        <w:t xml:space="preserve"> </w:t>
      </w:r>
      <w:r>
        <w:rPr>
          <w:rFonts w:ascii="Times New Roman" w:hAnsi="Times New Roman"/>
          <w:color w:val="000000"/>
          <w:sz w:val="16"/>
        </w:rPr>
        <w:t xml:space="preserve">We believe that the existence of an appropriate amount of equity beneath our debt capital provides valuable 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Appropriate Capital Structures.</w:t>
      </w:r>
      <w:r>
        <w:rPr>
          <w:color w:val="000000"/>
        </w:rPr>
        <w:t xml:space="preserve"> </w:t>
      </w:r>
      <w:r>
        <w:rPr>
          <w:rFonts w:ascii="Times New Roman" w:hAnsi="Times New Roman"/>
          <w:color w:val="000000"/>
          <w:sz w:val="16"/>
        </w:rPr>
        <w:t xml:space="preserve">We seek to invest in companies that are appropriately capitalized. First, we examine the 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Strong Competitive Position.</w:t>
      </w:r>
      <w:r>
        <w:rPr>
          <w:color w:val="000000"/>
        </w:rPr>
        <w:t xml:space="preserve"> </w:t>
      </w:r>
      <w:r>
        <w:rPr>
          <w:rFonts w:ascii="Times New Roman" w:hAnsi="Times New Roman"/>
          <w:color w:val="000000"/>
          <w:sz w:val="16"/>
        </w:rPr>
        <w:t xml:space="preserve">We intend to invest in companies that have developed strong, defensible product or service 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b/>
          <w:i/>
          <w:color w:val="000000"/>
          <w:sz w:val="16"/>
        </w:rPr>
        <w:t>Customer and Supplier Diversification.</w:t>
      </w:r>
      <w:r>
        <w:rPr>
          <w:color w:val="000000"/>
        </w:rPr>
        <w:t xml:space="preserve"> </w:t>
      </w:r>
      <w:r>
        <w:rPr>
          <w:rFonts w:ascii="Times New Roman" w:hAnsi="Times New Roman"/>
          <w:color w:val="000000"/>
          <w:sz w:val="16"/>
        </w:rPr>
        <w:t xml:space="preserve">We expect to invest in companies with sufficiently diverse customer and supplier 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 </w:t>
      </w:r>
    </w:p>
    <w:p>
      <w:pPr>
        <w:pStyle w:val="TextBody"/>
        <w:bidi w:val="0"/>
        <w:spacing w:before="240" w:after="283"/>
        <w:jc w:val="left"/>
        <w:rPr>
          <w:rFonts w:ascii="Times New Roman" w:hAnsi="Times New Roman"/>
          <w:sz w:val="20"/>
        </w:rPr>
      </w:pPr>
      <w:r>
        <w:rPr>
          <w:rFonts w:ascii="Times New Roman" w:hAnsi="Times New Roman"/>
          <w:b/>
          <w:i/>
          <w:color w:val="000000"/>
          <w:sz w:val="16"/>
        </w:rPr>
        <w:t>Debt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We expect our primary source of return to be the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debt investments feature call protection to enhance our total return on debt investments that are repaid prior to maturity.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Most of our debt investments are structured as first lien loans, and as of December 31, 2023, 79.8%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2023, none of our first lien loans consisted of last-out loans. We believe that unitranche debt can be attractive for many lower middle-market and traditional middle-market businesses, given the reduced structural complexity, single lender interface and elimination of intercreditor or potential agency conflicts among lenders.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also invest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 On a fair market value basis, 5.1% of our debt investments consisted of second lien loans as of December 31, 2023.</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2023, our weighted average PIK yield was 0.8% (excluding the income from non-accruals and collateralized loan obligations). As of December 31, 2023, the weighted average annualized cash yield on our debt portfolio was 10.4% (excluding the income from non-accruals and collateralized loan obligations). In addition to yield in the form of current cash and PIK interest, some of our debt investments include an equity component, such as a warrant to purchase a common equity interest in the borrower for a nominal price.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Equity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Adviser’s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INVESTMENT PROCESS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management of our investment portfolio is the responsibility of Mount Logan and the Logan Ridge investment team (the “LRFC Investment Team”). All investment decisions require the majority approval of the Mount Logan Investment Committee. The LRFC Investment Team sources, identifies and diligences investment opportunities and presents the opportunity to the Mount Logan Investment Committee for approval. The Mount Logan Investment Committee is currently comprised of three members of BC Partners Credit (Ted Goldthorpe, Matthias Ederer and Henry Wang), and one member of BC Partners Private Equity (Raymond Svider). The Mount Logan Investment Committee meets regularly to review the opportunities presented by the LRFC Investment Team. Follow-on investments in existing portfolio companies may require the Mount Logan’s Investment Committee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Board, including a majority of the Independent Directors, oversees and monitors the investment performance and, beginning with the second anniversary of the effective date of the Investment Advisory Agreement, will annually review the compensation Logan Ridge pays to Mount Logan.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None of Mount Logan’s investment professionals receive any direct compensation from Logan Ridge in connection with the management of Logan Ridge’s portfolio.</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following individuals (the “LRFC Portfolio Managers”) have senior responsibility for the management of our investment portfolio: Ted Goldthorpe, Matthias Ederer, Henry Wang, Raymond Svider and Patrick Schafer. Mr. Schafer is Logan Ridge's Chief Investment Officer and has primary responsibility for the day-to-day implementation and management of Logan Ridge's investment portfolio.</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stages of our investment selection process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6"/>
        </w:rPr>
        <w:t>Deal Generation/Origination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Screening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All potential investments that are received are screened for suitability and consistency with our investment criteria (see “— Due Diligence and Underwriting,” below). If a potential investment meets our basic investment criteria, a deal team is assigned to perform preliminary due diligence. In doing so, we consider some or all of the following factors: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competitive landscape and industry dynamics impacting the potential portfolio company;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Strengths and weaknesses of the potential investment’s business strategy and industry outlook;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Results of a broad qualitative analysis of the company’s products or services, market position and outlook, customers, suppliers and quality of management. </w:t>
      </w:r>
    </w:p>
    <w:p>
      <w:pPr>
        <w:pStyle w:val="TextBody"/>
        <w:bidi w:val="0"/>
        <w:spacing w:before="160" w:after="283"/>
        <w:jc w:val="both"/>
        <w:rPr>
          <w:rFonts w:ascii="Times New Roman" w:hAnsi="Times New Roman"/>
          <w:sz w:val="20"/>
        </w:rPr>
      </w:pPr>
      <w:r>
        <w:rPr>
          <w:rFonts w:ascii="Times New Roman" w:hAnsi="Times New Roman"/>
          <w:color w:val="000000"/>
          <w:sz w:val="16"/>
        </w:rPr>
        <w:t>If the results of this preliminary due diligence are satisfactory, the deal team prepares an executive summary that is presented to our Investment Adviser’s investment committee in a meeting that includes all members of the portfolio and investment teams. This executive summary includes the following areas: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Company history and summary of product(s) and/or service(s);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An overview of investors, anticipated capital sources and transaction timing;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Investment structure and expected returns, including initial projected financial ratios;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Analysis of historical financial results and key assumptions;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Analysis of the company’s business strategy;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Analysis of the financial sponsor’s relevant experience or expected strategy;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Investment strengths, weaknesses and priority issues to be addressed in due diligence;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Pro forma capitalization and ownership. </w:t>
      </w:r>
    </w:p>
    <w:p>
      <w:pPr>
        <w:pStyle w:val="TextBody"/>
        <w:bidi w:val="0"/>
        <w:spacing w:before="160" w:after="283"/>
        <w:jc w:val="both"/>
        <w:rPr>
          <w:rFonts w:ascii="Times New Roman" w:hAnsi="Times New Roman"/>
          <w:sz w:val="20"/>
        </w:rPr>
      </w:pPr>
      <w:r>
        <w:rPr>
          <w:rFonts w:ascii="Times New Roman" w:hAnsi="Times New Roman"/>
          <w:color w:val="000000"/>
          <w:sz w:val="16"/>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Due Diligence and Underwriting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completion of due diligence deliverables is led by at least two investment professionals. However, all investment and portfolio team members are regularly updated with due diligence progress, especially any issues that emerge. The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On-site visits with management and relevant key employees;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In-depth review of historical and projected financial statements, including covenant calculation work sheets;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Interviews with customers and suppliers;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Management background checks;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Review of reports by third-party accountants, outside counsel and other industry, operational or financial experts, whether retained by us or the financial sponsor;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Review of material contracts;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Review of financial sponsor’s due diligence package and internal executive summaries. </w:t>
      </w:r>
    </w:p>
    <w:p>
      <w:pPr>
        <w:pStyle w:val="TextBody"/>
        <w:bidi w:val="0"/>
        <w:spacing w:before="160" w:after="283"/>
        <w:jc w:val="both"/>
        <w:rPr>
          <w:rFonts w:ascii="Times New Roman" w:hAnsi="Times New Roman"/>
          <w:sz w:val="20"/>
        </w:rPr>
      </w:pPr>
      <w:r>
        <w:rPr>
          <w:rFonts w:ascii="Times New Roman" w:hAnsi="Times New Roman"/>
          <w:color w:val="000000"/>
          <w:sz w:val="16"/>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During the underwriting process, the executive summary that was completed for the initial investment committee presentation is expanded upon into a full diligence memo and key findings are presented at subsequent, weekly meetings of the investment committee for continued discussion and, to the extent applicable, the investment committee issues new instructions to the underwriting team.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Approval, Documentation and Closing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underwriting team for the proposed investment presents the full diligence memo and key findings from due diligence to the investment committee on an ongoing basis. Prior to the commencement of documentation, approval from the investment committee is sought and, if approved, the underwriting professionals heretofore involved proceed to documentation.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ONGOING RELATIONSHIPS WITH PORTFOLIO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Monitoring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Investment Adviser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Investment Adviser has several methods of evaluating and monitoring the performance and fair value of our investments, including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Assessment of success in adhering to each portfolio company’s business plan and compliance with covenants;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Periodic and regular contact with portfolio company management and, if appropriate, the financial or strategic sponsor, to discuss financial position, requirements and accomplishments;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Comparisons to our other portfolio companies in the industry, if any;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Attendance at and participation in the board meetings;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Review of monthly and quarterly financial statements and financial projections for portfolio companies. </w:t>
      </w:r>
    </w:p>
    <w:p>
      <w:pPr>
        <w:pStyle w:val="TextBody"/>
        <w:bidi w:val="0"/>
        <w:spacing w:before="240" w:after="283"/>
        <w:jc w:val="left"/>
        <w:rPr>
          <w:rFonts w:ascii="Times New Roman" w:hAnsi="Times New Roman"/>
          <w:sz w:val="20"/>
        </w:rPr>
      </w:pPr>
      <w:r>
        <w:rPr>
          <w:rFonts w:ascii="Times New Roman" w:hAnsi="Times New Roman"/>
          <w:b/>
          <w:color w:val="000000"/>
          <w:sz w:val="16"/>
        </w:rPr>
        <w:t>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Investment Advisory Agreement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On July 1, 2021, the Company entered into an investment advisory agreement (the “Investment Advisory Agreement”) with the Investment Adviser, which was approved by the Company’s stockholders on May 27, 2021. Unless earlier terminated in accordance with its terms, the Investment Advisory Agreement will remain in effect from year-to-year if approved annually by the Board or by a majority of our outstanding voting securities, including, in either case, by a majority of our directors who are not “interested persons” as such term is defined in Section 2(a)(19) of the 1940 Act (“Independent Directors”). The Board most recently approved the renewal of the Investment Advisory Agreement at a meeting on May 9, 2023.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determines the composition of our portfolio, the nature and timing of the changes to our portfolio, and the manner of implementing such changes;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identifies, evaluates, and negotiates the structure of the investments we make (including performing due diligence on our prospective portfolio companies);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closes and monitors the investments we make;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provides us with other investment advisory, research, and related services as we may from time to time require.</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60" w:after="283"/>
        <w:jc w:val="left"/>
        <w:rPr>
          <w:rFonts w:ascii="Times New Roman" w:hAnsi="Times New Roman"/>
          <w:sz w:val="20"/>
        </w:rPr>
      </w:pPr>
      <w:r>
        <w:rPr>
          <w:rFonts w:ascii="Times New Roman" w:hAnsi="Times New Roman"/>
          <w:color w:val="000000"/>
          <w:sz w:val="16"/>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incentive fee consists of the following two parts:</w:t>
      </w:r>
    </w:p>
    <w:p>
      <w:pPr>
        <w:pStyle w:val="TextBody"/>
        <w:bidi w:val="0"/>
        <w:spacing w:before="160" w:after="283"/>
        <w:jc w:val="left"/>
        <w:rPr>
          <w:rFonts w:ascii="Times New Roman" w:hAnsi="Times New Roman"/>
          <w:sz w:val="20"/>
        </w:rPr>
      </w:pPr>
      <w:r>
        <w:rPr>
          <w:rFonts w:ascii="Times New Roman" w:hAnsi="Times New Roman"/>
          <w:color w:val="000000"/>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dated July 1, 2021, between us and the Administrator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no incentive fee in any calendar quarter in which the pre-incentive fee net investment income does not exceed the hurdle of 2.0%;</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20.0% of the amount of the pre-incentive fee net investment income, if any, that exceeds 2.5% in any calendar quarter (10.0% annualized) is payable to the Investment Adviser (once the hurdle is reached and the catch-up is achieved, 20.0% of all pre-incentive fee investment income thereafter is allocated to the Investment Adviser).</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will be treated as though it were a calendar year end for purposes of calculating and paying a capital gains fee.</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2023 and 2022, the Company did not have incentive fees payable to the Investment Adviser related to fees earned in prior years but deferred under the incentive fee deferral mechanism, respectively.</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Beginning on July 1, 2021, the Investment Adviser entered into a two-year contractual fee waiver (the “Fee Waiver”) with the Company to waive, to the extent necessary, any capital gains fee under the Investment Advisory Agreement that exceeds what would have been paid to our prior investment adviser, Capitala Investment Advisors, LLC, in the aggregate over such two-year period under the prior advisory agreement. The Fee Waiver expired at the end of the two-year period.</w:t>
      </w:r>
    </w:p>
    <w:p>
      <w:pPr>
        <w:pStyle w:val="TextBody"/>
        <w:bidi w:val="0"/>
        <w:spacing w:before="240" w:after="283"/>
        <w:jc w:val="left"/>
        <w:rPr>
          <w:rFonts w:ascii="Times New Roman" w:hAnsi="Times New Roman"/>
          <w:sz w:val="20"/>
        </w:rPr>
      </w:pPr>
      <w:r>
        <w:rPr>
          <w:rFonts w:ascii="Times New Roman" w:hAnsi="Times New Roman"/>
          <w:b/>
          <w:color w:val="000000"/>
          <w:sz w:val="16"/>
        </w:rPr>
        <w:t>Graphical Representation and Examples under the Investment Advisory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following is a graphical representation of the calculation of the income-related portion of the incentive fee: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6"/>
        </w:rPr>
        <w:t>Quarterly Incentive Fee Based on Net Investment Income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6"/>
        </w:rPr>
        <w:t>Pre-incentive fee net investment income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6"/>
        </w:rPr>
        <w:t>(expressed as a percentage of the value of net assets)</w:t>
      </w:r>
      <w:r>
        <w:rPr>
          <w:rFonts w:ascii="Times New Roman" w:hAnsi="Times New Roman"/>
          <w:color w:val="000000"/>
          <w:sz w:val="20"/>
        </w:rPr>
        <w:t xml:space="preserve"> </w:t>
      </w:r>
    </w:p>
    <w:p>
      <w:pPr>
        <w:pStyle w:val="TextBody"/>
        <w:bidi w:val="0"/>
        <w:spacing w:before="160" w:after="283"/>
        <w:jc w:val="center"/>
        <w:rPr/>
      </w:pPr>
      <w:r>
        <w:rPr/>
        <w:drawing>
          <wp:inline distT="0" distB="0" distL="0" distR="0">
            <wp:extent cx="37052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05225" cy="800100"/>
                    </a:xfrm>
                    <a:prstGeom prst="rect">
                      <a:avLst/>
                    </a:prstGeom>
                  </pic:spPr>
                </pic:pic>
              </a:graphicData>
            </a:graphic>
          </wp:inline>
        </w:drawing>
      </w:r>
      <w:r>
        <w:rPr/>
        <w:t>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Percentage of pre-incentive fee net investment income allocated to the Mount Logan Management LLC</w:t>
      </w:r>
    </w:p>
    <w:p>
      <w:pPr>
        <w:pStyle w:val="TextBody"/>
        <w:bidi w:val="0"/>
        <w:spacing w:before="160" w:after="283"/>
        <w:jc w:val="both"/>
        <w:rPr>
          <w:rFonts w:ascii="Times New Roman" w:hAnsi="Times New Roman"/>
          <w:sz w:val="20"/>
        </w:rPr>
      </w:pPr>
      <w:r>
        <w:rPr>
          <w:rFonts w:ascii="Times New Roman" w:hAnsi="Times New Roman"/>
          <w:color w:val="000000"/>
          <w:sz w:val="16"/>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Adviser with respect to pre-incentive fee net investment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Examples of Quarterly Incentive Fee Calculation under the Investment Advisory Agreement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16"/>
        </w:rPr>
        <w:t>Example 1: Income Related Portion of Incentive Fee*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16"/>
        </w:rPr>
        <w:t>Alternative 1:</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(including interest, dividends, fees, etc.) = 1.25%</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Hurdle rate</w:t>
      </w: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 2.00%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Management fee</w:t>
      </w: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 0.50%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Other expenses (legal, accounting, custodian, transfer agent, etc.)</w:t>
      </w: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 0.20% Pre-incentive fee net investment income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(investment income − (management fee + other expenses)) = 0.55%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Pre-incentive net investment income does not exceed hurdle rate, therefore there is no incentive fee.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6"/>
        </w:rPr>
        <w:t>Alternative 2:</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(including interest, dividends, fees, etc.) = 2.90%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Hurdle rate</w:t>
      </w: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 2.00%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Management fee</w:t>
      </w: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 0.50%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Other expenses (legal, accounting, custodian, transfer agent, etc.)</w:t>
      </w: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 0.20%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Pre-incentive fee net investment income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 (management fee + other expenses)) = 2.20%</w:t>
      </w:r>
      <w:r>
        <w:rPr>
          <w:rFonts w:ascii="Times New Roman" w:hAnsi="Times New Roman"/>
          <w:color w:val="000000"/>
          <w:sz w:val="20"/>
        </w:rPr>
        <w:t xml:space="preserve"> </w:t>
      </w:r>
    </w:p>
    <w:tbl>
      <w:tblPr>
        <w:tblW w:w="7113" w:type="dxa"/>
        <w:jc w:val="left"/>
        <w:tblInd w:w="0" w:type="dxa"/>
        <w:tblLayout w:type="fixed"/>
        <w:tblCellMar>
          <w:top w:w="28" w:type="dxa"/>
          <w:left w:w="28" w:type="dxa"/>
          <w:bottom w:w="28" w:type="dxa"/>
          <w:right w:w="28" w:type="dxa"/>
        </w:tblCellMar>
      </w:tblPr>
      <w:tblGrid>
        <w:gridCol w:w="124"/>
        <w:gridCol w:w="1051"/>
        <w:gridCol w:w="109"/>
        <w:gridCol w:w="109"/>
        <w:gridCol w:w="55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Incentive fee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16"/>
              </w:rPr>
            </w:pPr>
            <w:r>
              <w:rPr>
                <w:rFonts w:ascii="Times New Roman" w:hAnsi="Times New Roman"/>
                <w:color w:val="000000"/>
                <w:sz w:val="16"/>
              </w:rPr>
              <w:t>= 100% × pre-incentive fee net investment income, subject to the “catch-up”</w:t>
            </w:r>
            <w:r>
              <w:rPr>
                <w:rFonts w:ascii="Times New Roman" w:hAnsi="Times New Roman"/>
                <w:color w:val="000000"/>
                <w:sz w:val="11"/>
              </w:rPr>
              <w:t>(4)</w:t>
            </w:r>
            <w:r>
              <w:rPr>
                <w:rFonts w:ascii="Times New Roman" w:hAnsi="Times New Roman"/>
                <w:color w:val="000000"/>
                <w:sz w:val="16"/>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 100% × (2.20% − 2.00%)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 xml:space="preserve">= 0.20%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rFonts w:ascii="Times New Roman" w:hAnsi="Times New Roman"/>
          <w:sz w:val="20"/>
        </w:rPr>
      </w:pPr>
      <w:r>
        <w:rPr>
          <w:rFonts w:ascii="Times New Roman" w:hAnsi="Times New Roman"/>
          <w:color w:val="000000"/>
          <w:sz w:val="16"/>
        </w:rPr>
        <w:t>Pre-incentive fee net investment income exceeds the hurdle rate, but does not fully satisfy the “catch-up” provision, therefore the income related portion of the incentive fee is 0.20%.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Alternative 3:</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(including interest, dividends, fees, etc.) = 3.50%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Hurdle rate</w:t>
      </w: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 2.00%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Management fee</w:t>
      </w: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 0.50%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Other expenses (legal, accounting, custodian, transfer agent, etc.)</w:t>
      </w:r>
      <w:r>
        <w:rPr>
          <w:rFonts w:ascii="Times New Roman" w:hAnsi="Times New Roman"/>
          <w:color w:val="000000"/>
          <w:sz w:val="11"/>
        </w:rPr>
        <w:t>(3)</w:t>
      </w:r>
      <w:r>
        <w:rPr>
          <w:rFonts w:ascii="Times New Roman" w:hAnsi="Times New Roman"/>
          <w:color w:val="000000"/>
          <w:sz w:val="20"/>
        </w:rPr>
        <w:t xml:space="preserve"> </w:t>
      </w:r>
      <w:r>
        <w:rPr>
          <w:rFonts w:ascii="Times New Roman" w:hAnsi="Times New Roman"/>
          <w:color w:val="000000"/>
          <w:sz w:val="16"/>
        </w:rPr>
        <w:t>= 0.20%</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Pre-incentive fee net investment income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 (management fee + other expenses)) = 2.80%</w:t>
      </w:r>
      <w:r>
        <w:rPr>
          <w:rFonts w:ascii="Times New Roman" w:hAnsi="Times New Roman"/>
          <w:color w:val="000000"/>
          <w:sz w:val="20"/>
        </w:rPr>
        <w:t xml:space="preserve"> </w:t>
      </w:r>
    </w:p>
    <w:tbl>
      <w:tblPr>
        <w:tblW w:w="7379" w:type="dxa"/>
        <w:jc w:val="left"/>
        <w:tblInd w:w="0" w:type="dxa"/>
        <w:tblLayout w:type="fixed"/>
        <w:tblCellMar>
          <w:top w:w="28" w:type="dxa"/>
          <w:left w:w="28" w:type="dxa"/>
          <w:bottom w:w="28" w:type="dxa"/>
          <w:right w:w="28" w:type="dxa"/>
        </w:tblCellMar>
      </w:tblPr>
      <w:tblGrid>
        <w:gridCol w:w="1066"/>
        <w:gridCol w:w="109"/>
        <w:gridCol w:w="109"/>
        <w:gridCol w:w="5941"/>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16"/>
              </w:rPr>
            </w:pPr>
            <w:r>
              <w:rPr>
                <w:rFonts w:ascii="Times New Roman" w:hAnsi="Times New Roman"/>
                <w:color w:val="000000"/>
                <w:sz w:val="16"/>
              </w:rPr>
              <w:t xml:space="preserve">Incentive fee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sz w:val="16"/>
              </w:rPr>
            </w:pPr>
            <w:r>
              <w:rPr>
                <w:rFonts w:ascii="Times New Roman" w:hAnsi="Times New Roman"/>
                <w:color w:val="000000"/>
                <w:sz w:val="16"/>
              </w:rPr>
              <w:t>= 20% × pre-incentive fee net investment income, subject to “catch-up”</w:t>
            </w:r>
            <w:r>
              <w:rPr>
                <w:rFonts w:ascii="Times New Roman" w:hAnsi="Times New Roman"/>
                <w:color w:val="000000"/>
                <w:sz w:val="11"/>
              </w:rPr>
              <w:t>(4)</w:t>
            </w:r>
            <w:r>
              <w:rPr>
                <w:rFonts w:ascii="Times New Roman" w:hAnsi="Times New Roman"/>
                <w:color w:val="000000"/>
                <w:sz w:val="16"/>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Incentive fee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100% × “catch-up” + (20% × (pre-incentive fee net investment income − 2.50%))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Catch-up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2.50% − 2.00%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0.50%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Incentive fee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(100% × 0.50%) + (20% × (2.80% − 2.50%))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0.50% + (20%× 0.30%)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0.50% + 0.06%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 0.56%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rFonts w:ascii="Times New Roman" w:hAnsi="Times New Roman"/>
          <w:sz w:val="20"/>
        </w:rPr>
      </w:pPr>
      <w:r>
        <w:rPr>
          <w:rFonts w:ascii="Times New Roman" w:hAnsi="Times New Roman"/>
          <w:color w:val="000000"/>
          <w:sz w:val="16"/>
        </w:rPr>
        <w:t>Pre-incentive fee net investment income exceeds the hurdle rate, and fully satisfies the “catch-up” provision, therefore the income related portion of the incentive fee is 0.56%.</w:t>
      </w:r>
      <w:r>
        <w:rPr>
          <w:rFonts w:ascii="Times New Roman" w:hAnsi="Times New Roman"/>
          <w:color w:val="000000"/>
          <w:sz w:val="20"/>
        </w:rPr>
        <w:t xml:space="preserve"> </w:t>
      </w:r>
    </w:p>
    <w:p>
      <w:pPr>
        <w:pStyle w:val="TextBody"/>
        <w:pBdr>
          <w:bottom w:val="single" w:sz="6" w:space="1" w:color="000000"/>
        </w:pBdr>
        <w:bidi w:val="0"/>
        <w:jc w:val="both"/>
        <w:rPr/>
      </w:pPr>
      <w:r>
        <w:rPr/>
        <w:t> </w:t>
      </w:r>
    </w:p>
    <w:p>
      <w:pPr>
        <w:pStyle w:val="TextBody"/>
        <w:bidi w:val="0"/>
        <w:spacing w:before="80" w:after="283"/>
        <w:jc w:val="both"/>
        <w:rPr>
          <w:rFonts w:ascii="Times New Roman" w:hAnsi="Times New Roman"/>
          <w:sz w:val="20"/>
        </w:rPr>
      </w:pPr>
      <w:r>
        <w:rPr>
          <w:rFonts w:ascii="Times New Roman" w:hAnsi="Times New Roman"/>
          <w:color w:val="000000"/>
          <w:sz w:val="13"/>
        </w:rPr>
        <w:t>* The hypothetical amount of pre-incentive fee net investment income shown is based on a percentage of total net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(1)</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 xml:space="preserve">Represents 8.00% annualized hurdle rate. </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(2)</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 xml:space="preserve">Represents 2.00% annualized management fee. </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(3)</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 xml:space="preserve">Excludes organizational and offering expenses. </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(4)</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 xml:space="preserve">The “catch-up” provision is intended to provide the Investment Adviser with an incentive fee of 20.00% on all of Logan Ridge’s pre-incentive fee net investment income as if a hurdle rate did not apply when its net investment income exceeds 2.50% in any calendar quarter. </w:t>
      </w:r>
    </w:p>
    <w:p>
      <w:pPr>
        <w:pStyle w:val="TextBody"/>
        <w:bidi w:val="0"/>
        <w:spacing w:before="240" w:after="283"/>
        <w:jc w:val="left"/>
        <w:rPr>
          <w:rFonts w:ascii="Times New Roman" w:hAnsi="Times New Roman"/>
          <w:sz w:val="20"/>
        </w:rPr>
      </w:pPr>
      <w:r>
        <w:rPr>
          <w:rFonts w:ascii="Times New Roman" w:hAnsi="Times New Roman"/>
          <w:b/>
          <w:color w:val="000000"/>
          <w:sz w:val="16"/>
        </w:rPr>
        <w:t>Example 2: Capital Gains Portion of Incentive Fee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16"/>
        </w:rPr>
        <w:t>Alternative 1:</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1: $20 million investment made in Company A (“Investment A”), and $30 million investment made in Company B (“Investment B”)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2: Investment A sold for $50 million and fair market value (“FMV”) of Investment B determined to be $32 million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3: FMV of Investment B determined to be $25 million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4: Investment B sold for $31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The capital gains portion of the incentive fee would be:</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1: None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2: Capital gains incentive fee of $6 million ($30 million realized capital gains on sale of Investment A multiplied by 20.00%)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3: None </w:t>
      </w:r>
    </w:p>
    <w:p>
      <w:pPr>
        <w:pStyle w:val="TextBody"/>
        <w:bidi w:val="0"/>
        <w:spacing w:before="160" w:after="283"/>
        <w:jc w:val="left"/>
        <w:rPr>
          <w:rFonts w:ascii="Times New Roman" w:hAnsi="Times New Roman"/>
          <w:sz w:val="20"/>
        </w:rPr>
      </w:pPr>
      <w:r>
        <w:rPr>
          <w:rFonts w:ascii="Times New Roman" w:hAnsi="Times New Roman"/>
          <w:color w:val="000000"/>
          <w:sz w:val="16"/>
        </w:rPr>
        <w:t>$5 million (20.00% multiplied by ($30 million cumulative capital gains less $5 million cumulative capital depreciation)) less $6 million (previous capital gains fee paid in Year 2).</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4: Capital gains incentive fee of $200,000 </w:t>
      </w:r>
    </w:p>
    <w:p>
      <w:pPr>
        <w:pStyle w:val="TextBody"/>
        <w:bidi w:val="0"/>
        <w:spacing w:before="160" w:after="283"/>
        <w:jc w:val="both"/>
        <w:rPr>
          <w:rFonts w:ascii="Times New Roman" w:hAnsi="Times New Roman"/>
          <w:sz w:val="20"/>
        </w:rPr>
      </w:pPr>
      <w:r>
        <w:rPr>
          <w:rFonts w:ascii="Times New Roman" w:hAnsi="Times New Roman"/>
          <w:color w:val="000000"/>
          <w:sz w:val="16"/>
        </w:rPr>
        <w:t>$6.2 million ($31 million cumulative realized capital gains multiplied by 20.00%) less $6 million (capital gains fee taken in Year 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Alternative 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1: $20 million investment made in Company A (“Investment A”), $30 million investment made in Company B (“Investment B”) and $25 million investment made in Company C (“Investment C”)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2: Investment A sold for $50 million, FMV of Investment B determined to be $25 million and FMV of Investment C determined to be $25 million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3: FMV of Investment B determined to be $27 million and Investment C sold for $30 million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4: FMV of Investment B determined to be $24 million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5: Investment B sold for $20 million </w:t>
      </w:r>
    </w:p>
    <w:p>
      <w:pPr>
        <w:pStyle w:val="TextBody"/>
        <w:bidi w:val="0"/>
        <w:spacing w:before="160" w:after="283"/>
        <w:jc w:val="both"/>
        <w:rPr>
          <w:rFonts w:ascii="Times New Roman" w:hAnsi="Times New Roman"/>
          <w:sz w:val="20"/>
        </w:rPr>
      </w:pPr>
      <w:r>
        <w:rPr>
          <w:rFonts w:ascii="Times New Roman" w:hAnsi="Times New Roman"/>
          <w:color w:val="000000"/>
          <w:sz w:val="16"/>
        </w:rPr>
        <w:t>The capital gains incentive fee, if any, would be:</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1: None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Year 2: $5 million capital gains incentive fee </w:t>
      </w:r>
    </w:p>
    <w:p>
      <w:pPr>
        <w:pStyle w:val="TextBody"/>
        <w:bidi w:val="0"/>
        <w:spacing w:before="160" w:after="283"/>
        <w:jc w:val="both"/>
        <w:rPr>
          <w:rFonts w:ascii="Times New Roman" w:hAnsi="Times New Roman"/>
          <w:sz w:val="20"/>
        </w:rPr>
      </w:pPr>
      <w:r>
        <w:rPr>
          <w:rFonts w:ascii="Times New Roman" w:hAnsi="Times New Roman"/>
          <w:color w:val="000000"/>
          <w:sz w:val="16"/>
        </w:rPr>
        <w:t>20.00% multiplied by $25 million ($30 million realized capital gains on Investment A less unrealized capital depreciation on Investment B).</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6"/>
        </w:rPr>
        <w:t>Year 3: $1.4 million capital gains incentive fee</w:t>
      </w:r>
      <w:r>
        <w:rPr>
          <w:rFonts w:ascii="Times New Roman" w:hAnsi="Times New Roman"/>
          <w:color w:val="000000"/>
          <w:sz w:val="11"/>
        </w:rPr>
        <w:t>(1)</w:t>
      </w:r>
      <w:r>
        <w:rPr>
          <w:color w:val="00000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$6.4 million (20.00% multiplied by $32 million ($35 million cumulative realized capital gains less $3 million unrealized capital depreciation)) less $5 million capital gains fee received in Year 2.</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Year 4: None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Year 5: </w:t>
      </w:r>
    </w:p>
    <w:p>
      <w:pPr>
        <w:pStyle w:val="TextBody"/>
        <w:bidi w:val="0"/>
        <w:spacing w:before="160" w:after="283"/>
        <w:jc w:val="left"/>
        <w:rPr>
          <w:rFonts w:ascii="Times New Roman" w:hAnsi="Times New Roman"/>
          <w:sz w:val="20"/>
        </w:rPr>
      </w:pPr>
      <w:r>
        <w:rPr>
          <w:rFonts w:ascii="Times New Roman" w:hAnsi="Times New Roman"/>
          <w:color w:val="000000"/>
          <w:sz w:val="16"/>
        </w:rPr>
        <w:t>None $5 million (20.00% multiplied by $25 million (cumulative realized capital gains of $35 million less realized capital losses of $10 million)) less $6.4 million cumulative capital gains fee paid in Year 2 and Year 3.</w:t>
      </w:r>
      <w:r>
        <w:rPr>
          <w:rFonts w:ascii="Times New Roman" w:hAnsi="Times New Roman"/>
          <w:color w:val="000000"/>
          <w:sz w:val="20"/>
        </w:rPr>
        <w:t xml:space="preserve"> </w:t>
      </w:r>
    </w:p>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(1)</w:t>
      </w:r>
    </w:p>
    <w:p>
      <w:pPr>
        <w:pStyle w:val="TextBody"/>
        <w:bidi w:val="0"/>
        <w:spacing w:before="120" w:after="283"/>
        <w:jc w:val="both"/>
        <w:rPr>
          <w:rFonts w:ascii="Times New Roman" w:hAnsi="Times New Roman"/>
          <w:color w:val="000000"/>
          <w:sz w:val="13"/>
        </w:rPr>
      </w:pPr>
      <w:r>
        <w:rPr>
          <w:rFonts w:ascii="Times New Roman" w:hAnsi="Times New Roman"/>
          <w:color w:val="000000"/>
          <w:sz w:val="13"/>
        </w:rPr>
        <w:t xml:space="preserve">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 </w:t>
      </w:r>
    </w:p>
    <w:p>
      <w:pPr>
        <w:pStyle w:val="TextBody"/>
        <w:bidi w:val="0"/>
        <w:spacing w:before="240" w:after="283"/>
        <w:jc w:val="left"/>
        <w:rPr>
          <w:rFonts w:ascii="Times New Roman" w:hAnsi="Times New Roman"/>
          <w:sz w:val="20"/>
        </w:rPr>
      </w:pPr>
      <w:r>
        <w:rPr>
          <w:rFonts w:ascii="Times New Roman" w:hAnsi="Times New Roman"/>
          <w:b/>
          <w:color w:val="000000"/>
          <w:sz w:val="16"/>
        </w:rPr>
        <w:t>Example 3: Application of the Incentive Fee Deferral Mechanism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Assumptions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20.00%). All income-related incentive fees were paid quarterly in arrears.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In each year preceding Year 1, we did not generate realized or unrealized capital gains or losses, no capital gain-related incentive fee was paid and there was no deferral of incentive fees.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1: We did not generate realized or unrealized capital gains or losses.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2: We realized a $30.0 million capital gain and did not otherwise generate realized or unrealized capital gains or losses.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3: We recognized $5.0 million of unrealized capital depreciation and did not otherwise generate realized or unrealized capital gains or losses.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Year 4: We realized a $6.0 million capital gain and did not otherwise generate realized or unrealized capital gains or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8"/>
        <w:gridCol w:w="146"/>
        <w:gridCol w:w="1263"/>
        <w:gridCol w:w="146"/>
        <w:gridCol w:w="2945"/>
        <w:gridCol w:w="146"/>
        <w:gridCol w:w="2819"/>
        <w:gridCol w:w="146"/>
        <w:gridCol w:w="2126"/>
      </w:tblGrid>
      <w:tr>
        <w:trPr/>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4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Income Related </w:t>
              <w:br/>
              <w:t xml:space="preserve">Incentive Fee Accrued </w:t>
              <w:br/>
              <w:t xml:space="preserve">Before Application of </w:t>
              <w:br/>
              <w:t>Deferral Mechanism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Gains Related </w:t>
              <w:br/>
              <w:t xml:space="preserve">Incentive Fee Accrued </w:t>
              <w:br/>
              <w:t xml:space="preserve">Before Application of </w:t>
              <w:br/>
              <w:t>Deferral Mechanism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Incentive Fee </w:t>
              <w:br/>
              <w:t>Calculations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Incentive Fees Paid </w:t>
              <w:br/>
              <w:t>and Deferred</w:t>
            </w:r>
          </w:p>
        </w:tc>
      </w:tr>
      <w:tr>
        <w:trPr/>
        <w:tc>
          <w:tcPr>
            <w:tcW w:w="4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 1</w:t>
            </w:r>
          </w:p>
        </w:tc>
        <w:tc>
          <w:tcPr>
            <w:tcW w:w="146" w:type="dxa"/>
            <w:tcBorders/>
            <w:shd w:fill="CFF0FC" w:val="clear"/>
            <w:vAlign w:val="center"/>
          </w:tcPr>
          <w:p>
            <w:pPr>
              <w:pStyle w:val="TableContents"/>
              <w:bidi w:val="0"/>
              <w:spacing w:before="0" w:after="283"/>
              <w:jc w:val="left"/>
              <w:rPr/>
            </w:pPr>
            <w:r>
              <w:rPr/>
              <w:t> </w:t>
            </w:r>
          </w:p>
        </w:tc>
        <w:tc>
          <w:tcPr>
            <w:tcW w:w="1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 million ($40.0 million multiplied by 20%)</w:t>
            </w:r>
          </w:p>
        </w:tc>
        <w:tc>
          <w:tcPr>
            <w:tcW w:w="146" w:type="dxa"/>
            <w:tcBorders/>
            <w:shd w:fill="CFF0FC" w:val="clear"/>
            <w:vAlign w:val="center"/>
          </w:tcPr>
          <w:p>
            <w:pPr>
              <w:pStyle w:val="TableContents"/>
              <w:bidi w:val="0"/>
              <w:spacing w:before="0" w:after="283"/>
              <w:jc w:val="left"/>
              <w:rPr/>
            </w:pPr>
            <w:r>
              <w:rPr/>
              <w:t> </w:t>
            </w:r>
          </w:p>
        </w:tc>
        <w:tc>
          <w:tcPr>
            <w:tcW w:w="29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None</w:t>
            </w:r>
          </w:p>
        </w:tc>
        <w:tc>
          <w:tcPr>
            <w:tcW w:w="146" w:type="dxa"/>
            <w:tcBorders/>
            <w:shd w:fill="CFF0FC" w:val="clear"/>
            <w:vAlign w:val="center"/>
          </w:tcPr>
          <w:p>
            <w:pPr>
              <w:pStyle w:val="TableContents"/>
              <w:bidi w:val="0"/>
              <w:spacing w:before="0" w:after="283"/>
              <w:jc w:val="left"/>
              <w:rPr/>
            </w:pPr>
            <w:r>
              <w:rPr/>
              <w:t> </w:t>
            </w:r>
          </w:p>
        </w:tc>
        <w:tc>
          <w:tcPr>
            <w:tcW w:w="281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 million</w:t>
            </w:r>
          </w:p>
        </w:tc>
        <w:tc>
          <w:tcPr>
            <w:tcW w:w="146" w:type="dxa"/>
            <w:tcBorders/>
            <w:shd w:fill="CFF0FC" w:val="clear"/>
            <w:vAlign w:val="center"/>
          </w:tcPr>
          <w:p>
            <w:pPr>
              <w:pStyle w:val="TableContents"/>
              <w:bidi w:val="0"/>
              <w:spacing w:before="0" w:after="283"/>
              <w:jc w:val="left"/>
              <w:rPr/>
            </w:pPr>
            <w:r>
              <w:rPr/>
              <w:t> </w:t>
            </w:r>
          </w:p>
        </w:tc>
        <w:tc>
          <w:tcPr>
            <w:tcW w:w="2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of $8.0 million paid; no incentive fees deferred</w:t>
            </w:r>
          </w:p>
        </w:tc>
      </w:tr>
      <w:tr>
        <w:trPr/>
        <w:tc>
          <w:tcPr>
            <w:tcW w:w="4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 2</w:t>
            </w:r>
          </w:p>
        </w:tc>
        <w:tc>
          <w:tcPr>
            <w:tcW w:w="146"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 million ($40.0 million multiplied by 20%)</w:t>
            </w:r>
          </w:p>
        </w:tc>
        <w:tc>
          <w:tcPr>
            <w:tcW w:w="146"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 million (20% of $30.0 million)</w:t>
            </w:r>
          </w:p>
        </w:tc>
        <w:tc>
          <w:tcPr>
            <w:tcW w:w="146" w:type="dxa"/>
            <w:tcBorders/>
            <w:shd w:fill="FFFFFF" w:val="clear"/>
            <w:vAlign w:val="center"/>
          </w:tcPr>
          <w:p>
            <w:pPr>
              <w:pStyle w:val="TableContents"/>
              <w:bidi w:val="0"/>
              <w:spacing w:before="0" w:after="283"/>
              <w:jc w:val="left"/>
              <w:rPr/>
            </w:pPr>
            <w:r>
              <w:rPr/>
              <w:t> </w:t>
            </w:r>
          </w:p>
        </w:tc>
        <w:tc>
          <w:tcPr>
            <w:tcW w:w="281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$14.0 million</w:t>
            </w:r>
          </w:p>
        </w:tc>
        <w:tc>
          <w:tcPr>
            <w:tcW w:w="146" w:type="dxa"/>
            <w:tcBorders/>
            <w:shd w:fill="FFFFFF" w:val="clear"/>
            <w:vAlign w:val="center"/>
          </w:tcPr>
          <w:p>
            <w:pPr>
              <w:pStyle w:val="TableContents"/>
              <w:bidi w:val="0"/>
              <w:spacing w:before="0" w:after="283"/>
              <w:jc w:val="left"/>
              <w:rPr/>
            </w:pPr>
            <w:r>
              <w:rPr/>
              <w:t> </w:t>
            </w:r>
          </w:p>
        </w:tc>
        <w:tc>
          <w:tcPr>
            <w:tcW w:w="2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of $14.0 million paid; no incentive fees deferred</w:t>
            </w:r>
          </w:p>
        </w:tc>
      </w:tr>
      <w:tr>
        <w:trPr/>
        <w:tc>
          <w:tcPr>
            <w:tcW w:w="4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 3</w:t>
            </w:r>
          </w:p>
        </w:tc>
        <w:tc>
          <w:tcPr>
            <w:tcW w:w="146" w:type="dxa"/>
            <w:tcBorders/>
            <w:shd w:fill="CFF0FC" w:val="clear"/>
            <w:vAlign w:val="center"/>
          </w:tcPr>
          <w:p>
            <w:pPr>
              <w:pStyle w:val="TableContents"/>
              <w:bidi w:val="0"/>
              <w:spacing w:before="0" w:after="283"/>
              <w:jc w:val="left"/>
              <w:rPr/>
            </w:pPr>
            <w:r>
              <w:rPr/>
              <w:t> </w:t>
            </w:r>
          </w:p>
        </w:tc>
        <w:tc>
          <w:tcPr>
            <w:tcW w:w="1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 million ($40.0 million multiplied by 20%)</w:t>
            </w:r>
          </w:p>
        </w:tc>
        <w:tc>
          <w:tcPr>
            <w:tcW w:w="146" w:type="dxa"/>
            <w:tcBorders/>
            <w:shd w:fill="CFF0FC" w:val="clear"/>
            <w:vAlign w:val="center"/>
          </w:tcPr>
          <w:p>
            <w:pPr>
              <w:pStyle w:val="TableContents"/>
              <w:bidi w:val="0"/>
              <w:spacing w:before="0" w:after="283"/>
              <w:jc w:val="left"/>
              <w:rPr/>
            </w:pPr>
            <w:r>
              <w:rPr/>
              <w:t> </w:t>
            </w:r>
          </w:p>
        </w:tc>
        <w:tc>
          <w:tcPr>
            <w:tcW w:w="294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None (20% of cumulative net capital gains of $25.0 million ($30.0 million in cumulative realized gains less $5.0 million in cumulative unrealized capital depreciation) less $6.0 million of capital gains fee paid in Year 2)</w:t>
            </w:r>
          </w:p>
        </w:tc>
        <w:tc>
          <w:tcPr>
            <w:tcW w:w="146" w:type="dxa"/>
            <w:tcBorders/>
            <w:shd w:fill="CFF0FC" w:val="clear"/>
            <w:vAlign w:val="center"/>
          </w:tcPr>
          <w:p>
            <w:pPr>
              <w:pStyle w:val="TableContents"/>
              <w:bidi w:val="0"/>
              <w:spacing w:before="0" w:after="283"/>
              <w:jc w:val="left"/>
              <w:rPr/>
            </w:pPr>
            <w:r>
              <w:rPr/>
              <w:t> </w:t>
            </w:r>
          </w:p>
        </w:tc>
        <w:tc>
          <w:tcPr>
            <w:tcW w:w="281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$7.0 million (20% of the sum of (a) our pre-incentive fee net investment income, (b) our net unrealized appreciation or depreciation during such period and (c) our net realized capital gains or losses during Year 3)</w:t>
            </w:r>
          </w:p>
        </w:tc>
        <w:tc>
          <w:tcPr>
            <w:tcW w:w="146" w:type="dxa"/>
            <w:tcBorders/>
            <w:shd w:fill="CFF0FC" w:val="clear"/>
            <w:vAlign w:val="center"/>
          </w:tcPr>
          <w:p>
            <w:pPr>
              <w:pStyle w:val="TableContents"/>
              <w:bidi w:val="0"/>
              <w:spacing w:before="0" w:after="283"/>
              <w:jc w:val="left"/>
              <w:rPr/>
            </w:pPr>
            <w:r>
              <w:rPr/>
              <w:t> </w:t>
            </w:r>
          </w:p>
        </w:tc>
        <w:tc>
          <w:tcPr>
            <w:tcW w:w="21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of $7.0 million paid; $8.0 million of incentive fees accrued but payment restricted to $7.0 million; $1.0 million of incentive fees deferred</w:t>
            </w:r>
          </w:p>
        </w:tc>
      </w:tr>
      <w:tr>
        <w:trPr/>
        <w:tc>
          <w:tcPr>
            <w:tcW w:w="4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 4</w:t>
            </w:r>
          </w:p>
        </w:tc>
        <w:tc>
          <w:tcPr>
            <w:tcW w:w="146"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 million ($40.0 million multiplied by 20%)</w:t>
            </w:r>
          </w:p>
        </w:tc>
        <w:tc>
          <w:tcPr>
            <w:tcW w:w="146" w:type="dxa"/>
            <w:tcBorders/>
            <w:shd w:fill="FFFFFF" w:val="clear"/>
            <w:vAlign w:val="center"/>
          </w:tcPr>
          <w:p>
            <w:pPr>
              <w:pStyle w:val="TableContents"/>
              <w:bidi w:val="0"/>
              <w:spacing w:before="0" w:after="283"/>
              <w:jc w:val="left"/>
              <w:rPr/>
            </w:pPr>
            <w:r>
              <w:rPr/>
              <w:t> </w:t>
            </w:r>
          </w:p>
        </w:tc>
        <w:tc>
          <w:tcPr>
            <w:tcW w:w="294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$0.2 million (20% of cumulative net capital gains of $31.0 million ($36.0 million cumulative realized capital gains less $5.0 million cumulative unrealized capital depreciation) less $6.0 million of capital gains fee paid in Year 2)</w:t>
            </w:r>
          </w:p>
        </w:tc>
        <w:tc>
          <w:tcPr>
            <w:tcW w:w="146" w:type="dxa"/>
            <w:tcBorders/>
            <w:shd w:fill="FFFFFF" w:val="clear"/>
            <w:vAlign w:val="center"/>
          </w:tcPr>
          <w:p>
            <w:pPr>
              <w:pStyle w:val="TableContents"/>
              <w:bidi w:val="0"/>
              <w:spacing w:before="0" w:after="283"/>
              <w:jc w:val="left"/>
              <w:rPr/>
            </w:pPr>
            <w:r>
              <w:rPr/>
              <w:t> </w:t>
            </w:r>
          </w:p>
        </w:tc>
        <w:tc>
          <w:tcPr>
            <w:tcW w:w="281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$8.2 million</w:t>
            </w:r>
          </w:p>
        </w:tc>
        <w:tc>
          <w:tcPr>
            <w:tcW w:w="146" w:type="dxa"/>
            <w:tcBorders/>
            <w:shd w:fill="FFFFFF" w:val="clear"/>
            <w:vAlign w:val="center"/>
          </w:tcPr>
          <w:p>
            <w:pPr>
              <w:pStyle w:val="TableContents"/>
              <w:bidi w:val="0"/>
              <w:spacing w:before="0" w:after="283"/>
              <w:jc w:val="left"/>
              <w:rPr/>
            </w:pPr>
            <w:r>
              <w:rPr/>
              <w:t> </w:t>
            </w:r>
          </w:p>
        </w:tc>
        <w:tc>
          <w:tcPr>
            <w:tcW w:w="21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of $9.2 million paid ($8.2 million of incentive fees accrued in Year 4 plus $1.0 million of deferred incentive fees); no incentive fees deferred</w:t>
            </w:r>
          </w:p>
        </w:tc>
      </w:tr>
    </w:tbl>
    <w:p>
      <w:pPr>
        <w:pStyle w:val="TextBody"/>
        <w:bidi w:val="0"/>
        <w:spacing w:before="240" w:after="283"/>
        <w:jc w:val="left"/>
        <w:rPr>
          <w:rFonts w:ascii="Times New Roman" w:hAnsi="Times New Roman"/>
          <w:sz w:val="20"/>
        </w:rPr>
      </w:pPr>
      <w:r>
        <w:rPr>
          <w:rFonts w:ascii="Times New Roman" w:hAnsi="Times New Roman"/>
          <w:b/>
          <w:color w:val="000000"/>
          <w:sz w:val="16"/>
        </w:rPr>
        <w:t>Prior Investment Advisory Agreement</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On September 24, 2013, the Company entered into an investment advisory agreement (the “Prior Investment Advisory Agreement”) with our Prior Investment Adviser, Capitala Investment Advisors, LLC (“Capitala”), which was initially approved by the Board on June 10, 2013. As described in our Proxy Statement on Schedule 14A, filed on May 4, 2021, which is incorporated herein by reference, the terms of the Prior Investment Advisory Agreement are substantially the same as those contained in the Investment Advisory Agreement, other than the reset of the capital gains incentive fee lookback feature to the date when Mount Logan assumed management of the Company.</w:t>
      </w:r>
    </w:p>
    <w:p>
      <w:pPr>
        <w:pStyle w:val="TextBody"/>
        <w:bidi w:val="0"/>
        <w:spacing w:before="160" w:after="160"/>
        <w:jc w:val="both"/>
        <w:rPr>
          <w:rFonts w:ascii="Times New Roman" w:hAnsi="Times New Roman"/>
          <w:sz w:val="20"/>
        </w:rPr>
      </w:pPr>
      <w:r>
        <w:rPr>
          <w:rFonts w:ascii="Times New Roman" w:hAnsi="Times New Roman"/>
          <w:color w:val="000000"/>
          <w:sz w:val="16"/>
        </w:rPr>
        <w:t>Our Prior Investment Adviser is registered as an investment adviser under the Advisers Act. Subject to the overall supervision of our Board, our Prior Investment Adviser managed our day-to-day operations, and provided investment advisory and management services to us. Under the terms of our Prior Investment Advisory Agreement, the Prior Investment Adviser:</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determined the composition of our portfolio, the nature and timing of the changes to our portfolio and the manner of implementing such changes;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identified, evaluated and negotiated the structure of the investments we made (including performing due diligence on our prospective portfolio companies);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closed and monitored the investments we made;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provided us with other investment advisory, research and related services as we may have from time to time required. </w:t>
      </w:r>
    </w:p>
    <w:p>
      <w:pPr>
        <w:pStyle w:val="TextBody"/>
        <w:bidi w:val="0"/>
        <w:spacing w:before="160" w:after="283"/>
        <w:jc w:val="both"/>
        <w:rPr>
          <w:rFonts w:ascii="Times New Roman" w:hAnsi="Times New Roman"/>
          <w:sz w:val="20"/>
        </w:rPr>
      </w:pPr>
      <w:r>
        <w:rPr>
          <w:rFonts w:ascii="Times New Roman" w:hAnsi="Times New Roman"/>
          <w:color w:val="000000"/>
          <w:sz w:val="16"/>
        </w:rPr>
        <w:t>The Prior Investment Adviser’s services under the Prior Investment Advisory Agreement were not exclusive, and it was free to furnish similar services to other entities so long as its services to us were not impaired.</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Pursuant to the Prior Investment Advisory Agreement, we agreed to pay the Prior Investment Adviser a fee for investment advisory and management services consisting of two components — a base management fee and an incentive fee.</w:t>
      </w:r>
    </w:p>
    <w:p>
      <w:pPr>
        <w:pStyle w:val="TextBody"/>
        <w:bidi w:val="0"/>
        <w:spacing w:before="240" w:after="283"/>
        <w:jc w:val="left"/>
        <w:rPr>
          <w:rFonts w:ascii="Times New Roman" w:hAnsi="Times New Roman"/>
          <w:sz w:val="20"/>
        </w:rPr>
      </w:pPr>
      <w:r>
        <w:rPr>
          <w:rFonts w:ascii="Times New Roman" w:hAnsi="Times New Roman"/>
          <w:b/>
          <w:color w:val="000000"/>
          <w:sz w:val="16"/>
        </w:rPr>
        <w:t>Prior Management Fee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prior base management fee was calculated at an annual rate of 1.75% of our gross assets, which was our total assets as reflected on our consolidated statements of assets and liabilities and included any borrowings for investment purposes. Although we did not anticipate making significant investments in derivative financial instruments, the fair value of any such investments, which would not necessarily equal their notional value, would be included in our calculation of gross assets. For services rendered under the Prior Investment Advisory Agreement, the base management fee was payable quarterly in arrears. The base management fee was calculated based on the average value of our gross assets at the end of the two most recently completed calendar quarters, and appropriately adjusted for any share issuances or repurchases during the current calendar quarter.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Prior Incentive Fee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prior incentive fee consists of the following two parts: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first part of the prior incentive fee was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received from portfolio companies) accrued during the calendar quarter, minus our operating expenses for the quarter (including the base management fee, expenses payable under an administration agreement between us and the prior administrator (the “Prior Administration Agreement”), and any interest expense and dividends paid on any issued and outstanding preferred stock, but excluding the prior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did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was compared to a hurdle of 2.0% per quarter (8.0% annualized). We paid the Prior Investment Adviser an incentive fee with respect to our pre-incentive fee net investment income in each calendar quarter as follows: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no incentive fee in any calendar quarter in which our pre-incentive fee net investment income did not exceed the hurdle of 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100% of our pre-incentive fee net investment income with respect to that portion of such pre-incentive fee net investment income, if any, that exceeded the hurdle but was less than 2.5% in any calendar quarter (10.0% annualized). We refer to this portion of our pre-incentive fee net investment income (which exceeded the hurdle but was less than 2.5%) as the “catch-up.” The “catch-up” was meant to provide our Prior Investment Adviser with 20.0% of our pre-incentive fee net investment income as if a hurdle did not apply if this net investment income exceeded 2.5% in any calendar quarter;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20.0% of the amount of our pre-incentive fee net investment income, if any, that exceeded 2.5% in any calendar quarter (10.0% annualized) was payable to the Prior Investment Adviser (once the hurdle was reached and the catch-up was achieved, 20.0% of all pre-incentive fee investment income thereafter was allocated to the Prior Investment Adviser). </w:t>
      </w:r>
    </w:p>
    <w:p>
      <w:pPr>
        <w:pStyle w:val="TextBody"/>
        <w:bidi w:val="0"/>
        <w:spacing w:before="160" w:after="283"/>
        <w:jc w:val="both"/>
        <w:rPr>
          <w:rFonts w:ascii="Times New Roman" w:hAnsi="Times New Roman"/>
          <w:sz w:val="20"/>
        </w:rPr>
      </w:pPr>
      <w:r>
        <w:rPr>
          <w:rFonts w:ascii="Times New Roman" w:hAnsi="Times New Roman"/>
          <w:color w:val="000000"/>
          <w:sz w:val="16"/>
        </w:rPr>
        <w:t>The second part of the prior incentive fee was determined and payable in arrears as of the end of each calendar year (or upon termination of the Prior Investment Advisory Agreement, as of the termination date), and would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would defer cash payment of the portion of any incentive fee otherwise earned by the Prior Investment Adviser that would, when taken together with all other prior incentive fees paid to the Prior Investment Adviser during the most recent 12 full calendar month period ending on or prior to the date such payment was to be made, exceed 20.0% of the sum of (a) the pre-incentive fee net investment income during such period, (b) the net unrealized appreciation or depreciation during such period and (c) the net realized capital gains or losses during such period. Any deferred incentive fees would be carried over for payment in subsequent calculation periods to the extent such payment was payable under the Prior Investment Advisory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Prior Investment Adviser voluntarily agreed to waive all or such portion of the quarterly incentive fees earned by the Prior Investment Adviser that would otherwise cause our quarterly net investment income to be less than the distribution payments declared by our Board. Quarterly prior incentive fees were earned by the Prior Investment Adviser pursuant to the Prior Investment Advisory Agreement. Prior Incentive fees subject to the waiver could not exceed the amount of incentive fees earned during the period, as calculated on a quarterly basis. The Prior Investment Adviser would not be entitled to recoup any amount of prior incentive fees that it waived. The waiver was effective in the fourth quarter of 2015 and continued through termination of the Prior Investment Advisory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Payment of Our Expenses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team of our Investment Adviser and their respective staffs, when and to the extent engaged in providing investment advisory and management services, and the compensation and routine overhead expenses of such personnel allocable to such services, are provided and paid for by the Investment Adviser. We bear all other costs and expenses of our operations and transactions, including (without limitation):</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cost of our organization;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cost of calculating our net asset value, including the cost of any third-party valuation services;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cost of effecting sales and repurchases of our shares and other securities;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interest payable on debt, if any, to finance our investments;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transfer agent and custodial fees;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fees and expenses associated with marketing efforts;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costs associated with our reporting and compliance obligations under the 1940 Act, the Securities Exchange Act of 1934, as amended (the “1934 Act”), and other applicable federal and state securities laws, and ongoing stock exchange listing fees;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federal, state and local taxes;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independent directors’ fees and expenses;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brokerage commissions;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costs of proxy statements, stockholders’ reports and other communications with stockholders;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fidelity bond, directors’ and officers’ liability insurance, errors and omissions liability insurance and other insurance premiums;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direct costs and expenses of administration, including printing, mailing, telephone and staff;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fees and expenses associated with independent audits and outside legal costs;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 </w:t>
      </w:r>
    </w:p>
    <w:p>
      <w:pPr>
        <w:pStyle w:val="TextBody"/>
        <w:bidi w:val="0"/>
        <w:spacing w:before="240" w:after="283"/>
        <w:jc w:val="left"/>
        <w:rPr>
          <w:rFonts w:ascii="Times New Roman" w:hAnsi="Times New Roman"/>
          <w:sz w:val="20"/>
        </w:rPr>
      </w:pPr>
      <w:r>
        <w:rPr>
          <w:rFonts w:ascii="Times New Roman" w:hAnsi="Times New Roman"/>
          <w:b/>
          <w:i/>
          <w:color w:val="000000"/>
          <w:sz w:val="16"/>
        </w:rPr>
        <w:t>Duration and Termination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231F20"/>
          <w:sz w:val="16"/>
        </w:rPr>
        <w:t>On July 1, 2021, the Company entered into an investment advisory agreement (the “Investment Advisory Agreement</w:t>
      </w:r>
      <w:r>
        <w:rPr>
          <w:rFonts w:ascii="Times New Roman" w:hAnsi="Times New Roman"/>
          <w:color w:val="000000"/>
          <w:sz w:val="20"/>
        </w:rPr>
        <w:t>”</w:t>
      </w:r>
      <w:r>
        <w:rPr>
          <w:rFonts w:ascii="Times New Roman" w:hAnsi="Times New Roman"/>
          <w:color w:val="231F20"/>
          <w:sz w:val="16"/>
        </w:rPr>
        <w:t>) with the Investment Adviser, which was approved by the Company’s stockholders on May 27, 2021. Unless earlier terminated in accordance with its terms, the Investment Advisory Agreement will remain in effect from year-to-year if approved annually by the Board or by a majority of our outstanding voting securities, including, in either case, by a majority of our directors who are not “interested persons</w:t>
      </w:r>
      <w:r>
        <w:rPr>
          <w:rFonts w:ascii="Times New Roman" w:hAnsi="Times New Roman"/>
          <w:color w:val="000000"/>
          <w:sz w:val="20"/>
        </w:rPr>
        <w:t>”</w:t>
      </w:r>
      <w:r>
        <w:rPr>
          <w:rFonts w:ascii="Times New Roman" w:hAnsi="Times New Roman"/>
          <w:color w:val="231F20"/>
          <w:sz w:val="20"/>
        </w:rPr>
        <w:t xml:space="preserve"> </w:t>
      </w:r>
      <w:r>
        <w:rPr>
          <w:rFonts w:ascii="Times New Roman" w:hAnsi="Times New Roman"/>
          <w:color w:val="231F20"/>
          <w:sz w:val="16"/>
        </w:rPr>
        <w:t xml:space="preserve">as such term is defined in Section 2(a)(19) of the 1940 Act (“Independent Directors"). The Board most recently approved the renewal of the Investment Advisory Agreement at a meeting on May 9, 2023. The Investment Advisory Agreement will automatically terminate in the event of its assignment. </w:t>
      </w:r>
      <w:r>
        <w:rPr>
          <w:rFonts w:ascii="Times New Roman" w:hAnsi="Times New Roman"/>
          <w:color w:val="000000"/>
          <w:sz w:val="16"/>
        </w:rPr>
        <w:t>The Investment Advisory Agreement may also be terminated by either party without penalty upon not less than 60 days’ written notice to the other party. See “Risk Factors — Risks Relating to Our Business and Structure — Our Investment Adviser has the right to resign on 60 days’ notice and we may not be able to find a suitable replacement within such time, resulting in a disruption in our operations that could adversely affect our financial condition, business and results of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6"/>
        </w:rPr>
        <w:t>Indemnification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Advisory Agreement provides that, absent willful misfeasance, bad faith or gross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the Investment Adviser’s services under the Investment Advisory Agreement or otherwise as an investment adviser of Logan Ridge.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16"/>
        </w:rPr>
        <w:t>Organization of the Investment Adviser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 is a Delaware limited liability company. The principal executive offices of the Investment Adviser are located at 650 Madison Avenue, 23rd Floor, New York, New York 10022.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Administration Agreement</w:t>
      </w:r>
    </w:p>
    <w:p>
      <w:pPr>
        <w:pStyle w:val="TextBody"/>
        <w:bidi w:val="0"/>
        <w:spacing w:before="160" w:after="283"/>
        <w:jc w:val="both"/>
        <w:rPr>
          <w:rFonts w:ascii="Times New Roman" w:hAnsi="Times New Roman"/>
          <w:sz w:val="20"/>
        </w:rPr>
      </w:pPr>
      <w:r>
        <w:rPr>
          <w:rFonts w:ascii="Times New Roman" w:hAnsi="Times New Roman"/>
          <w:color w:val="000000"/>
          <w:sz w:val="16"/>
        </w:rPr>
        <w:t>BC Partners Management LLC, a Delaware limited liability company, serves as our administrator. The principal executive offices of our administrator are located at 650 Madison Avenue, 23rd Floor, New York, New York 10022.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July 1, 2021, we entered into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our administrator’s services under the Administration Agreement or otherwise as administrator for Logan Ridge.</w:t>
      </w:r>
    </w:p>
    <w:p>
      <w:pPr>
        <w:pStyle w:val="TextBody"/>
        <w:bidi w:val="0"/>
        <w:spacing w:before="240" w:after="283"/>
        <w:jc w:val="left"/>
        <w:rPr>
          <w:rFonts w:ascii="Times New Roman" w:hAnsi="Times New Roman"/>
          <w:sz w:val="20"/>
        </w:rPr>
      </w:pPr>
      <w:r>
        <w:rPr>
          <w:rFonts w:ascii="Times New Roman" w:hAnsi="Times New Roman"/>
          <w:b/>
          <w:color w:val="000000"/>
          <w:sz w:val="16"/>
        </w:rPr>
        <w:t>Prior Administration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Prior Administration Agreement was initially approved by the Board on June 10, 2013 (the “Prior Administration Agreement”) and signed on September 24, 2013. The principal executive offices of our Prior Administrator, Capitala Advisors Corp., are located at 4201 Congress Street, Suite 360, Charlotte, North Carolina 28209. The Prior Administrator, pursuant to a sub-administration agreement, engaged U.S. Bank Global Fund Services to act on behalf of the Prior Administrator in its performance of certain administrative services for us. The principal office of U.S. Bank Global Fund Services is 777 East Wisconsin Avenue, Milwaukee, Wisconsin 53202. Pursuant to the Prior Administration Agreement, our prior administrator furnished us with office facilities, equipment and clerical, bookkeeping and record keeping services at such facilities. Under the Prior Administration Agreement, our Prior Administrator also performed, or oversaw the performance of, our required administrative services, which included, among other things, being responsible for the financial records that we are required to maintain and preparing reports to our stockholders. In addition, our Prior Administrator assisted us in determining and publishing our net asset value, oversaw the preparation and filing of our tax returns and the printing and dissemination of reports to our stockholders, and generally oversaw the payment of our expenses and the performance of administrative and professional services rendered to us by others. Payments under the Prior Administration Agreement were equal to an amount based upon our allocable portion of our Prior Administrator’s overhead in performing its obligations under the Prior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Prior Administration Agreement, our Prior Administrator would also provide on our behalf managerial assistance to those portfolio companies that requested such assistance. Unless terminated earlier in accordance with its terms, the Prior Administration Agreement would remain in effect if approved annually by our Board. On July 30, 2020, the Board approved the renewal of the Prior Administration Agreement. The Prior Administration Agreement could be terminated by either party without penalty upon 60 days’ written notice to the other party. To the extent that our Prior Administrator outsourced any of its functions, we would pay the fees associated with such functions on a direct basis without any incremental profit to our Prior Administrator. Stockholder approval was not required to amend the Prior Administration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Prior Administrator also provided administrative services to our Prior Investment Adviser. As a result, the Prior Investment Adviser would also reimburse our Prior Administrator for its allocable portion of our Prior Administrator’s overhead, including rent, the fees and expenses associated with performing compliance functions for the Prior Investment Adviser, and its allocable portion of the compensation of any administrative support staff. The Prior Administration Agreement provided that, absent willful misfeasance, bad faith or negligence in the performance of its duties or by reason of the reckless disregard of its duties and obligations, our Prior Administrator and its officers, managers, partners, agents, employees, controlling persons, members and any other person or entity affiliated with it were entitled to indemnification from Logan Ridge for any damages, liabilities, costs and expenses (including reasonable attorneys’ fees and amounts reasonably paid in settlement) arising from the rendering of our Prior Administrator’s services under the Prior Administration Agreement or otherwise as administrator for Logan Ridge.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Prior License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entered into a license agreement with the Prior Investment Adviser pursuant to which the Prior Investment Adviser agreed to grant us a non-exclusive, royalty-free license to use the name “Capitala.” Under this agreement, we had a right to use the Capitala name for so long as the Prior Investment Advisory Agreement with the Prior Investment Adviser was in effect. Other than with respect to this limited license, we had no legal right to the “Capitala” name.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6"/>
        </w:rPr>
        <w:t>Staffing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Logan Ridge has no employees.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Advisers Act. The Adviser is an affiliate of BC Partners Advisors L.P. for U.S. regulatory purposes. MLC is the ultimate control person of the Investment Adviser.</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pStyle w:val="TextBody"/>
        <w:bidi w:val="0"/>
        <w:spacing w:before="0" w:after="160"/>
        <w:jc w:val="both"/>
        <w:rPr>
          <w:rFonts w:ascii="Times New Roman" w:hAnsi="Times New Roman"/>
          <w:color w:val="000000"/>
          <w:sz w:val="16"/>
        </w:rPr>
      </w:pPr>
      <w:r>
        <w:rPr>
          <w:rFonts w:ascii="Times New Roman" w:hAnsi="Times New Roman"/>
          <w:color w:val="000000"/>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pStyle w:val="TextBody"/>
        <w:bidi w:val="0"/>
        <w:jc w:val="both"/>
        <w:rPr>
          <w:rFonts w:ascii="Times New Roman" w:hAnsi="Times New Roman"/>
          <w:sz w:val="20"/>
        </w:rPr>
      </w:pPr>
      <w:r>
        <w:rPr>
          <w:rFonts w:ascii="Times New Roman" w:hAnsi="Times New Roman"/>
          <w:color w:val="000000"/>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VALUATION PROCESS AND DETERMINATION OF NET ASSET VALUE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determine the net asset value of our investment portfolio each quarter by subtracting our total liabilities from the fair value of our gross assets.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conduct the valuation of our assets, pursuant to which our net asset value shall be determined, at all times consistent with U.S. generally accepted accounting principles (“U.S. GAAP”) and the 1940 Act. Our valuation procedures are set forth in more detail below:</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pStyle w:val="TextBody"/>
        <w:bidi w:val="0"/>
        <w:spacing w:before="160" w:after="283"/>
        <w:jc w:val="both"/>
        <w:rPr>
          <w:rFonts w:ascii="Times New Roman" w:hAnsi="Times New Roman"/>
          <w:sz w:val="20"/>
        </w:rPr>
      </w:pPr>
      <w:r>
        <w:rPr>
          <w:rFonts w:ascii="Times New Roman" w:hAnsi="Times New Roman"/>
          <w:color w:val="000000"/>
          <w:sz w:val="16"/>
        </w:rPr>
        <w:t>The Adviser undertakes a multi-step valuation process, which includes, among other procedures, the following:</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Adviser and investment professionals;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60" w:after="283"/>
        <w:jc w:val="both"/>
        <w:rPr>
          <w:rFonts w:ascii="Times New Roman" w:hAnsi="Times New Roman"/>
          <w:sz w:val="20"/>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240" w:after="283"/>
        <w:jc w:val="left"/>
        <w:rPr>
          <w:rFonts w:ascii="Times New Roman" w:hAnsi="Times New Roman"/>
          <w:sz w:val="20"/>
        </w:rPr>
      </w:pPr>
      <w:r>
        <w:rPr>
          <w:rFonts w:ascii="Times New Roman" w:hAnsi="Times New Roman"/>
          <w:b/>
          <w:color w:val="000000"/>
          <w:sz w:val="16"/>
        </w:rPr>
        <w:t>Determinations in Connection with Offerings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connection with certain future offerings of shares of our common stock, our Board, or an authorized committee thereof, will be required to make the determination that we are not selling shares of our common stock at a price below the then current net asset value of shares of our common stock at the time at which the sale is made. Our Board, or an authorized committee thereof, will consider the following factors, among others, in making such a determination:</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net asset value of shares of our common stock disclosed in the most recent periodic report that we filed with the SEC;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our management’s assessment of whether any material change in the net asset value of shares of our common stock has occurred (including through the realization of gains on the sale of our portfolio securities) during the period beginning on the date of the most recently disclosed net asset value of shares of our common stock and ending as of a time within 48 hours (excluding Sundays and holidays) of the sale of shares of our common stock;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magnitude of the difference between (i) a value that our Board, or an authorized committee thereof, has determined reflects the current (as of a time within 48 hours, excluding Sundays and holidays) net asset value of shares of our common stock, which is based upon the net asset value of shares of our common stock disclosed in the most recent periodic report that we filed with the SEC, as adjusted to reflect our management’s assessment of any material change in the net asset value of shares of our common stock since the date of the most recently disclosed net asset value of shares of our common stock, and (ii) the offering price of the shares of our common stock in the proposed offering. </w:t>
      </w:r>
    </w:p>
    <w:p>
      <w:pPr>
        <w:pStyle w:val="TextBody"/>
        <w:bidi w:val="0"/>
        <w:spacing w:before="160" w:after="283"/>
        <w:jc w:val="both"/>
        <w:rPr>
          <w:rFonts w:ascii="Times New Roman" w:hAnsi="Times New Roman"/>
          <w:sz w:val="20"/>
        </w:rPr>
      </w:pPr>
      <w:r>
        <w:rPr>
          <w:rFonts w:ascii="Times New Roman" w:hAnsi="Times New Roman"/>
          <w:color w:val="000000"/>
          <w:sz w:val="16"/>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COMPETITION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Adviser, our responsive and efficient investment analysis and decision-making processes, and the investment terms we offer.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ELECTION TO BE TAXED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BDC, the Company has elected to be treated, and intends to comply with the requirements to continue to qualify annually, as a RIC under subchapter M of the Code. As a RIC, we generally will not have to pay corporate-level U.S. federal income taxes on any income that we timely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6"/>
        </w:rPr>
        <w:t>TAXATION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any taxable year in which we:</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qualify as a RIC;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satisfy the Annual Distribution Requirement, </w:t>
      </w:r>
    </w:p>
    <w:p>
      <w:pPr>
        <w:pStyle w:val="TextBody"/>
        <w:bidi w:val="0"/>
        <w:spacing w:before="160" w:after="283"/>
        <w:jc w:val="both"/>
        <w:rPr>
          <w:rFonts w:ascii="Times New Roman" w:hAnsi="Times New Roman"/>
          <w:sz w:val="20"/>
        </w:rPr>
      </w:pPr>
      <w:r>
        <w:rPr>
          <w:rFonts w:ascii="Times New Roman" w:hAnsi="Times New Roman"/>
          <w:color w:val="000000"/>
          <w:sz w:val="16"/>
        </w:rPr>
        <w:t>we generally will not be subject to U.S. federal income tax on the portion of our income we timely distribute to stockholders. We will be subject to U.S. federal income tax at the regular corporate rates on any income or capital gains not distributed to our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will be subject to a 4% nondeductible U.S. federal excise tax on certain undistributed income unless we distribute for each calendar year in a timely manner an amount at least equal to the sum of (1) 98% of our ordinary income for the calendar year, (2) 98.2% of our capital gain net income for the one-year period ending October 31 in that calendar year and (3) any ordinary income and capital gain net income that we recognized in preceding years, but were not distributed during such years, and on which we paid no corporate-level U.S. federal income tax (the “Excise Tax Distribution Requirement”).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order to qualify as a RIC for U.S. federal income tax purposes, we must, among other things:</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continue to qualify as a BDC under the 1940 Act at all times during each taxable year;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derive in each taxable year at least 90% of our gross income from dividends, interest, payments with respect to certain loans of securities, gains from the sale or other disposition of stock, securities or foreign currencies, net income from certain “qualified publicly traded partnerships,” or other income derived with respect to our business of investing in such stock, securities or currencies (the “90% Income Test”); and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diversify our holdings so that at the end of each quarter of the taxable year: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o</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accordance with certain applicable U.S. Treasury regulations and other guidance issued by the Internal Revenue Service (“IRS”), a publicly offered RIC may treat a distribution of its own stock as fulfilling its RIC distribution requirements if each stockholder may elect to receive his or her entire distribution in either cash or stock of the RIC, subject to a limitation that the aggregate amount of cash available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other applicable IRS guidance.</w:t>
      </w:r>
    </w:p>
    <w:p>
      <w:pPr>
        <w:pStyle w:val="TextBody"/>
        <w:bidi w:val="0"/>
        <w:spacing w:before="160" w:after="283"/>
        <w:jc w:val="both"/>
        <w:rPr>
          <w:rFonts w:ascii="Times New Roman" w:hAnsi="Times New Roman"/>
          <w:sz w:val="20"/>
        </w:rPr>
      </w:pPr>
      <w:r>
        <w:rPr>
          <w:rFonts w:ascii="Times New Roman" w:hAnsi="Times New Roman"/>
          <w:color w:val="000000"/>
          <w:sz w:val="16"/>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pStyle w:val="TextBody"/>
        <w:bidi w:val="0"/>
        <w:spacing w:before="160" w:after="283"/>
        <w:jc w:val="both"/>
        <w:rPr>
          <w:rFonts w:ascii="Times New Roman" w:hAnsi="Times New Roman"/>
          <w:sz w:val="20"/>
        </w:rPr>
      </w:pPr>
      <w:r>
        <w:rPr>
          <w:rFonts w:ascii="Times New Roman" w:hAnsi="Times New Roman"/>
          <w:color w:val="000000"/>
          <w:sz w:val="16"/>
        </w:rPr>
        <w:t>Subject to the discussion below under “Business – Failure to Qualify as a RIC,” the remainder of this discussion assumes that we will qualify as a RIC and have satisfied the Annual Distribution Requirement.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The U.S.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w:t>
      </w:r>
    </w:p>
    <w:p>
      <w:pPr>
        <w:pStyle w:val="TextBody"/>
        <w:bidi w:val="0"/>
        <w:spacing w:before="160" w:after="283"/>
        <w:jc w:val="both"/>
        <w:rPr>
          <w:rFonts w:ascii="Times New Roman" w:hAnsi="Times New Roman"/>
          <w:sz w:val="20"/>
        </w:rPr>
      </w:pPr>
      <w:r>
        <w:rPr>
          <w:rFonts w:ascii="Times New Roman" w:hAnsi="Times New Roman"/>
          <w:color w:val="000000"/>
          <w:sz w:val="16"/>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FAILURE TO QUALIFY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If we were unable to qualify for treatment as a RIC and the foregoing relief provisions are not applicable, we would be subject to U.S. federal income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or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believe we qualified as a RIC under the Code for the fiscal year ended December 31, 2023, and we intend to comply with the requirements to continue to qualify annually as a RIC under the Code. The Company filed its tax returns as a RIC for the fiscal years ended December 31, 2022, 2021, and 2020. However, in March 2024, the Company determined that information received from a portfolio company held in prior fiscal years and sold in 2022 was inaccurate, and, as a result, the Company did not satisfy the income source requirement for the fiscal years ended December 31, 2022, 2021, and 2020. Accordingly, the Company did not qualify as a RIC under the Code for the fiscal years ended December 31, 2022, 2021 and 2020, and thus the Company would be subject to U.S. federal income tax on all of its taxable income at regular corporate rates for these periods. Based on the assessment that the Company did not qualify as a RIC for the fiscal years ended December 31, 2022, 2021 and 2020, the Company calculated its provision for income tax as a C-Corporation for such fiscal years. Given the operations of the Company for that period, the Company has determined no income tax or capital gains taxes would be due and payable for those periods, had the Company claimed status and filed returns as a C-Corporation. Thus,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The Company did not have a net unrealized gain on its portfolio as of the first day of the fiscal year the Company requalified as a RIC that would be subject to tax if recognized within the subsequent five years.</w:t>
      </w:r>
    </w:p>
    <w:p>
      <w:pPr>
        <w:pStyle w:val="TextBody"/>
        <w:bidi w:val="0"/>
        <w:spacing w:before="240" w:after="283"/>
        <w:jc w:val="left"/>
        <w:rPr>
          <w:rFonts w:ascii="Times New Roman" w:hAnsi="Times New Roman"/>
          <w:sz w:val="20"/>
        </w:rPr>
      </w:pPr>
      <w:r>
        <w:rPr>
          <w:rFonts w:ascii="Times New Roman" w:hAnsi="Times New Roman"/>
          <w:b/>
          <w:color w:val="000000"/>
          <w:sz w:val="16"/>
        </w:rPr>
        <w:t>REGULATION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with other companies regulated by the 1940 Act, a BDC must adhere to certain substantive regulatory requirements. A majority of our directors must be independent directors.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BDC, we are generally required to meet an asset coverage ratio, defined under the 1940 Act as the ratio of our gross assets (less all liabilities and indebtedness not represented by senior securities) to our outstanding senior securities, of at least 150%, if certain conditions are met, after each issuance of senior securities.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ratio requirement for senior securities was changed from 200% to 150%, effective November 1, 2019.</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We may also be prohibited under the 1940 Act from knowingly participating in certain transactions with our affiliates without the prior approval of our directors who are not interested persons and, in some cases, prior approval by the SEC.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231F20"/>
          <w:sz w:val="20"/>
        </w:rPr>
        <w:t xml:space="preserve"> </w:t>
      </w:r>
      <w:r>
        <w:rPr>
          <w:rFonts w:ascii="Times New Roman" w:hAnsi="Times New Roman"/>
          <w:color w:val="231F20"/>
          <w:sz w:val="16"/>
        </w:rPr>
        <w:t>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w:t>
      </w:r>
      <w:r>
        <w:rPr>
          <w:rFonts w:ascii="Times New Roman" w:hAnsi="Times New Roman"/>
          <w:color w:val="000000"/>
          <w:sz w:val="20"/>
        </w:rPr>
        <w:t xml:space="preserve"> </w:t>
      </w:r>
      <w:r>
        <w:rPr>
          <w:rFonts w:ascii="Times New Roman" w:hAnsi="Times New Roman"/>
          <w:color w:val="231F20"/>
          <w:sz w:val="16"/>
        </w:rPr>
        <w:t>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generally not permitted to issue and sell shares of our common stock at a price below net asset value per share.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shares of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shares of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will be periodically examined by the SEC for compliance with the 1940 Act.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BDC, we are subject to certain risks and uncertainties. See “Risk Factors — Risks Relating to Our Business and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QUALIFYING ASSETS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principal categories of qualifying assets relevant to our proposed business are the following:</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Securities purchased in transactions not involving any public offering, the issuer of which is an eligible portfolio company;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Securities received in exchange for or distributed with respect to securities described in the bullet above or pursuant to the exercise of options, warrants or rights relating to such securities;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Cash, cash items, government securities or high quality debt securities (within the meaning of the 1940 Act), maturing in one year or less from the time of investment. </w:t>
      </w:r>
    </w:p>
    <w:p>
      <w:pPr>
        <w:pStyle w:val="TextBody"/>
        <w:bidi w:val="0"/>
        <w:spacing w:before="160" w:after="283"/>
        <w:jc w:val="both"/>
        <w:rPr>
          <w:rFonts w:ascii="Times New Roman" w:hAnsi="Times New Roman"/>
          <w:sz w:val="20"/>
        </w:rPr>
      </w:pPr>
      <w:r>
        <w:rPr>
          <w:rFonts w:ascii="Times New Roman" w:hAnsi="Times New Roman"/>
          <w:color w:val="000000"/>
          <w:sz w:val="16"/>
        </w:rPr>
        <w:t>An eligible portfolio company is generally a domestic company that is not an investment company (other than a SBIC wholly owned by a BDC) and that:</w:t>
      </w:r>
      <w:r>
        <w:rPr>
          <w:rFonts w:ascii="Times New Roman" w:hAnsi="Times New Roman"/>
          <w:color w:val="000000"/>
          <w:sz w:val="20"/>
        </w:rPr>
        <w:t xml:space="preserv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does not have a class of securities with respect to which a broker may extend margin credit at the time the acquisition is made;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is controlled by the BDC and has an affiliate of the BDC on its board;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does not have any class of securities listed on a national securities exchange; </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is a public company that lists its securities on a national securities exchange with a market capitalization of less than $250 million; or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meets such other criteria as may be established by the SEC. </w:t>
      </w:r>
    </w:p>
    <w:p>
      <w:pPr>
        <w:pStyle w:val="TextBody"/>
        <w:bidi w:val="0"/>
        <w:spacing w:before="160" w:after="283"/>
        <w:jc w:val="both"/>
        <w:rPr>
          <w:rFonts w:ascii="Times New Roman" w:hAnsi="Times New Roman"/>
          <w:sz w:val="20"/>
        </w:rPr>
      </w:pPr>
      <w:r>
        <w:rPr>
          <w:rFonts w:ascii="Times New Roman" w:hAnsi="Times New Roman"/>
          <w:color w:val="000000"/>
          <w:sz w:val="16"/>
        </w:rPr>
        <w:t>Control, as defined by the 1940 Act, is presumed to exist where a BDC beneficially owns more than 25% of the outstanding voting securities of the portfolio company.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addition, a BDC must have been organized and have its principal place of business in the U.S. and must be operated for the purpose of making investments in eligible portfolio companies, or in other securities that are consistent with its purpose as a BDC.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SIGNIFICANT MANAGERIAL ASSISTANCE TO PORTFOLIO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BDCs generally must offer to make available to the issuer of the securities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TEMPORARY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REPURCHASE AGREEMENTS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with a single counterparty, we may not meet the diversification tests in order to qualify as a RIC under the Code. Thus, we do not intend to enter into repurchase agreements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with a single counterparty in excess of this limit. Our Investment Adviser will monitor the creditworthiness of the counterparties with which we enter into repurchase agreement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SENIOR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permitted, under specified conditions, to issue multiple classes of indebtedness and one class of stock senior to our common stock if our asset coverage, as defined in the 1940 Act, is at least equal to 150%, if certain requirements are met,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CODE OF ETHICS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We and our Investment Adviser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Our code of ethics is also available on our website at </w:t>
      </w:r>
      <w:r>
        <w:rPr>
          <w:rFonts w:ascii="Times New Roman" w:hAnsi="Times New Roman"/>
          <w:i/>
          <w:color w:val="000000"/>
          <w:sz w:val="16"/>
        </w:rPr>
        <w:t>www.loganridgefinance.com</w:t>
      </w:r>
      <w:r>
        <w:rPr>
          <w:rFonts w:ascii="Times New Roman" w:hAnsi="Times New Roman"/>
          <w:color w:val="000000"/>
          <w:sz w:val="16"/>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COMPLIANCE POLICIES AND PROCEDURES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and our Investment Adviser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David Held currently serves as our chief compliance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SARBANES-OXLEY ACT OF 2002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Sarbanes-Oxley Act of 2002 (the “Sarbanes-Oxley Act”) imposes a wide variety of regulatory requirements on publicly-held companies and their insiders. Many of these requirements affect us. For example:</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pursuant to Rule 13a-14 of the 1934 Act, our chief executive officer and chief financial officer must certify the accuracy of the financial statements contained in our periodic reports;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pursuant to Item 307 of Regulation S-K, our periodic reports must disclose our conclusions about the effectiveness of our disclosure controls and procedures;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pursuant to Rule 13a-15 of the 1934 Act, our management is required to prepare an annual report regarding its assessment of our internal control over financial reporting. As a non-accelerated filer, we are not currently required to obtain an audit of the effectiveness of internal control over financial reporting from our independent registered public accounting firm.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 </w:t>
      </w:r>
    </w:p>
    <w:p>
      <w:pPr>
        <w:pStyle w:val="TextBody"/>
        <w:bidi w:val="0"/>
        <w:spacing w:before="160" w:after="283"/>
        <w:jc w:val="both"/>
        <w:rPr>
          <w:rFonts w:ascii="Times New Roman" w:hAnsi="Times New Roman"/>
          <w:sz w:val="20"/>
        </w:rPr>
      </w:pPr>
      <w:r>
        <w:rPr>
          <w:rFonts w:ascii="Times New Roman" w:hAnsi="Times New Roman"/>
          <w:color w:val="000000"/>
          <w:sz w:val="16"/>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PROXY VOTING POLICIES AND PROCEDURES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delegated our proxy voting responsibility to the Investment Adviser. The proxy voting policies and procedures of the Investment Adviser are set forth below. The guidelines will be reviewed periodically by the Investment Adviser and our non-interested directors, and, accordingly, are subject to change. For purposes of the proxy voting policies and procedures described below, “we,” “our” and “us” refers to the Investment Adviser.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16"/>
        </w:rPr>
        <w:t>Introduction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These policies and procedures for voting proxies for our investment advisory clients are intended to comply with Section 206 of, and Rule 206(4)-6 under, the Advisers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16"/>
        </w:rPr>
        <w:t>Proxy Policies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16"/>
        </w:rPr>
        <w:t>Proxy Voting Records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You may obtain information about how we voted proxies by making a written request for proxy voting information to: Mount Logan Management LLC, 650 Madison Avenue, 23rd Floor, New York, New York 10022.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PRIVACY PRINCIPLES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pStyle w:val="TextBody"/>
        <w:bidi w:val="0"/>
        <w:spacing w:before="240" w:after="283"/>
        <w:jc w:val="left"/>
        <w:rPr>
          <w:rFonts w:ascii="Times New Roman" w:hAnsi="Times New Roman"/>
          <w:sz w:val="20"/>
        </w:rPr>
      </w:pPr>
      <w:r>
        <w:rPr>
          <w:rFonts w:ascii="Times New Roman" w:hAnsi="Times New Roman"/>
          <w:b/>
          <w:color w:val="000000"/>
          <w:sz w:val="16"/>
        </w:rPr>
        <w:t>NASDAQ GLOBAL SELECT MARKET REQUIREMENTS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AVAILABLE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corporate headquarters are located at 650 Madison Avenue, 23</w:t>
      </w:r>
      <w:r>
        <w:rPr>
          <w:rFonts w:ascii="Times New Roman" w:hAnsi="Times New Roman"/>
          <w:color w:val="000000"/>
          <w:sz w:val="11"/>
        </w:rPr>
        <w:t>rd</w:t>
      </w:r>
      <w:r>
        <w:rPr>
          <w:rFonts w:ascii="Times New Roman" w:hAnsi="Times New Roman"/>
          <w:color w:val="000000"/>
          <w:sz w:val="20"/>
        </w:rPr>
        <w:t xml:space="preserve"> </w:t>
      </w:r>
      <w:r>
        <w:rPr>
          <w:rFonts w:ascii="Times New Roman" w:hAnsi="Times New Roman"/>
          <w:color w:val="000000"/>
          <w:sz w:val="16"/>
        </w:rPr>
        <w:t xml:space="preserve">Floor, New York, New York 10022. We maintain a website located at </w:t>
      </w:r>
      <w:r>
        <w:rPr>
          <w:rFonts w:ascii="Times New Roman" w:hAnsi="Times New Roman"/>
          <w:i/>
          <w:color w:val="000000"/>
          <w:sz w:val="16"/>
        </w:rPr>
        <w:t>www.loganridgefinance.com</w:t>
      </w:r>
      <w:r>
        <w:rPr>
          <w:rFonts w:ascii="Times New Roman" w:hAnsi="Times New Roman"/>
          <w:color w:val="000000"/>
          <w:sz w:val="20"/>
        </w:rPr>
        <w:t xml:space="preserve"> </w:t>
      </w:r>
      <w:r>
        <w:rPr>
          <w:rFonts w:ascii="Times New Roman" w:hAnsi="Times New Roman"/>
          <w:color w:val="000000"/>
          <w:sz w:val="16"/>
        </w:rPr>
        <w:t>and our phone number is (212) 891-2880. We make available free of charge on our website our proxy statement, annual 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The SEC also maintains a website that contains reports, proxy and information statements and other information we file with the SEC at </w:t>
      </w:r>
      <w:r>
        <w:rPr>
          <w:rFonts w:ascii="Times New Roman" w:hAnsi="Times New Roman"/>
          <w:i/>
          <w:color w:val="000000"/>
          <w:sz w:val="16"/>
        </w:rPr>
        <w:t>www.sec.gov</w:t>
      </w:r>
      <w:r>
        <w:rPr>
          <w:rFonts w:ascii="Times New Roman" w:hAnsi="Times New Roman"/>
          <w:color w:val="000000"/>
          <w:sz w:val="16"/>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1a_risk_factors"/>
      <w:bookmarkEnd w:id="4"/>
      <w:r>
        <w:rPr>
          <w:rFonts w:ascii="Times New Roman" w:hAnsi="Times New Roman"/>
          <w:b/>
          <w:color w:val="000000"/>
          <w:sz w:val="16"/>
        </w:rPr>
        <w:t>ITEM 1A. RISK FACTORS</w:t>
      </w:r>
      <w:r>
        <w:rPr>
          <w:rFonts w:ascii="Times New Roman" w:hAnsi="Times New Roman"/>
          <w:color w:val="000000"/>
          <w:sz w:val="20"/>
        </w:rPr>
        <w:t xml:space="preserve"> </w:t>
      </w:r>
    </w:p>
    <w:p>
      <w:pPr>
        <w:pStyle w:val="TextBody"/>
        <w:bidi w:val="0"/>
        <w:spacing w:before="160" w:after="283"/>
        <w:jc w:val="both"/>
        <w:rPr>
          <w:rFonts w:ascii="Times New Roman" w:hAnsi="Times New Roman"/>
          <w:i/>
          <w:color w:val="000000"/>
          <w:sz w:val="16"/>
        </w:rPr>
      </w:pPr>
      <w:r>
        <w:rPr>
          <w:rFonts w:ascii="Times New Roman" w:hAnsi="Times New Roman"/>
          <w:i/>
          <w:color w:val="000000"/>
          <w:sz w:val="16"/>
        </w:rPr>
        <w:t>Investing in our securities involves a number of significant risks. The risk factors described below are the principal risk factors associated with an investment in our securities as well as those factors generally associated with an investment company with investment objectives, investment policies, capital structure or trading markets similar to ours. You should carefully consider the risk factors described below, together with all of the other information included in this Annual Report, including our consolidated financial statements and the related notes thereto, before you decide whether to make an investment in our securities. The risks set out below are not the only risks we face. Additional risks and uncertainties not currently known to us or that we currently deem to be immaterial may also materially and adversely affect our business, financial condition and operating results. If any of the following events occur, our business, financial condition and results of operations could be materially and adversely affected. In such case, the net asset value and the trading price of our securities could decline, and you may lose all or part of your investment.</w:t>
      </w:r>
    </w:p>
    <w:p>
      <w:pPr>
        <w:pStyle w:val="TextBody"/>
        <w:bidi w:val="0"/>
        <w:spacing w:before="240" w:after="160"/>
        <w:jc w:val="left"/>
        <w:rPr>
          <w:rFonts w:ascii="Times New Roman" w:hAnsi="Times New Roman"/>
          <w:sz w:val="20"/>
        </w:rPr>
      </w:pPr>
      <w:r>
        <w:rPr>
          <w:rFonts w:ascii="Times New Roman" w:hAnsi="Times New Roman"/>
          <w:b/>
          <w:color w:val="000000"/>
          <w:sz w:val="16"/>
        </w:rPr>
        <w:t>Risks Relating to Our Business and Structure</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Our Board may change our investment objective, operating policies and strategies without prior notice or stockholder approval, the effects of which may be adverse to our results of operations and financial condition.</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Our Board has the authority to modify or waive our current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securities. However, the effects might be adverse, which could negatively impact our ability to make distributions and cause you to lose all or part of your investment. Moreover, we have significant flexibility in investing our assets and may invest in ways investors may not agree with or in the future may invest in ways other than those previously disclosed or disclosed herein.</w:t>
      </w:r>
    </w:p>
    <w:p>
      <w:pPr>
        <w:pStyle w:val="TextBody"/>
        <w:bidi w:val="0"/>
        <w:jc w:val="left"/>
        <w:rPr>
          <w:rFonts w:ascii="Times New Roman" w:hAnsi="Times New Roman"/>
          <w:b/>
          <w:i/>
          <w:color w:val="000000"/>
          <w:sz w:val="16"/>
        </w:rPr>
      </w:pPr>
      <w:r>
        <w:rPr>
          <w:rFonts w:ascii="Times New Roman" w:hAnsi="Times New Roman"/>
          <w:b/>
          <w:i/>
          <w:color w:val="000000"/>
          <w:sz w:val="16"/>
        </w:rPr>
        <w:t>Price declines in the medium- and large-sized U.S. corporate debt market may adversely affect the fair value of our portfolio, reducing our net asset value through increased net unrealized depreciation.</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Conditions in the medium- and large-sized U.S. corporate debt market may deteriorate, as seen during the global financial crisis from 2007-2009 and to a lesser extent in recent years following the COVID-19 pandemic, which may cause pricing levels to similarly decline or be volatile. During the financial crisis, many institutions were forced to raise cash by selling their interests in performing assets in order to satisfy margin requirements or the equivalent of margin requirements imposed by their lenders and/or, in the case of hedge funds and other investment vehicles, to satisfy widespread redemption requests. This resulted in a forced deleveraging cycle of price declines, compulsory sales, and further price declines, with falling underlying credit values, and other constraints resulting from the credit crisis generating further selling pressure. If similar events occurred in the medium- and large-sized U.S. corporate debt market, our net asset value could decline through an increase in unrealized depreciation and incurrence of realized losses in connection with the sale of our investments, which could have a material adverse impact on our business, financial condition and results of operations.</w:t>
      </w:r>
    </w:p>
    <w:p>
      <w:pPr>
        <w:pStyle w:val="TextBody"/>
        <w:bidi w:val="0"/>
        <w:jc w:val="left"/>
        <w:rPr>
          <w:rFonts w:ascii="Times New Roman" w:hAnsi="Times New Roman"/>
          <w:b/>
          <w:i/>
          <w:color w:val="000000"/>
          <w:sz w:val="16"/>
        </w:rPr>
      </w:pPr>
      <w:r>
        <w:rPr>
          <w:rFonts w:ascii="Times New Roman" w:hAnsi="Times New Roman"/>
          <w:b/>
          <w:i/>
          <w:color w:val="000000"/>
          <w:sz w:val="16"/>
        </w:rPr>
        <w:t>Capital markets may experience periods of disruption and instability. These market conditions could materially adversely affect the Company’s business, financial condition and results of operations.</w:t>
      </w:r>
    </w:p>
    <w:p>
      <w:pPr>
        <w:pStyle w:val="TextBody"/>
        <w:bidi w:val="0"/>
        <w:spacing w:before="160" w:after="283"/>
        <w:jc w:val="both"/>
        <w:rPr>
          <w:rFonts w:ascii="Times New Roman" w:hAnsi="Times New Roman"/>
          <w:sz w:val="20"/>
        </w:rPr>
      </w:pPr>
      <w:r>
        <w:rPr>
          <w:rFonts w:ascii="Times New Roman" w:hAnsi="Times New Roman"/>
          <w:color w:val="000000"/>
          <w:sz w:val="16"/>
        </w:rPr>
        <w:t>As a BDC, we have to maintain our ability to raise additional capital for investment purposes. Without sufficient access to the capital markets or credit markets, we may be forced to curtail our business operations, or we may not be able to pursue new business opportunities. The U.S. and global capital markets have in the past experienced and may in the future experience periods of volatility and disruption, including during portions of the past three fiscal years, and accordingly, there has been and may continue to be uncertainty in the financial markets in general.</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For example, the 2010 sovereign debt financial crisis in Europe and the 2011 downgrade of the U.S. credit rating by Standard &amp; Poor's had negative impacts on the global economy and may have adversely impacted the operations of BDCs such as the Company.</w:t>
      </w:r>
    </w:p>
    <w:p>
      <w:pPr>
        <w:pStyle w:val="TextBody"/>
        <w:bidi w:val="0"/>
        <w:spacing w:before="160" w:after="283"/>
        <w:jc w:val="both"/>
        <w:rPr>
          <w:rFonts w:ascii="Times New Roman" w:hAnsi="Times New Roman"/>
          <w:sz w:val="20"/>
        </w:rPr>
      </w:pPr>
      <w:r>
        <w:rPr>
          <w:rFonts w:ascii="Times New Roman" w:hAnsi="Times New Roman"/>
          <w:color w:val="000000"/>
          <w:sz w:val="16"/>
        </w:rPr>
        <w:t>Continuing U.S. debt ceiling and budget deficit concerns, including automatic spending cuts stemming from sequestration, together with signs of deteriorating sovereign debt conditions in Europe, have increased the possibility of additional credit-rating downgrades and economic slowdowns, or a recession in the U.S. The impact of this or any further downgrades to the U.S. 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Additionally, the effect of the United Kingdom (the “U.K.”) ending its membership in the European Union (“Brexit”) has led to economic and market uncertainty and periods of volatility in the U.K. and more broadly, and may continue to adversely affect European or worldwide economic or market conditions or could contribute to instability in global financial and real estate markets. In addition, Brexit could lead to legal uncertainty and potentially divergent national laws and regulations as the U.K. determines which EU laws to replace or replicate. Any of these effects of Brexit, and others we cannot anticipate, could adversely affect our business, business opportunities, results of operations, financial condition and cash flows. Likewise, similar actions taken by other European and other countries in which we operate could have a similar or even more profound impact.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recent years, the COVID-19 pandemic disrupted the global economy and its supply chains, and may have adversely impacted the operations of BDCs, such as the Company, as well as contributed to ongoing inflation in the U.S. and globally.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Such periods of disruption may be accompanied by depressed levels of consumer and commercial spending, a lack of liquidity in debt capital markets, significant write-offs in the financial services sector and the re-pricing of credit risk. The Company and the portfolio companies in which it invests may be adversely affected by these deteriorations in the financial markets and economic conditions throughout the world.</w:t>
      </w:r>
    </w:p>
    <w:p>
      <w:pPr>
        <w:pStyle w:val="TextBody"/>
        <w:bidi w:val="0"/>
        <w:spacing w:before="160" w:after="283"/>
        <w:jc w:val="both"/>
        <w:rPr>
          <w:rFonts w:ascii="Times New Roman" w:hAnsi="Times New Roman"/>
          <w:sz w:val="20"/>
        </w:rPr>
      </w:pPr>
      <w:r>
        <w:rPr>
          <w:rFonts w:ascii="Times New Roman" w:hAnsi="Times New Roman"/>
          <w:color w:val="000000"/>
          <w:sz w:val="16"/>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had $50.0 million and $15.0 million, respectively, of 2026 Notes and 2032 Convertible Notes outstanding as of December 31, 2023. In addition, as of December 31, 2023, we had $39.6 million outstanding under the KeyBank Credit Facility that provides for borrowings of up to $75.0 million on a revolving basis and may be increased up to $125.0 million in accordance with the terms and in the manner described in the KeyBank Credit Facility. If we are unable to secure additional debt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Adverse developments in the credit markets may impair our ability to secure debt financing.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it may be difficult for us to obtain desired financing to finance the growth of our investments on acceptable economic terms, or at all.</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commencement, continuation, or cessation of government and central bank policies and economic stimulus programs in response to adverse economic developments,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If we are unable to consummate credit facilities on commercially reasonable terms, our liquidity may be reduced significantly. If we are unable to repay amounts outstanding under the KeyBank Credit Facility or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Further downgrades of the U.S. credit rating, impending automatic spending cuts, another government shutdown or a failure to raise the statutory debt limit of the United States could negatively impact our liquidity, financial condition and earnings.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recent suspensions of the federal debt ceiling and an increase in the debt ceiling, ratings agencies have lowered or threatened to lower the long-term sovereign credit rating on the United States.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impact of this or any further downgrades to the U.S. government’s sovereign credit rating or its perceived credit 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pStyle w:val="TextBody"/>
        <w:bidi w:val="0"/>
        <w:jc w:val="left"/>
        <w:rPr>
          <w:rFonts w:ascii="Times New Roman" w:hAnsi="Times New Roman"/>
          <w:sz w:val="20"/>
        </w:rPr>
      </w:pPr>
      <w:r>
        <w:rPr>
          <w:rFonts w:ascii="Times New Roman" w:hAnsi="Times New Roman"/>
          <w:b/>
          <w:i/>
          <w:color w:val="000000"/>
          <w:sz w:val="16"/>
        </w:rPr>
        <w:t>Terrorist attacks, acts of war or natural disasters may affect the market for our common stock, impact the businesses in which we invest and harm our business, operating results and financial condition.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the military conflict between Russia and Ukraine or the military conflict between Israel and Hamas,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investment originations, and limit our ability to grow and could have a material negative impact on our operating results, financial condition, results of operations and cash flows and the fair values of our debt and equity investments.</w:t>
      </w:r>
    </w:p>
    <w:p>
      <w:pPr>
        <w:pStyle w:val="TextBody"/>
        <w:bidi w:val="0"/>
        <w:jc w:val="left"/>
        <w:rPr>
          <w:rFonts w:ascii="Times New Roman" w:hAnsi="Times New Roman"/>
          <w:b/>
          <w:i/>
          <w:color w:val="000000"/>
          <w:sz w:val="16"/>
        </w:rPr>
      </w:pPr>
      <w:r>
        <w:rPr>
          <w:rFonts w:ascii="Times New Roman" w:hAnsi="Times New Roman"/>
          <w:b/>
          <w:i/>
          <w:color w:val="000000"/>
          <w:sz w:val="16"/>
        </w:rPr>
        <w:t>The ongoing military conflict between Russia and Ukraine and the ongoing military conflict between Israel and Hamas may have a material adverse impact on us and our portfolio companies.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February 2022, Russian President Vladimir Putin commenced a military invasion of Ukraine, which has continued into 2023, and which has had, and may continue to have, a negative impact on the economy and business activity globally (including in the countries in which the Company invests), and therefore could adversely affect the performance of the Company’s investments. Furthermore, the conflict between the two nations remains ongoing and the varying involvement of the United States and other NATO countries has had, and may continue to have, an unpredictable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Russia or Ukraine, they may have adverse consequences related to the ongoing conflict.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October 2023, Hamas (an organization which has been designated as a terrorist organization by the United States and several other nations), committed a terrorist attack within Israel which began an active armed conflict between Hamas and Israel. The conflict and measures taken in response could have a negative impact on the economy and business activity globally (including in countries in which the Company invests), and therefore could adversely affect the performance of the investments. The severity and duration of the conflict and its future impact on global economic and market conditions (including, for example, oil prices) present a material uncertainty and risk with respect to the economic stability and the performance of the investments and operations in the region. There is a risk that the armed conflict may expand, which may exacerbate the risks described above. Similar risks exist to the extent that any service providers, vendors or certain other parties have material operations or assets in the Middle East, or the immediate surrounding areas. The United States has announced sanctions and other measures against Hamas-related persons and organizations in response to the terrorist attacks, and the United States (and/or other countries) may announce further sanctions related to the ongoing conflict in the future.</w:t>
      </w:r>
    </w:p>
    <w:p>
      <w:pPr>
        <w:pStyle w:val="TextBody"/>
        <w:bidi w:val="0"/>
        <w:spacing w:before="240" w:after="283"/>
        <w:jc w:val="left"/>
        <w:rPr>
          <w:rFonts w:ascii="Times New Roman" w:hAnsi="Times New Roman"/>
          <w:sz w:val="20"/>
        </w:rPr>
      </w:pPr>
      <w:r>
        <w:rPr>
          <w:rFonts w:ascii="Times New Roman" w:hAnsi="Times New Roman"/>
          <w:b/>
          <w:i/>
          <w:color w:val="000000"/>
          <w:sz w:val="16"/>
        </w:rPr>
        <w:t>Economic sanction laws in the United States and other jurisdictions may prohibit us and our affiliates from transacting with certain countries, individuals and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pStyle w:val="TextBody"/>
        <w:bidi w:val="0"/>
        <w:spacing w:before="160" w:after="160"/>
        <w:jc w:val="both"/>
        <w:rPr>
          <w:rFonts w:ascii="Times New Roman" w:hAnsi="Times New Roman"/>
          <w:sz w:val="20"/>
        </w:rPr>
      </w:pPr>
      <w:r>
        <w:rPr>
          <w:rFonts w:ascii="Times New Roman" w:hAnsi="Times New Roman"/>
          <w:color w:val="000000"/>
          <w:sz w:val="16"/>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Major public health issues could have an adverse impact on our financial condition and results of operations and other aspects of our business.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Major public health issues have impacted and, in the future, may impact our business, financial condition, results of operations, liquidity or prospects and those of our portfolio companies in a number of ways. For instance, our investment portfolio (and, specifically, the valuations of investment assets we hold) was adversely affected as a result of market developments from the COVID-19 pandemic, including disruptions to the businesses of our portfolio companies, global supply chain disruptions, and increased inflationary pressures nationally and globally.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Moreover, changes in interest rates, reduced liquidity or a continued slowdown in U.S. or global economic conditions has, and may continue to, adversely affect our business, financial condition, results of operations, liquidity and/or prospects and those of our portfolio companies. Further, extreme market volatility may leave us and our portfolio companies unable to react to market events in a prudent manner consistent with our historical practices in dealing with more orderly markets.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will also continue to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a public health emergency and the resulting measures taken in response thereto. These potential impacts, while uncertain, could adversely affect our and our portfolio companies’ operating results.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Even after any major public health emergency subsides, the U.S. economy and most other major global economies may experience a recession, and we anticipate our business and operations could be materially adversely affected by a prolonged recession in the United States and other major markets.</w:t>
      </w:r>
    </w:p>
    <w:p>
      <w:pPr>
        <w:pStyle w:val="TextBody"/>
        <w:bidi w:val="0"/>
        <w:jc w:val="left"/>
        <w:rPr>
          <w:rFonts w:ascii="Times New Roman" w:hAnsi="Times New Roman"/>
          <w:b/>
          <w:i/>
          <w:color w:val="000000"/>
          <w:sz w:val="16"/>
        </w:rPr>
      </w:pPr>
      <w:r>
        <w:rPr>
          <w:rFonts w:ascii="Times New Roman" w:hAnsi="Times New Roman"/>
          <w:b/>
          <w:i/>
          <w:color w:val="000000"/>
          <w:sz w:val="16"/>
        </w:rPr>
        <w:t>Our investments in the healthcare and pharmaceutical services industry sector are subject to extensive federal, state and local healthcare laws and regulations and certain other risks particular to that industry.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invest in healthcare and pharmaceutical services. Our investments in portfolio companies that operate in this sector are subject to certain significant risks particular to that industry. The laws and rules governing the business of healthcare companies and interpretations of those laws and rules are subject to frequent change. Broad latitude is given to the agencies administering those regulations. Existing or future laws and rules could subject our portfolio companies engaged in healthcare to potential government inquiries, investigations and/or enforcement proceedings, and ultimately incur civil, criminal and administrative sanctions, including, without limitation, fines, penalties and exclusion from government programs. The application of such laws and regulations can also force these companies to change how they do business, restrict revenue, increase costs, change reserve levels and change business practices. Healthcare companies often must obtain and maintain regulatory approvals to market many of their products, change prices for certain regulated products and consummate some of their acquisitions and divestitures. Delays in obtaining or failing to obtain or maintain these approvals could reduce revenue or increase costs. Policy changes on the local, state and federal level, such as the expansion of the government’s role in the healthcare arena and alternative assessments and tax increases specific to the healthcare industry or healthcare products as part of federal health care reform initiatives, could fundamentally change the dynamics of the healthcare industry. In particular, as health insurance reform such as the Patient Protection and Affordable Care Act as amended by the Health Care and Education Reconciliation Act of 2010, has had a significant effect on companies in this industry sector, other current and future health insurance initiatives may force our portfolio companies in this industry sector to change how they do business. We can give no assurance that these portfolio companies will be able to adapt successfully to these changes. Any of these factors could materially adversely affect the operations of a portfolio company in this industry sector and, in turn, impair our ability to timely collect principal and interest payments owed to us.</w:t>
      </w:r>
    </w:p>
    <w:p>
      <w:pPr>
        <w:pStyle w:val="TextBody"/>
        <w:bidi w:val="0"/>
        <w:spacing w:before="160" w:after="283"/>
        <w:jc w:val="left"/>
        <w:rPr>
          <w:rFonts w:ascii="Times New Roman" w:hAnsi="Times New Roman"/>
          <w:b/>
          <w:i/>
          <w:color w:val="000000"/>
          <w:sz w:val="16"/>
        </w:rPr>
      </w:pPr>
      <w:r>
        <w:rPr>
          <w:rFonts w:ascii="Times New Roman" w:hAnsi="Times New Roman"/>
          <w:b/>
          <w:i/>
          <w:color w:val="000000"/>
          <w:sz w:val="16"/>
        </w:rPr>
        <w:t>The U.S. capital markets have experienced extreme volatility and disruption over the past several years.</w:t>
      </w:r>
    </w:p>
    <w:p>
      <w:pPr>
        <w:pStyle w:val="TextBody"/>
        <w:bidi w:val="0"/>
        <w:spacing w:before="160" w:after="283"/>
        <w:jc w:val="both"/>
        <w:rPr>
          <w:rFonts w:ascii="Times New Roman" w:hAnsi="Times New Roman"/>
          <w:sz w:val="20"/>
        </w:rPr>
      </w:pPr>
      <w:r>
        <w:rPr>
          <w:rFonts w:ascii="Times New Roman" w:hAnsi="Times New Roman"/>
          <w:color w:val="000000"/>
          <w:sz w:val="16"/>
        </w:rPr>
        <w:t>Disruptions in the capital markets caused by inflation and rising interest rates, the military conflict between Ukraine and Russia and the military conflict between Israel and Hamas, health epidemics and pandemics and other globally significant trends and events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Further, current market conditions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Our ability to achieve our investment objective depends on the ability of the Investment Adviser to manage and support our investment process. If the Investment Adviser were to lose any members of their respective senior management teams, our ability to achieve our investment objective could be significantly harmed.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Since we have no employees, we depend on the investment expertise, skill and network of business contacts of the broader networks of the Investment Adviser and its affiliates. The Investment Adviser evaluates, negotiates, structures, executes, monitors and services our investments. Our future success depends to a significant extent on the continued service and coordination of the Investment Adviser and its senior management team. The departure of any members of the Investment Adviser’s senior management team could have a material adverse effect on our ability to achieve our investment objective.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ability to achieve our investment objective depends on the Investment Adviser’s ability to identify and analyze, and to invest in, finance and monitor companies that meet our investment criteria. In addition to monitoring the performance of our existing investments, our Investment Adviser’s investment team may also be called upon, from time to time, to provide managerial assistance to some of our portfolio companies as well as other funds that they manage. These demands on their time may distract them or slow our rate of investment. See also “—Risks Related to the Investment Adviser and its Affiliates—There are significant potential conflicts of interest that could negatively affect our investment returns.” 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Adviser’s capabilities in structuring the investment process, providing competent, attentive and efficient services to us, and facilitating access to financing on acceptable terms depend on the employment of investment professionals in an adequate number and of adequate sophistication to match the corresponding flow of transactions. To achieve our investment objective, the Investment Adviser may need to hire, train, supervise and manage new investment professionals to participate in our investment selection and monitoring process. The Investment Adviser may not be able to find investment professionals in a timely manner or at all. Failure to support our investment process could have a material adverse effect on our business, financial condition and results of operations.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Investment Advisory Agreement between the Investment Adviser and us has been approved pursuant to Section 15 of the 1940 Act. In addition, the Investment Advisory Agreement has termination provisions that allow the parties to terminate the agreement. The Investment Advisory Agreement may be terminated at any time, without penalty, by us or by the Investment Adviser, upon 60 days’ notice. If the agreement is terminated, we may not be able to find a new external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w:t>
      </w:r>
    </w:p>
    <w:p>
      <w:pPr>
        <w:pStyle w:val="TextBody"/>
        <w:bidi w:val="0"/>
        <w:jc w:val="left"/>
        <w:rPr>
          <w:rFonts w:ascii="Times New Roman" w:hAnsi="Times New Roman"/>
          <w:sz w:val="20"/>
        </w:rPr>
      </w:pPr>
      <w:r>
        <w:rPr>
          <w:rFonts w:ascii="Times New Roman" w:hAnsi="Times New Roman"/>
          <w:b/>
          <w:i/>
          <w:color w:val="000000"/>
          <w:sz w:val="16"/>
        </w:rPr>
        <w:t>Any inability of our Investment Adviser to maintain or develop strong referral relationships, or the failure of these relationships to generate investment opportunities, could adversely affect our business.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depend upon our Investment Adviser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Adviser fails to maintain such relationships, or to develop new relationships with other sources of investment opportunities, we will not be able to grow our investment portfolio. In addition, individuals with whom our Investment Adviser has relationships are not obligated to provide us with investment opportunities, and we can offer no assurance that these relationships will generate investment opportunities for us in the future.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We operate in a highly competitive market for investment opportunities, which could reduce returns and result in losses.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compete for investments with other BDCs and investment funds (including private equity funds, venture lending funds, finance companies with venture lending units, banks focused on venture lending, mezzanine funds and funds that invest in CLOs, structured notes, derivatives and other types of collateralized securities and structured products), as well as traditional financial services companies such as commercial banks and other sources of funding. Moreover, alternative investment vehicles, such as hedge funds, have begun to invest in areas in which they have not traditionally invested, including making investments in small to mid-sized private U.S. companies. As a result of these new entrants, competition for investment opportunities in small and middle-market private U.S. companies may intensify.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may have difficulty sourcing investment opportunities.</w:t>
      </w:r>
    </w:p>
    <w:p>
      <w:pPr>
        <w:pStyle w:val="TextBody"/>
        <w:bidi w:val="0"/>
        <w:spacing w:before="160" w:after="283"/>
        <w:jc w:val="both"/>
        <w:rPr>
          <w:rFonts w:ascii="Times New Roman" w:hAnsi="Times New Roman"/>
          <w:sz w:val="20"/>
        </w:rPr>
      </w:pPr>
      <w:r>
        <w:rPr>
          <w:rFonts w:ascii="Times New Roman" w:hAnsi="Times New Roman"/>
          <w:color w:val="000000"/>
          <w:sz w:val="16"/>
        </w:rPr>
        <w:t>We cannot assure investors that we will be able to locate a sufficient number of suitable investment opportunities to allow us to deploy capital successfully. In addition, privately-negotiated investments in loans and illiquid securities of private middle market companies require substantial due diligence and structuring, and we cannot assure investors that we will achieve our anticipated investment pace. As a result, investors will be unable to evaluate any future portfolio company investments prior to purchasing shares of our common stock. Additionally, our Investment Adviser will select our investments, and our stockholders will have no input with respect to such investment decisions. These factors increase the uncertainty, and thus the risk, of investing in shares of our common stock. To the extent we are unable to deploy capital, our investment income and, in turn, our results of operations, will likely be materially adversely affected. There is no assurance that we will be able to consummate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 transactions or that such transactions will be successful. BC Partners, the Company and their affiliates may also face certain conflicts of interests in connection with any transaction, including any warehousing transaction involving an affiliate.</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Until such time we invest such capital in portfolio companies, we may invest these amounts in cash, cash equivalents, U.S. government securities and high-quality debt investments that mature in one year or less from the date of investment. We expect these temporary investments to earn yields substantially lower than the income that we expect to receive in respect of investments in secured debt (including senior secured, unitranche and second lien debt) and unsecured debt (including senior unsecured and subordinated debt), as well as related equity securities.</w:t>
      </w:r>
    </w:p>
    <w:p>
      <w:pPr>
        <w:pStyle w:val="TextBody"/>
        <w:bidi w:val="0"/>
        <w:jc w:val="left"/>
        <w:rPr>
          <w:rFonts w:ascii="Times New Roman" w:hAnsi="Times New Roman"/>
          <w:b/>
          <w:i/>
          <w:color w:val="000000"/>
          <w:sz w:val="16"/>
        </w:rPr>
      </w:pPr>
      <w:r>
        <w:rPr>
          <w:rFonts w:ascii="Times New Roman" w:hAnsi="Times New Roman"/>
          <w:b/>
          <w:i/>
          <w:color w:val="000000"/>
          <w:sz w:val="16"/>
        </w:rPr>
        <w:t>As required by the 1940 Act, a significant portion of our investment portfolio is and will be recorded at fair value as determined by the Investment Adviser in its role as valuation designee, subject to the ultimate oversight of our Board and, as a result, there is and will be uncertainty as to the value of our portfolio investments.</w:t>
      </w:r>
    </w:p>
    <w:p>
      <w:pPr>
        <w:pStyle w:val="TextBody"/>
        <w:bidi w:val="0"/>
        <w:spacing w:before="160" w:after="283"/>
        <w:jc w:val="both"/>
        <w:rPr>
          <w:rFonts w:ascii="Times New Roman" w:hAnsi="Times New Roman"/>
          <w:sz w:val="20"/>
        </w:rPr>
      </w:pPr>
      <w:r>
        <w:rPr>
          <w:rFonts w:ascii="Times New Roman" w:hAnsi="Times New Roman"/>
          <w:color w:val="000000"/>
          <w:sz w:val="16"/>
        </w:rPr>
        <w:t>Under the 1940 Act, we are required to carry our portfolio investments at market value or, if there is no readily available market value, at fair value as determined by the Investment Adviser in its role as valuation designee, subject to the ultimate oversight of our Board. Typically, there will not be a public market for the securities of the privately held companies in which we invest. As a result, we value these securities quarterly at fair value as determined in good faith by the Investment Adviser, based on, among other things, input of third-party independent valuation firm(s), subject to the oversight of our Board.</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Certain factors that may be considered in determining the fair value of our investments include external events, such as private mergers, sales and acquisitions involving comparable companies. As a result, our determinations of fair value may differ materially from the values that would have been used if a ready market for these non-traded securities existed. Due to this uncertainty, our fair value determinations may cause our net asset value on a given date to materially differ from the value that we may ultimately realize upon the sale of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pStyle w:val="TextBody"/>
        <w:bidi w:val="0"/>
        <w:jc w:val="left"/>
        <w:rPr>
          <w:rFonts w:ascii="Times New Roman" w:hAnsi="Times New Roman"/>
          <w:sz w:val="20"/>
        </w:rPr>
      </w:pPr>
      <w:r>
        <w:rPr>
          <w:rFonts w:ascii="Times New Roman" w:hAnsi="Times New Roman"/>
          <w:b/>
          <w:i/>
          <w:color w:val="000000"/>
          <w:sz w:val="16"/>
        </w:rPr>
        <w:t>The involvement of our interested directors in the valuation process may create conflicts of interest.</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make many of our portfolio investments in the form of loans and securities that are not publicly traded and for which no market-based price quotation is available. As a result, our Investment Adviser determines the fair value of these loans and securities subject to the Board’s oversight, as described in the section titled “Valuation of Investments” in Note 2 to our consolidated financial statements. In connection with that determination, investment professionals from the Investment Adviser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Board remains ultimately responsibility for fair value determinations, including our interested directors, and not by such third-party valuation firm. The participation of the Investment Adviser’s investment professionals in our valuation process could result in conflicts of interest as the Investment Adviser’s management fee is based, in part, on the value of our gross assets, and its incentive fees will be based, in part, on realized and unrealized gains and depreciation.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There is a risk that investors in our equity securities may not receive distributions consistent with historical levels or at all, or that our distributions may not grow over time and a portion of our distributions may be a return of capital.</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cannot assure you that we will achieve investment results that will allow us to make a specified level of cash distributions. Our ability to pay distributions might be, and has in the past been, adversely affected by the impact of one or more of the risk factors described in this annual report or incorporated herein by reference, including recent macro-economic trends and events, such as geo-political conflicts and high levels of inflation.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RIC, if we do not distribute a certain percentage of our income annually, we may suffer adverse tax consequences, including possibly losing the U.S. federal income tax benefits allowable to RICs. We cannot assure you that you will receive distributions at a particular level or at all.</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certain cases, we may recognize income before or without receiving the accompanying cash. Depending on the amount of noncash income, this could result in difficulty satisfying the annual distributions requirement applicable to RICs. Accordingly, we may have to sell some portfolio investments at times we would not consider advantageous, raise additional debt or equity capital or reduce new investments to meet these distribution requirements.</w:t>
      </w:r>
    </w:p>
    <w:p>
      <w:pPr>
        <w:pStyle w:val="TextBody"/>
        <w:bidi w:val="0"/>
        <w:jc w:val="left"/>
        <w:rPr>
          <w:rFonts w:ascii="Times New Roman" w:hAnsi="Times New Roman"/>
          <w:b/>
          <w:i/>
          <w:color w:val="000000"/>
          <w:sz w:val="16"/>
        </w:rPr>
      </w:pPr>
      <w:r>
        <w:rPr>
          <w:rFonts w:ascii="Times New Roman" w:hAnsi="Times New Roman"/>
          <w:b/>
          <w:i/>
          <w:color w:val="000000"/>
          <w:sz w:val="16"/>
        </w:rPr>
        <w:t>We have not established any limit on the amount of funds we may use from available sources, such as borrowings, if any, to fund distributions (which may reduce the amount of capital we ultimately invest in assets).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Stockholders should understand that any distributions made from sources other than cash flow from operations or that are relying on fee or expense reimbursement waivers from the Investment Adviser or the Administrator are not based on our investment performance, and can only be sustained if we achieve positive investment performance in future periods and/or the Investment Adviser or the Administrator continues to make such expense reimbursements. Stockholders should also understand that our future repayments to the Investment Adviser will reduce the distributions that they would otherwise receive. There can be no assurance that we will achieve such performance in order to sustain these distributions, or be able to pay distributions at all. The Investment Adviser and the Administrator have no obligation to waive fees or receipt of expense reimbursements.</w:t>
      </w:r>
    </w:p>
    <w:p>
      <w:pPr>
        <w:pStyle w:val="TextBody"/>
        <w:bidi w:val="0"/>
        <w:jc w:val="left"/>
        <w:rPr>
          <w:rFonts w:ascii="Times New Roman" w:hAnsi="Times New Roman"/>
          <w:b/>
          <w:i/>
          <w:color w:val="000000"/>
          <w:sz w:val="16"/>
        </w:rPr>
      </w:pPr>
      <w:r>
        <w:rPr>
          <w:rFonts w:ascii="Times New Roman" w:hAnsi="Times New Roman"/>
          <w:b/>
          <w:i/>
          <w:color w:val="000000"/>
          <w:sz w:val="16"/>
        </w:rPr>
        <w:t>Changes in laws or regulations governing our operations may adversely affect our business or cause us to alter our business strategy.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and our portfolio companies are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Additionally, any changes to the laws and regulations governing our operations relating to permitted investments may cause us to alter our investment strategy to avail ourselves of new or different opportunities. Such changes could result in material differences to our strategies and plans and may result in our investment focus shifting from the areas of expertise of the Investment Adviser to other types of investments in which the Investment Adviser may have less expertise or little or no experience. Thus, any such changes, if they occur, could have a material adverse effect on our financial condition and results of operations and the value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Changes to U.S. tariff and import/export regulations may have a negative effect on our portfolio companies and, in turn, harm us.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There has been ongoing discussion and commentary regarding further potential significant changes to U.S. trade policies, treaties and tariffs. Since 2018, the U.S. has imposed various tariffs on Chinese goods, and China has retaliated by placing tariffs on various U.S. goods. Both countries signed a phase one trade agreement in January 2020 halting further tariffs and increasing sales of U.S. goods to China. The agreement left in place most tariffs, which remained in place as of the end of 2023. It is unclear what the final outcome of the negotiations and agreements will result in. These prior tariffs have resulted in, and may continue to trigger, retaliatory actions by affected countries, including the imposition of tariffs on the U.S. by other countries. These events have created significant uncertainty about the future relationship between the United States and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restrict our portfolio companies’ access to suppliers or customers, increase costs, decrease margins, reduce the competitiveness of products and services offered by current or future portfolio companies and have a material adverse effect on their business, financial condition and results of operations, which in turn would negatively impact us.</w:t>
      </w:r>
    </w:p>
    <w:p>
      <w:pPr>
        <w:pStyle w:val="TextBody"/>
        <w:bidi w:val="0"/>
        <w:jc w:val="left"/>
        <w:rPr>
          <w:rFonts w:ascii="Times New Roman" w:hAnsi="Times New Roman"/>
          <w:sz w:val="20"/>
        </w:rPr>
      </w:pPr>
      <w:r>
        <w:rPr>
          <w:rFonts w:ascii="Times New Roman" w:hAnsi="Times New Roman"/>
          <w:b/>
          <w:i/>
          <w:color w:val="000000"/>
          <w:sz w:val="16"/>
        </w:rPr>
        <w:t>As a publicly traded company, we are subject to increasingly complex corporate governance, public disclosure and accounting requirements that are costly and could adversely affect our business and financial results.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As a publicly traded company, we incur legal, accounting and other expenses, including costs associated with the periodic reporting requirements applicable to a company whose securities are registered under the 1934 Act, or the 1934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required to disclose changes made in our internal controls and procedures over financial reporting on a quarterly basis and our management is required to assess the effectiveness of these controls annually.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We have identified a material weakness in our internal control over financial reporting and if our remediation of this material weakness is not effective, or if we fail to maintain an effective system of internal control over financial reporting in the future, we may not be able to accurately or timely report our financial condition or operating results, which may adversely affect our business.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March 2024, we identified a material weakness in our internal controls over financial reporting related to our failure to satisfy the requirements to maintain our special tax status as a RIC for the years ended December 31, 2020, 2021 and 2022, and management has determined that, as of December 31, 2023, we did not maintain effective internal control over financial reporting. This material weakness and our remediation efforts are described in “Controls and Procedures.” Although management does not believe the misstatements are material to any of the impacted financial statements and thus no adjustment to any of the Company’s previously reported financial statements is considered necessary, we cannot assure you that we will adequately remediate the material weakness or that additional material weaknesses in our internal controls will not be identified in the future. Any failure to maintain or implement required new or improved controls, or any difficulties we encounter in their implementation, could result in additional material weaknesses, or could result in material misstatements in our financial statements. These misstatements could result in restatements of our financial statements, cause us to fail to meet our reporting obligations in addition to stock exchange listing requirements, investors may lose confidence in our reported financial information, our stock price may decline as a result, and we could be subject to litigation or regulatory enforcement actions.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are in the process of remediating the identified material weakness in our internal controls, but we are unable at this time to estimate when the remediation effort will be completed. If we fail to remediate this material weakness, there will continue to be an increased risk that our future financial statements could contain errors that will be undetected. We cannot assure you that the measures we have taken to date, or any measures we may take in the future, will be sufficient to avoid potential future material weaknesses. The potential consequences of any material weakness could have a material adverse effect on our business, results of operations and financial condition. Further and continued determinations that there are material weaknesses in the effectiveness of our internal controls could impact the operations of our business, including our ability to obtain financing, the cost of any financing we obtain or require additional expenditures of resources to comply with applicable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16"/>
        </w:rPr>
        <w:t>There is uncertainty surrounding potential legal, regulatory and policy changes by new presidential administrations in the United States that may directly affect financial institutions and the global economy.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Changes in federal policy, including tax policies, and at regulatory agencies may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The impact of financial reform legislation on us is uncertain.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and the portfolio companies in which it invests are subject to laws and regulations at the U.S. federal, state and local levels and, in some cases, foreign levels. These laws and regulations, as well as their interpretation, may change from time to time, and new laws, regulations and interpretations may come into effect. Accordingly, any change in law and regulations, changes in administration or control of U.S. Congress, changes in interpretations, or newly enacted laws or regulations could have a material adverse effect on the Company’s business or the business of the portfolio companies in which the Company invests.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Over the past several years, there also has been increasing regulatory attention to the extension of credit outside of the traditional banking sector, raising the possibility that some portion of the non-bank financial sector may be subject to new regulation. While it cannot be known at this time whether any regulation will be implemented or what form it will take, increased regulation of non-bank lending could be materially adverse to the Company’s business, financial conditions and results of operation. We may experience fluctuations in our quarterly results.</w:t>
      </w:r>
    </w:p>
    <w:p>
      <w:pPr>
        <w:pStyle w:val="TextBody"/>
        <w:bidi w:val="0"/>
        <w:jc w:val="left"/>
        <w:rPr>
          <w:rFonts w:ascii="Times New Roman" w:hAnsi="Times New Roman"/>
          <w:sz w:val="20"/>
        </w:rPr>
      </w:pPr>
      <w:r>
        <w:rPr>
          <w:rFonts w:ascii="Times New Roman" w:hAnsi="Times New Roman"/>
          <w:b/>
          <w:i/>
          <w:color w:val="000000"/>
          <w:sz w:val="16"/>
        </w:rPr>
        <w:t>We may experience fluctuations in our quarterly and annual results.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in a limited number of portfolio companies and industries, including healthcare, distributions, dispositions or liquidity events affecting a portfolio company or industry in which we own a significant position may adversely affect our net asset value and results of operations. As a result of these factors, results for any period should not be relied upon as being indicative of performance in future periods.</w:t>
      </w:r>
    </w:p>
    <w:p>
      <w:pPr>
        <w:pStyle w:val="TextBody"/>
        <w:bidi w:val="0"/>
        <w:jc w:val="left"/>
        <w:rPr>
          <w:rFonts w:ascii="Times New Roman" w:hAnsi="Times New Roman"/>
          <w:sz w:val="20"/>
        </w:rPr>
      </w:pPr>
      <w:r>
        <w:rPr>
          <w:rFonts w:ascii="Times New Roman" w:hAnsi="Times New Roman"/>
          <w:b/>
          <w:i/>
          <w:color w:val="000000"/>
          <w:sz w:val="16"/>
        </w:rPr>
        <w:t>Any unrealized depreciation we experience on our loan portfolio may be an indication of future realized losses, which could reduce our income available for distribution.</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As a BDC, we are required to carry our investments at market value or, if no market value is ascertainable, at the fair value as determined in good faith by our Adviser, in its role as valuation designee, subject to the oversight of our Board.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market value or fair value of our investments will reduce our net asset value.</w:t>
      </w:r>
    </w:p>
    <w:p>
      <w:pPr>
        <w:pStyle w:val="TextBody"/>
        <w:bidi w:val="0"/>
        <w:jc w:val="left"/>
        <w:rPr>
          <w:rFonts w:ascii="Times New Roman" w:hAnsi="Times New Roman"/>
          <w:b/>
          <w:i/>
          <w:color w:val="000000"/>
          <w:sz w:val="16"/>
        </w:rPr>
      </w:pPr>
      <w:r>
        <w:rPr>
          <w:rFonts w:ascii="Times New Roman" w:hAnsi="Times New Roman"/>
          <w:b/>
          <w:i/>
          <w:color w:val="000000"/>
          <w:sz w:val="16"/>
        </w:rPr>
        <w:t>Recent legislation permits the Company to incur additional leverage.</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Prior to the Small Business Credit Availability Act being signed into law, a BDC generally was not permitted to incur indebtedness unless immediately after such borrowing it had an asset coverage for total borrowings of at least 200% (i.e., a 1:1 leverage-to-equity ratio). The Small Business Credit Availability Act, signed into law on March 23, 2018, contains a provision that grants a BDC the option, subject to certain conditions and disclosure obligations, to increase the leverage of its portfolio to a maximum of 2:1. On November 1, 2018, the Board, including a “required majority” (as such term is defined in Section 57(o) of the 1940 Act) approved the application of the modified asset coverage. As a result, we are permitted to incur additional indebtedness, and, therefore, the risk of an investment in our common stock may be greater than prior to November 2018.</w:t>
      </w:r>
    </w:p>
    <w:p>
      <w:pPr>
        <w:pStyle w:val="TextBody"/>
        <w:bidi w:val="0"/>
        <w:jc w:val="left"/>
        <w:rPr>
          <w:rFonts w:ascii="Times New Roman" w:hAnsi="Times New Roman"/>
          <w:sz w:val="20"/>
        </w:rPr>
      </w:pPr>
      <w:r>
        <w:rPr>
          <w:rFonts w:ascii="Times New Roman" w:hAnsi="Times New Roman"/>
          <w:b/>
          <w:i/>
          <w:color w:val="000000"/>
          <w:sz w:val="16"/>
        </w:rPr>
        <w:t>We are highly dependent on information systems and systems failures could significantly disrupt our business, which may, in turn, negatively affect the market price of our common stock and our ability to make distributions to our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business is highly dependent on the communications and information systems of the Investment Adviser. Certain of these systems are provided to the Investment Adviser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6"/>
        </w:rPr>
      </w:pPr>
      <w:r>
        <w:rPr>
          <w:rFonts w:ascii="Times New Roman" w:hAnsi="Times New Roman"/>
          <w:b/>
          <w:i/>
          <w:color w:val="000000"/>
          <w:sz w:val="16"/>
        </w:rPr>
        <w:t>We, the Investment Adviser and our portfolio companies are subject to cybersecurity risks and cyber incidents which may adversely affect our business, financial condition and operating results.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Cyber security incidents and cyber-attacks have been occurring globally at a more frequent and severe level and will likely continue to increase in frequency in the future. Despite careful security and controls design, implementation and updating, ours and our portfolio companies’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 our and each of their and our affiliates and portfolio companies’ and service providers’ information and technology systems may be vulnerable to damage or interruption from cyber security breaches, computer viruses or other malicious code, network failures, computer and telecommunication failures, infiltration by unauthorized persons and other security breaches, or usage errors by their respective professionals or service providers.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we may be required to expend significant additional resources to modify our protective measures and to investigate and remediate vulnerabilities or other exposures arising from operational and security risks related to cyber-attacks.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Adviser’s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Adviser’s and other service providers’ increased use of mobile and cloud technologies could heighten the risk of a cyber-attack as well as other operational risks, as certain aspects of the security of such technologies may be complex, unpredictable or beyond their control. The Investment Adviser’s and other service providers’ reliance on mobile or cloud technology or any failure by mobile technology and cloud service providers to adequately safeguard their systems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Additionally, remote working environments may be less secure and more susceptible to cyber-attacks, including phishing and social engineering attempts. Accordingly, the risks associated with cyber-attacks are heightened under current conditions.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Although the Investment Adviser implemented, and portfolio companies and service providers may implement, various measures to manage risks relating to these types of events, such systems could prove to be inadequate and, if compromised, could become inoperable for extended periods of time, cease to function properly or fail to adequately secure private information. The Investment Adviser does not control the cyber security plans and systems put in place by third-party service providers, and such third-party service providers may have limited indemnification obligations to the Investment Adviser, their affiliates, the Company, the stockholders and/or a portfolio company, each of which could be negatively impacted as a result. Breaches, such as those involving covertly introduced malware, impersonation of authorized users, “phishing” attacks and industrial or other espionage may not be identified even with sophisticated prevention and detection systems, potentially resulting in further harm and preventing them from being addressed appropriately.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failure of these systems and/or of disaster recovery plans for any reason could cause significant interruptions in the Investment Adviser, its affiliates’, the Company’s and/or a portfolio company’s operations and result in a failure to maintain the security, confidentiality or privacy of sensitive data, including personal information relating to stockholders (and their beneficial owners), material non-public information and the intellectual property and trade secrets and other sensitive information of the Investment Adviser, us and/or portfolio companies. The Investment Adviser, the Company and/or a portfolio company could be required to make significant investments to remedy the effects of any such failures, harm to their reputations, legal claims that they and their respective affiliates may be subjected to, regulatory action or enforcement arising out of applicable privacy and other laws, adverse publicity, and other events that may affect their business and financial performance.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Internal and external cyber threats, as well as other disasters, could impair our ability to conduct business effectively.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Adviser’s operations and result in a failure to maintain the security, confidentiality or privacy of sensitive data, including personal information relating to stockholders, material non-public information and other sensitive information in our possession.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Inflation may adversely affect our business and operations and those of our portfolio companies.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Economic activity has continued to accelerate across sectors and regions. Nevertheless, due to global supply chain issues, a rise in energy prices and strong consumer demand as economies continue to reopen, inflation has accelerated significantly over 2023 in the U.S. and globally, and the U.S. Federal Reserve has responded by tightening monetary policy. Inflation is likely to continue in the near to medium-term, particularly in the U.S., with the possibility that monetary policy may further tighten in response. Certain of our portfolio companies may be impacted by inflation and persistent inflationary pressures could negatively affect our portfolio companies’ profit margins. Inflation could become a serious problem in the future and have an adverse impact on the Company’s returns.</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Risks Related to the Investment Adviser and its Affiliates</w:t>
      </w:r>
    </w:p>
    <w:p>
      <w:pPr>
        <w:pStyle w:val="TextBody"/>
        <w:bidi w:val="0"/>
        <w:jc w:val="left"/>
        <w:rPr>
          <w:rFonts w:ascii="Times New Roman" w:hAnsi="Times New Roman"/>
          <w:sz w:val="20"/>
        </w:rPr>
      </w:pPr>
      <w:r>
        <w:rPr>
          <w:rFonts w:ascii="Times New Roman" w:hAnsi="Times New Roman"/>
          <w:b/>
          <w:i/>
          <w:color w:val="000000"/>
          <w:sz w:val="16"/>
        </w:rPr>
        <w:t>The Investment Adviser may not be able to achieve the same or similar returns as those achieved for other funds it currently manages or by its investment team while they were employed at prior positions.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Investment Adviser manages other funds and may manage other entities in the future. The track record and achievements of these other entities are not necessarily indicative of future results that will be achieved by the Investment Adviser because these other entities may have investment objectives and strategies that differ from ours.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The Investment Adviser and its affiliates, including our officers and some of our directors, face conflicts of interest caused by compensation arrangements with us and our affiliates, which could result in actions that are not in the best interests of our stockholders.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 and its affiliates will receive substantial fees from us in return for their services, including certain incentive fees based on the performance of our investments. These fees could influence the advice provided to us. Generally, the more equity we sell and the greater the risk assumed by us with respect to our investments, the greater the potential for growth in our assets and profits, and, correlatively, the fees payable by us to our Investment Adviser. These compensation arrangements could affect our Investment Adviser’s or its affiliates’ judgment with respect to offerings of equity and investments made by us, which allow our Investment Adviser to earn increased asset management fees.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Additionally, we pay to the Investment Adviser an incentive fee that is based on the performance of our portfolio and an annual base management fee that is based on the average value of our gross assets, which are the total assets reflected on the consolidated statements of assets and liabilities and includes any borrowings for investment purposes, at the end of the two most recently completed calendar quarters. Because the incentive fee is based on the performance of our portfolio, the Investment Adviser may be incentivized to make investments on our behalf that are riskier or more speculative than would be the case in the absence of such compensation arrangement. The way in which the incentive fee is determined may also encourage the Investment Adviser to use leverage to increase the return on our investments. In addition, because the base management fee is based on the average value of our gross assets at the end of the two most recently completed calendar quarters, which includes any borrowings for investment purposes, the Investment Adviser may be incentivized to recommend the use of leverage or the issuance of additional equity to make additional investments and increase the average value of our gross assets at the end of the two most recently completed calendar quarters. Under certain circumstances, the use of leverage may increase the likelihood of default, which could disfavor our stockholders. Our compensation arrangements could therefore result in our making riskier or more speculative investments, or relying more on leverage to make investments, than would otherwise be the case. This could result in higher investment losses, particularly during cyclical economic downturns.</w:t>
      </w:r>
    </w:p>
    <w:p>
      <w:pPr>
        <w:pStyle w:val="TextBody"/>
        <w:bidi w:val="0"/>
        <w:jc w:val="left"/>
        <w:rPr>
          <w:rFonts w:ascii="Times New Roman" w:hAnsi="Times New Roman"/>
          <w:sz w:val="20"/>
        </w:rPr>
      </w:pPr>
      <w:r>
        <w:rPr>
          <w:rFonts w:ascii="Times New Roman" w:hAnsi="Times New Roman"/>
          <w:b/>
          <w:i/>
          <w:color w:val="000000"/>
          <w:sz w:val="16"/>
        </w:rPr>
        <w:t>There are significant potential conflicts of interest that could negatively affect our investment returns.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members of the Investment Adviser’s investment team also monitor and service other affiliated investment funds. In addition, our executive officers and directors, as well as the current and future members of our Investment Adviser’s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course of our investing activities, we pay management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will have interests that differ from those of our stockholders, giving rise to a conflict. The Investment Adviser will not be reimbursed for any performance-related compensation for its employees.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 and its affiliates may also manage other funds in the future that may have investment mandates that are similar, in whole or in part to ours. To the extent permitted by the 1940 Act and interpretation of the SEC staff, the Investment Adviser and its affiliates may determine that an investment is appropriate for us and for one or more of those other funds. In such event, depending on the availability of such investment and other appropriate factors, the Investment Adviser or its affiliates may determine that we should invest side-by-side with one or more other funds. Any such investments will be made only to the extent permitted by applicable law and interpretive positions of the SEC and its staff, and consistent with the Investment Adviser’s allocation procedures.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a BDC, we are substantially limited in our ability to co-invest in privately negotiated transactions with affiliated funds unless we obtain an exemptive order from the SEC.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pStyle w:val="TextBody"/>
        <w:bidi w:val="0"/>
        <w:jc w:val="left"/>
        <w:rPr>
          <w:rFonts w:ascii="Times New Roman" w:hAnsi="Times New Roman"/>
          <w:b/>
          <w:i/>
          <w:color w:val="000000"/>
          <w:sz w:val="16"/>
        </w:rPr>
      </w:pPr>
      <w:r>
        <w:rPr>
          <w:rFonts w:ascii="Times New Roman" w:hAnsi="Times New Roman"/>
          <w:b/>
          <w:i/>
          <w:color w:val="000000"/>
          <w:sz w:val="16"/>
        </w:rPr>
        <w:t>We may be obligated to pay the Investment Adviser incentive compensation even if we incur a net loss due to a decline in the value of our portfolio, and the incentive fee may be calculated using income that has not yet been received.</w:t>
      </w:r>
    </w:p>
    <w:p>
      <w:pPr>
        <w:pStyle w:val="TextBody"/>
        <w:bidi w:val="0"/>
        <w:spacing w:before="160" w:after="283"/>
        <w:jc w:val="both"/>
        <w:rPr>
          <w:rFonts w:ascii="Times New Roman" w:hAnsi="Times New Roman"/>
          <w:sz w:val="20"/>
        </w:rPr>
      </w:pPr>
      <w:r>
        <w:rPr>
          <w:rFonts w:ascii="Times New Roman" w:hAnsi="Times New Roman"/>
          <w:color w:val="000000"/>
          <w:sz w:val="16"/>
        </w:rPr>
        <w:t>Our Investment Advisory Agreement entitles the Investment Adviser to receive incentive compensation on income regardless of any capital losses. In such case, we may be required to pay the Investment Adviser incentive compensation for a fiscal quarter even if there is a decline in the value of our portfolio or if we incur a net loss for that quarter. 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“payment-in-kind,” or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basis. For example, if a portfolio company defaults on a loan that is structured to provide accrued interest, it is possible that accrued interest previously included in the calculation of the incentive fee will become uncollectible. The Investment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our paying an incentive fee on income we never received.</w:t>
      </w:r>
    </w:p>
    <w:p>
      <w:pPr>
        <w:pStyle w:val="TextBody"/>
        <w:bidi w:val="0"/>
        <w:jc w:val="left"/>
        <w:rPr>
          <w:rFonts w:ascii="Times New Roman" w:hAnsi="Times New Roman"/>
          <w:sz w:val="20"/>
        </w:rPr>
      </w:pPr>
      <w:r>
        <w:rPr>
          <w:rFonts w:ascii="Times New Roman" w:hAnsi="Times New Roman"/>
          <w:b/>
          <w:i/>
          <w:color w:val="000000"/>
          <w:sz w:val="16"/>
        </w:rPr>
        <w:t>The Investment Adviser is not obligated to reimburse us for any part of the incentive fee it receives that is based on accrued income that we never receive.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Part of the incentive fee payable by us to our Investment Adviser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Adviser will not be under any obligation to reimburse us for any part of the incentive fees it received that was based on accrued income that we never receive as a result of a default by an entity on the obligation that resulted in the accrual of such income.</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There may be conflicts of interest related to obligations that the Investment Adviser’s senior management and investment team has to other clients.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April 2021, we are advised by Mount Logan Management LLC, our Investment Adviser. The members of the senior management and investment team of the Investment Adviser serve or may serve as officers, directors or principals of entities that operate in the same or a related line of business as we do, or of investment funds managed by the same personnel. In serving in these multiple capacities, they may have obligations to other clients or investors in those entities, the fulfilment of which may not be in our best interests or in the best interest of our stockholders. Our investment objective may overlap with the investment objectives of such investment funds, accounts or other investment vehicles. In particular, we rely on the Investment Adviser to manage our day-to-day activities and to implement our investment strategy. The Investment Adviser and certain of its affiliates are presently, and plan in the future to continue to be, involved with activities that are unrelated to us. As a result of these activities, the Investment Adviser, its officers and employees and certain of its affiliates will have conflicts of interest in allocating their time between us and other activities in which they are or may become involved, including the management of its affiliated funds. The Investment Adviser and its officers and employees will devote only as much of its or their time to our business as the Investment Adviser and its officers and employees, in their judgment, determine is reasonably required, which may be substantially less than their full time.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rely, in part, on the Investment Adviser to assist with identifying and executing upon investment opportunities and on the Board to review and approve the terms of our participation in co-investment transactions with the Investment Adviser and its affiliates. The Investment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Adviser, its affiliates and their officers and employees will not be devoted exclusively to our business but will be allocated between us and such other business activities of the Investment Adviser and its affiliates in a manner that the Investment Adviser deems necessary and appropriate.</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An affiliate of the Investment Adviser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pStyle w:val="TextBody"/>
        <w:bidi w:val="0"/>
        <w:jc w:val="left"/>
        <w:rPr>
          <w:rFonts w:ascii="Times New Roman" w:hAnsi="Times New Roman"/>
          <w:b/>
          <w:i/>
          <w:color w:val="000000"/>
          <w:sz w:val="16"/>
        </w:rPr>
      </w:pPr>
      <w:r>
        <w:rPr>
          <w:rFonts w:ascii="Times New Roman" w:hAnsi="Times New Roman"/>
          <w:b/>
          <w:i/>
          <w:color w:val="000000"/>
          <w:sz w:val="16"/>
        </w:rPr>
        <w:t>The time and resources that individuals employed by the Investment Adviser devote to us may be diverted and we may face additional competition due to the fact that individuals employed by the Investment Adviser are not prohibited from raising money for or managing other entities that make the same types of investments that we target.</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Neither the Investment Adviser nor individuals employed by the Investment Adviser are generally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p>
    <w:p>
      <w:pPr>
        <w:pStyle w:val="TextBody"/>
        <w:bidi w:val="0"/>
        <w:jc w:val="left"/>
        <w:rPr>
          <w:rFonts w:ascii="Times New Roman" w:hAnsi="Times New Roman"/>
          <w:b/>
          <w:i/>
          <w:color w:val="000000"/>
          <w:sz w:val="16"/>
        </w:rPr>
      </w:pPr>
      <w:r>
        <w:rPr>
          <w:rFonts w:ascii="Times New Roman" w:hAnsi="Times New Roman"/>
          <w:b/>
          <w:i/>
          <w:color w:val="000000"/>
          <w:sz w:val="16"/>
        </w:rPr>
        <w:t>Our base management and incentive fees may induce the Investment Adviser to make speculative investments or to incur leverage.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incentive fee payable by us to the Investment Adviser may create an incentive for our Investment Adviser to make investments on our behalf that are risky or more speculative than would be the case in the absence of such compensation arrangement. The way in which the incentive fee payable to the Investment Adviser is determined may encourage our Investment Adviser to use leverage to increase the leveraged return on our investment portfolio. The part of the management and incentive fees payable to the Investment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Investment Adviser to the extent that it may encourage the Investment Adviser to favor debt financings that provide for deferred interest, rather than current cash payments of interest.</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addition, the fact that our base management fee is payable based upon our gross assets, which would include any borrowings for investment purposes, may encourage the Investment Adviser to use leverage to make additional investments. Under certain circumstances, the use of leverage may increase the likelihood of defaulting on our borrowings, which would disfavor holders of our common stock. Such a practice could result in us investing in more speculative securities than would otherwise be in our best interests, which could result in higher investment losses, particularly during cyclical economic downturns.</w:t>
      </w:r>
    </w:p>
    <w:p>
      <w:pPr>
        <w:pStyle w:val="TextBody"/>
        <w:bidi w:val="0"/>
        <w:jc w:val="left"/>
        <w:rPr>
          <w:rFonts w:ascii="Times New Roman" w:hAnsi="Times New Roman"/>
          <w:b/>
          <w:i/>
          <w:color w:val="000000"/>
          <w:sz w:val="16"/>
        </w:rPr>
      </w:pPr>
      <w:r>
        <w:rPr>
          <w:rFonts w:ascii="Times New Roman" w:hAnsi="Times New Roman"/>
          <w:b/>
          <w:i/>
          <w:color w:val="000000"/>
          <w:sz w:val="16"/>
        </w:rPr>
        <w:t>Shares of our common stock may be purchased by the Investment Adviser or its affiliates.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 and its affiliates may purchase shares of our common stock for any reason deemed appropriate. The Investment Adviser and its affiliates will not acquire any shares of our common stock with the intention to resell or re-distribute such shares. The purchase of common stock by the Investment Adviser and its affiliates could create certain risks, including, but not limited to, the following:</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Investment Adviser and its affiliates may have an interest in disposing of our assets at an earlier date so as to recover their investment in our common stock;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16"/>
        </w:rPr>
      </w:pPr>
      <w:r>
        <w:rPr>
          <w:rFonts w:ascii="Times New Roman" w:hAnsi="Times New Roman"/>
          <w:color w:val="000000"/>
          <w:sz w:val="16"/>
        </w:rPr>
        <w:t>substantial purchases of shares by the Investment Adviser and its affiliates may limit the Investment Adviser’s ability to fulfill any financial obligations that it may have to us or incurred on our behalf.</w:t>
      </w:r>
    </w:p>
    <w:p>
      <w:pPr>
        <w:pStyle w:val="TextBody"/>
        <w:bidi w:val="0"/>
        <w:jc w:val="left"/>
        <w:rPr>
          <w:rFonts w:ascii="Times New Roman" w:hAnsi="Times New Roman"/>
          <w:sz w:val="20"/>
        </w:rPr>
      </w:pPr>
      <w:r>
        <w:rPr>
          <w:rFonts w:ascii="Times New Roman" w:hAnsi="Times New Roman"/>
          <w:b/>
          <w:i/>
          <w:color w:val="000000"/>
          <w:sz w:val="16"/>
        </w:rPr>
        <w:t>We depend upon our Investment Adviser</w:t>
      </w:r>
      <w:r>
        <w:rPr>
          <w:rFonts w:ascii="Times New Roman" w:hAnsi="Times New Roman"/>
          <w:color w:val="000000"/>
          <w:sz w:val="20"/>
        </w:rPr>
        <w:t>’</w:t>
      </w:r>
      <w:r>
        <w:rPr>
          <w:rFonts w:ascii="Times New Roman" w:hAnsi="Times New Roman"/>
          <w:b/>
          <w:i/>
          <w:color w:val="000000"/>
          <w:sz w:val="16"/>
        </w:rPr>
        <w:t>s key personnel for our future success.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depend on the diligence, skill and network of business contacts Ted Goldthorpe, Matthias Ederer, Henry Wang and Raymond Svider, each experienced members of the Investment Adviser’s investment personnel, who serve as the members of the investment committee of the Investment Adviser. Our success depends on the continued service of these individuals and the other senior investment professionals available to the Investment Adviser. We cannot assure you that unforeseen business, medical, personal or other circumstances would not lead any of these individuals to terminate his relationship with us. Additionally, we cannot assure you that a reduction in revenue to the Investment Adviser, including as a result of fee waivers or a decrease in our assets, would not lead to a loss of investment professionals in the future. Such loss of members of the Investment Adviser’s investment committee and other investment professionals could have a material adverse effect on our ability to achieve our investment objective as well as on our financial condition and results of operations. In addition, we can offer no assurance that the Investment Adviser will continue indefinitely as our investment adviser. The members of the Investment Adviser’s investment team are and may in the future become affiliated with entities engaged in business activities similar to those intended to be conducted by us and may have conflicts of interest in allocating their time.</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The Investment Adviser may retain additional consultants, advisers and/or operating partners to provide services to the Company, and such additional personnel will perform similar functions and duties for other organizations which may give rise to conflicts of interest.</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Investment Adviser may work with or alongside one or more consultants, advisers (including senior advisers and CEOs) and/or operating partners who are retained by the Investment Adviser on a consultancy or retainer or other basis, to provide services to the Company and other entities sponsored by the Investment Adviser including the sourcing of investments and other investment-related and support services. The functions undertaken by such persons with respect to the Company and any of its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the Company or a portfolio entity of the Company. Stockholders should note that such persons may retain compensation that will not offset the base management fee payable to the Investment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the Company, which fee will be paid either by the Company or, if applicable, the relevant portfolio entity.</w:t>
      </w:r>
    </w:p>
    <w:p>
      <w:pPr>
        <w:pStyle w:val="TextBody"/>
        <w:bidi w:val="0"/>
        <w:jc w:val="left"/>
        <w:rPr>
          <w:rFonts w:ascii="Times New Roman" w:hAnsi="Times New Roman"/>
          <w:b/>
          <w:i/>
          <w:color w:val="000000"/>
          <w:sz w:val="16"/>
        </w:rPr>
      </w:pPr>
      <w:r>
        <w:rPr>
          <w:rFonts w:ascii="Times New Roman" w:hAnsi="Times New Roman"/>
          <w:b/>
          <w:i/>
          <w:color w:val="000000"/>
          <w:sz w:val="16"/>
        </w:rPr>
        <w:t>The terms of the Investment Advisory Agreement and the Administration Agreement were determined without independent assessment on our behalf, and these terms may be less advantageous to us than if such terms had been the subject of arm’s-length negotiations.</w:t>
      </w:r>
    </w:p>
    <w:p>
      <w:pPr>
        <w:pStyle w:val="TextBody"/>
        <w:bidi w:val="0"/>
        <w:spacing w:before="160" w:after="160"/>
        <w:jc w:val="both"/>
        <w:rPr>
          <w:rFonts w:ascii="Times New Roman" w:hAnsi="Times New Roman"/>
          <w:sz w:val="20"/>
        </w:rPr>
      </w:pPr>
      <w:r>
        <w:rPr>
          <w:rFonts w:ascii="Times New Roman" w:hAnsi="Times New Roman"/>
          <w:color w:val="000000"/>
          <w:sz w:val="16"/>
        </w:rPr>
        <w:t>The Investment Advisory Agreement and the Administration Agreement were negotiated between related parties. Consequently, their terms, including fees payable to the Investment Adviser and the Administrator, may not be as favorable to us as if they had been negotiated with an unaffiliated third-party.</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The Investment Adviser’s influence on conducting our operations gives it the ability to increase its fees, which may reduce the amount of cash flow available for distribution to our stockholders.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 is paid a base management fee calculated as a percentage of our gross assets and unrelated to net income or any other performance base or measure. The Investment Adviser may advise us to consummate transactions or conduct our operations in a manner that, in the Investment Adviser’s reasonable discretion, is in the best interests of our stockholders. These transactions, however, may increase the amount of fees paid to the Investment Adviser. The Investment Adviser’s ability to influence the base management fee paid to it by us could reduce the amount of cash flow available for distribution to our stockholders.</w:t>
      </w:r>
    </w:p>
    <w:p>
      <w:pPr>
        <w:pStyle w:val="TextBody"/>
        <w:bidi w:val="0"/>
        <w:spacing w:before="240" w:after="283"/>
        <w:jc w:val="left"/>
        <w:rPr>
          <w:rFonts w:ascii="Times New Roman" w:hAnsi="Times New Roman"/>
          <w:sz w:val="20"/>
        </w:rPr>
      </w:pPr>
      <w:r>
        <w:rPr>
          <w:rFonts w:ascii="Times New Roman" w:hAnsi="Times New Roman"/>
          <w:b/>
          <w:i/>
          <w:color w:val="000000"/>
          <w:sz w:val="16"/>
        </w:rPr>
        <w:t>Our Investment Adviser’s liability is limited under the Investment Advisory Agreement, and we have agreed to indemnify the Investment Adviser against certain liabilities, which may lead the Investment Adviser to act in a riskier manner on our behalf than it would when acting for its own account.</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Under the Investment Advisory Agreement, the Investment Adviser has not assumed any responsibility to us other than to render the services called for under that agreement. It is not responsible for any action of our Board in following or declining to follow the Investment Adviser’s advice or recommendations. Under the Investment Advisory Agreement, the Investment Adviser, its officers, members and personnel, and any person controlling or controlled by the Investment Adviser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Adviser owes to us under the Investment Advisory Agreement. In addition, as part of the Investment Advisory Agreement, we have agreed to indemnify the Investment Adviser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Adviser to act in a riskier manner when acting on our behalf than it would when acting for its own account.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Investment Adviser has the right to resign on 60 days’ notice, and we may not be able to find a suitable replacement within such time, resulting in a disruption in our operations that could adversely affect our financial condition, business and results of operations.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Our Investment Adviser has the right, under the Investment Advisory Agreement, to resign at any time on 60 days’ written notice, whether we have found a replacement or not. If our Investment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Adviser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The investment committee and other investment professionals of the Investment Adviser may, from time to time, possess material non-public information about or related to our portfolio companies, limiting our investment discretion.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Members of our Investment Adviser’s investment committee and other investment professionals of the Investment Adviser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Risks Related to Business Development Companies</w:t>
      </w:r>
    </w:p>
    <w:p>
      <w:pPr>
        <w:pStyle w:val="TextBody"/>
        <w:bidi w:val="0"/>
        <w:jc w:val="left"/>
        <w:rPr>
          <w:rFonts w:ascii="Times New Roman" w:hAnsi="Times New Roman"/>
          <w:b/>
          <w:i/>
          <w:color w:val="000000"/>
          <w:sz w:val="16"/>
        </w:rPr>
      </w:pPr>
      <w:r>
        <w:rPr>
          <w:rFonts w:ascii="Times New Roman" w:hAnsi="Times New Roman"/>
          <w:b/>
          <w:i/>
          <w:color w:val="000000"/>
          <w:sz w:val="16"/>
        </w:rPr>
        <w:t>The requirement that we invest a sufficient portion of our assets in qualifying assets could preclude us from investing in accordance with our current business strategy; conversely, the failure to invest a sufficient portion of our assets in qualifying assets could result in our failure to maintain our status as a BDC.</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As a BDC, we may not acquire any assets other than “qualifying assets” unless, at the time of and after giving effect to such acquisition, at least 70% of our total assets are qualifying assets.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rules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w:t>
      </w:r>
    </w:p>
    <w:p>
      <w:pPr>
        <w:pStyle w:val="TextBody"/>
        <w:bidi w:val="0"/>
        <w:jc w:val="left"/>
        <w:rPr>
          <w:rFonts w:ascii="Times New Roman" w:hAnsi="Times New Roman"/>
          <w:b/>
          <w:i/>
          <w:color w:val="000000"/>
          <w:sz w:val="16"/>
        </w:rPr>
      </w:pPr>
      <w:r>
        <w:rPr>
          <w:rFonts w:ascii="Times New Roman" w:hAnsi="Times New Roman"/>
          <w:b/>
          <w:i/>
          <w:color w:val="000000"/>
          <w:sz w:val="16"/>
        </w:rPr>
        <w:t>Failure to maintain our status as a BDC would reduce our operating flexibility.</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If we do not remain a BDC, whether because we withdrew our election or failed to maintain our status as a BDC, we might be regulated as a registered closed-end investment company under the 1940 Act, which would subject us to substantially more regulatory restrictions under the 1940 Act and correspondingly decrease our operating flexibility and potentially significantly increase our costs of doing business.</w:t>
      </w:r>
    </w:p>
    <w:p>
      <w:pPr>
        <w:pStyle w:val="TextBody"/>
        <w:bidi w:val="0"/>
        <w:jc w:val="left"/>
        <w:rPr>
          <w:rFonts w:ascii="Times New Roman" w:hAnsi="Times New Roman"/>
          <w:sz w:val="20"/>
        </w:rPr>
      </w:pPr>
      <w:r>
        <w:rPr>
          <w:rFonts w:ascii="Times New Roman" w:hAnsi="Times New Roman"/>
          <w:b/>
          <w:i/>
          <w:color w:val="000000"/>
          <w:sz w:val="16"/>
        </w:rPr>
        <w:t>Regulations governing our operation as a BDC affect our ability to raise additional capital and the way in which we do so. As a BDC, the necessity of raising additional capital may expose us to risks, including the typical risks associated with leverage.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150%, if certain conditions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we had $15.0 million of 5.25% fixed rate convertible notes due April 1, 2032 (the “2032 Convertible Notes”) and $50.0 million of 5.25% fixed rate notes due October 30, 2026 (the “2026 Notes”) outstanding.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Similar restrictions limit our ability to transact business with our officers, directors, investment advisers, sub-advisers or their affiliates. As a result of these restrictions, we may be prohibited from buying or selling any security (other than any security of which we are the issuer) from or to any company that is advised or managed by our Investment Adviser or its affiliates without the prior approval of the SEC, which may limit the scope of investment opportunities that would otherwise be available to us.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future, we may co-invest with investment funds, accounts and vehicles managed by our Investment Adviser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proposed transaction is consistent with the interests of the Company’s stockholders and is consistent with the Company’s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Adviser because such a transaction could be considered a joint transaction prohibited by the 1940 Act in the absence of our receipt of relief from the SEC in connection with such transaction. For example, if an affiliate of our Investment Adviser were required to approve a restructuring of an investment in the portfolio and the affiliate of our Investment Adviser was deemed to be our affiliate, such a restructuring transaction may constitute a prohibited joint transaction under the 1940 Act.</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are uncertain of our sources for funding our future capital needs; if we cannot obtain debt or equity financing on acceptable terms, our ability to acquire investments and to expand our operations will be adversely affected.</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net proceeds from the sale of common stock or other securities will be used for our investment opportunities, operating expenses and for payment of various fees and expenses such as base management fees, incentive fees and other expenses. Any working capital reserves we maintain may not be sufficient for investment purposes, and we may require debt or equity financing to operate. Accordingly, in the event that we develop a need for additional capital in the future for investments or for any other reason, these sources of funding may not be available to us. Consequently, if we cannot obtain debt or equity financing on acceptable terms, our ability to acquire investments and to expand our operations will be adversely affected. As a result, we would be less able to create and maintain a broad portfolio of investments and achieve our investment objective, which may negatively impact our results of operations and reduce our ability to make distributions to our stockholders.</w:t>
      </w:r>
    </w:p>
    <w:p>
      <w:pPr>
        <w:pStyle w:val="TextBody"/>
        <w:bidi w:val="0"/>
        <w:jc w:val="left"/>
        <w:rPr>
          <w:rFonts w:ascii="Times New Roman" w:hAnsi="Times New Roman"/>
          <w:sz w:val="20"/>
        </w:rPr>
      </w:pPr>
      <w:r>
        <w:rPr>
          <w:rFonts w:ascii="Times New Roman" w:hAnsi="Times New Roman"/>
          <w:b/>
          <w:i/>
          <w:color w:val="000000"/>
          <w:sz w:val="16"/>
        </w:rPr>
        <w:t>We are a non-diversified investment company within the meaning of the 1940 Act, and therefore we are not limited with respect to the proportion of our assets that may be invested in securities of a single issuer.</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For the same reason, we may be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 xml:space="preserve">Our portfolio may be concentrated in a limited number of industries, which may subject us to a risk of significant loss if there is a downturn in a particular industry in which a number of our investments are concentrated. </w:t>
      </w:r>
      <w:r>
        <w:rPr>
          <w:rFonts w:ascii="Times New Roman" w:hAnsi="Times New Roman"/>
          <w:color w:val="000000"/>
          <w:sz w:val="16"/>
        </w:rPr>
        <w:br/>
      </w:r>
      <w:r>
        <w:rPr>
          <w:rFonts w:ascii="Times New Roman" w:hAnsi="Times New Roman"/>
          <w:color w:val="000000"/>
          <w:sz w:val="20"/>
        </w:rPr>
        <w:t>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Our portfolio may be concentrated in a limited number of industries. Our portfolio will be considered to be concentrated in a particular industry when 25% or greater of its total assets are invested in issuers that are a part of that industry. A downturn in any industry in which we are invested could significantly impact the aggregate returns we realize. We currently have investments concentrated in the healthcare industry.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pStyle w:val="TextBody"/>
        <w:bidi w:val="0"/>
        <w:jc w:val="left"/>
        <w:rPr>
          <w:rFonts w:ascii="Times New Roman" w:hAnsi="Times New Roman"/>
          <w:sz w:val="20"/>
        </w:rPr>
      </w:pPr>
      <w:r>
        <w:rPr>
          <w:rFonts w:ascii="Times New Roman" w:hAnsi="Times New Roman"/>
          <w:b/>
          <w:i/>
          <w:color w:val="000000"/>
          <w:sz w:val="16"/>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The effect of global climate change may impact the operations of our portfolio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Biden signed an executive order to rejoin the Paris Agreement. As a result, some of our portfolio companies may become subject to new or strengthened regulations or legislation, which could increase their operating costs and/or decrease their revenues.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Risks Related to Our Investments</w:t>
      </w:r>
    </w:p>
    <w:p>
      <w:pPr>
        <w:pStyle w:val="TextBody"/>
        <w:bidi w:val="0"/>
        <w:jc w:val="left"/>
        <w:rPr>
          <w:rFonts w:ascii="Times New Roman" w:hAnsi="Times New Roman"/>
          <w:b/>
          <w:i/>
          <w:color w:val="000000"/>
          <w:sz w:val="16"/>
        </w:rPr>
      </w:pPr>
      <w:r>
        <w:rPr>
          <w:rFonts w:ascii="Times New Roman" w:hAnsi="Times New Roman"/>
          <w:b/>
          <w:i/>
          <w:color w:val="000000"/>
          <w:sz w:val="16"/>
        </w:rPr>
        <w:t>Our investments in prospective portfolio companies may be risky, and we could lose all or part of our investment.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Our strategy focuses primarily on originating and making loans to, and making debt and equity investments in, U.S. middle market companies, with a focus on originated transactions sourced through the networks of our Investment Adviser.</w:t>
      </w:r>
    </w:p>
    <w:p>
      <w:pPr>
        <w:pStyle w:val="TextBody"/>
        <w:bidi w:val="0"/>
        <w:spacing w:before="160" w:after="283"/>
        <w:jc w:val="left"/>
        <w:rPr>
          <w:rFonts w:ascii="Times New Roman" w:hAnsi="Times New Roman"/>
          <w:sz w:val="20"/>
        </w:rPr>
      </w:pPr>
      <w:r>
        <w:rPr>
          <w:rFonts w:ascii="Times New Roman" w:hAnsi="Times New Roman"/>
          <w:i/>
          <w:color w:val="000000"/>
          <w:sz w:val="16"/>
        </w:rPr>
        <w:t>First Lien Loans and Second Lien Loans.</w:t>
      </w:r>
      <w:r>
        <w:rPr>
          <w:rFonts w:ascii="Times New Roman" w:hAnsi="Times New Roman"/>
          <w:color w:val="000000"/>
          <w:sz w:val="20"/>
        </w:rPr>
        <w:t xml:space="preserve"> </w:t>
      </w:r>
      <w:r>
        <w:rPr>
          <w:rFonts w:ascii="Times New Roman" w:hAnsi="Times New Roman"/>
          <w:color w:val="000000"/>
          <w:sz w:val="16"/>
        </w:rPr>
        <w:t>When we invest in senior secured term debt, including first lien loans and second lien loans, we generally take a security interest in the available assets of these portfolio companies, including the equity interests of their subsidiaries. We expect this security interest to help mitigate the risk that we will not be repaid. However, there is a risk that the collateral securing our loans may decrease in value over time or lose its entire value,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security interest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 Further, in connection with any “last out” first-lien loans in which we may invest,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pStyle w:val="TextBody"/>
        <w:bidi w:val="0"/>
        <w:spacing w:before="160" w:after="283"/>
        <w:jc w:val="left"/>
        <w:rPr>
          <w:rFonts w:ascii="Times New Roman" w:hAnsi="Times New Roman"/>
          <w:sz w:val="20"/>
        </w:rPr>
      </w:pPr>
      <w:r>
        <w:rPr>
          <w:rFonts w:ascii="Times New Roman" w:hAnsi="Times New Roman"/>
          <w:i/>
          <w:color w:val="000000"/>
          <w:sz w:val="16"/>
        </w:rPr>
        <w:t>Unitranche Loans.</w:t>
      </w:r>
      <w:r>
        <w:rPr>
          <w:rFonts w:ascii="Times New Roman" w:hAnsi="Times New Roman"/>
          <w:color w:val="000000"/>
          <w:sz w:val="20"/>
        </w:rPr>
        <w:t xml:space="preserve"> </w:t>
      </w:r>
      <w:r>
        <w:rPr>
          <w:rFonts w:ascii="Times New Roman" w:hAnsi="Times New Roman"/>
          <w:color w:val="000000"/>
          <w:sz w:val="16"/>
        </w:rPr>
        <w:t>We also invest in unitranche loans, which are loans that combine both senior and subordinated financing, generally in a first-lien position. Unitranche loans provide all of the debt needed to finance a leveraged buyout or other corporate transaction, both senior and subordinated, but generally in a first lien position, while the borrower generally pays a blended, uniform interest rate rather than different rates for different tranches. Unitranche debt generally requires payments of both principal and interest throughout the life of the loan. Unitranche debt generally has contractual maturities of five to six years and interest is typically paid quarterly. Generally, we expect these securities to carry a blended yield that is between senior secured and subordinated debt interest rates. Unitranche loans provide a number of advantages for borrowers, including the following: simplified documentation, greater certainty of execution and reduced decision-making complexity throughout the life of the loan. In addition, we may receive additional returns from any warrants we may receive in connection with these investments. In some cases, a portion of the total interest may accrue or be paid in kind. Because unitranche loans combine characteristics of senior and subordinated financing, unitranche loans have risks similar to the risks associated with senior secured debt, including first lien loans and second lien loans, and subordinated debt in varying degrees according to the combination of loan characteristics of the unitranche loan.</w:t>
      </w:r>
    </w:p>
    <w:p>
      <w:pPr>
        <w:pStyle w:val="TextBody"/>
        <w:bidi w:val="0"/>
        <w:spacing w:before="160" w:after="283"/>
        <w:jc w:val="left"/>
        <w:rPr>
          <w:rFonts w:ascii="Times New Roman" w:hAnsi="Times New Roman"/>
          <w:sz w:val="20"/>
        </w:rPr>
      </w:pPr>
      <w:r>
        <w:rPr>
          <w:rFonts w:ascii="Times New Roman" w:hAnsi="Times New Roman"/>
          <w:i/>
          <w:color w:val="000000"/>
          <w:sz w:val="16"/>
        </w:rPr>
        <w:t>Unsecured Debt.</w:t>
      </w:r>
      <w:r>
        <w:rPr>
          <w:rFonts w:ascii="Times New Roman" w:hAnsi="Times New Roman"/>
          <w:color w:val="000000"/>
          <w:sz w:val="20"/>
        </w:rPr>
        <w:t xml:space="preserve"> </w:t>
      </w:r>
      <w:r>
        <w:rPr>
          <w:rFonts w:ascii="Times New Roman" w:hAnsi="Times New Roman"/>
          <w:color w:val="000000"/>
          <w:sz w:val="16"/>
        </w:rPr>
        <w:t>Our unsecured debt, including corporate bonds and subordinated, or mezzanine, investments generally rank junior in priority of payment to senior debt. 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including PIK interest and original issue discount. Loans structured with these features may represent a higher level of credit risk than loans that require interest to be paid in cash at regular intervals during the term of the loan. Since we generally will not receive any principal repayments prior to the maturity of some of our unsecured debt investments, such investments will have greater risk and may result in loss of principal.</w:t>
      </w:r>
    </w:p>
    <w:p>
      <w:pPr>
        <w:pStyle w:val="TextBody"/>
        <w:bidi w:val="0"/>
        <w:spacing w:before="160" w:after="283"/>
        <w:jc w:val="left"/>
        <w:rPr>
          <w:rFonts w:ascii="Times New Roman" w:hAnsi="Times New Roman"/>
          <w:sz w:val="20"/>
        </w:rPr>
      </w:pPr>
      <w:r>
        <w:rPr>
          <w:rFonts w:ascii="Times New Roman" w:hAnsi="Times New Roman"/>
          <w:i/>
          <w:color w:val="000000"/>
          <w:sz w:val="16"/>
        </w:rPr>
        <w:t>Equity Investments.</w:t>
      </w:r>
      <w:r>
        <w:rPr>
          <w:rFonts w:ascii="Times New Roman" w:hAnsi="Times New Roman"/>
          <w:color w:val="000000"/>
          <w:sz w:val="20"/>
        </w:rPr>
        <w:t xml:space="preserve"> </w:t>
      </w:r>
      <w:r>
        <w:rPr>
          <w:rFonts w:ascii="Times New Roman" w:hAnsi="Times New Roman"/>
          <w:color w:val="000000"/>
          <w:sz w:val="16"/>
        </w:rPr>
        <w:t>To a limited extent, we make selected equity investments. In addition, when we invest in senior secured debt, including first lien loans and second lien loans, or unsecured debt, we may acquire warrants to purchase equity securities. Our goal is 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pStyle w:val="TextBody"/>
        <w:bidi w:val="0"/>
        <w:spacing w:before="160" w:after="283"/>
        <w:jc w:val="left"/>
        <w:rPr>
          <w:rFonts w:ascii="Times New Roman" w:hAnsi="Times New Roman"/>
          <w:sz w:val="20"/>
        </w:rPr>
      </w:pPr>
      <w:r>
        <w:rPr>
          <w:rFonts w:ascii="Times New Roman" w:hAnsi="Times New Roman"/>
          <w:i/>
          <w:color w:val="000000"/>
          <w:sz w:val="16"/>
        </w:rPr>
        <w:t>Collateralized Securities, Structured Products and Other.</w:t>
      </w:r>
      <w:r>
        <w:rPr>
          <w:rFonts w:ascii="Times New Roman" w:hAnsi="Times New Roman"/>
          <w:color w:val="000000"/>
          <w:sz w:val="20"/>
        </w:rPr>
        <w:t xml:space="preserve"> </w:t>
      </w:r>
      <w:r>
        <w:rPr>
          <w:rFonts w:ascii="Times New Roman" w:hAnsi="Times New Roman"/>
          <w:color w:val="000000"/>
          <w:sz w:val="16"/>
        </w:rPr>
        <w:t>To a limited extent, we invest in collateralized securities, structured products and other similar securities, which may include CDOs, CBOs, CLOs, structured notes and credit-linked notes. Investments in such securities and products involve risks, including, without limitation, credit risk and market risk. Certain of these securities and products may be thinly traded or have a limited trading market. Where our investments in collateralized securities, structured products and other similar securities are based upon the movement of one or more factors, including currency exchange rates, interest rates, reference bonds (or loans) and stock indices, depending on the factor used and the use of multipliers or deflators, changes in interest rates and movement of any factor may cause significant price fluctuations. Additionally, changes in the reference instrument or security may cause the interest rate on such a security or product to be reduced to zero, and any further changes in the reference instrument may then reduce the principal amount payable on maturity of the security or product. Collateralized securities, structured products and other similar securities may be less liquid than other types of securities and more volatile than the reference instrument or security underlying the product.</w:t>
      </w:r>
    </w:p>
    <w:p>
      <w:pPr>
        <w:pStyle w:val="TextBody"/>
        <w:bidi w:val="0"/>
        <w:spacing w:before="160" w:after="283"/>
        <w:jc w:val="left"/>
        <w:rPr>
          <w:rFonts w:ascii="Times New Roman" w:hAnsi="Times New Roman"/>
          <w:sz w:val="20"/>
        </w:rPr>
      </w:pPr>
      <w:r>
        <w:rPr>
          <w:rFonts w:ascii="Times New Roman" w:hAnsi="Times New Roman"/>
          <w:i/>
          <w:color w:val="000000"/>
          <w:sz w:val="16"/>
        </w:rPr>
        <w:t>Non-U.S. Securities.</w:t>
      </w:r>
      <w:r>
        <w:rPr>
          <w:rFonts w:ascii="Times New Roman" w:hAnsi="Times New Roman"/>
          <w:color w:val="000000"/>
          <w:sz w:val="20"/>
        </w:rPr>
        <w:t xml:space="preserve"> </w:t>
      </w:r>
      <w:r>
        <w:rPr>
          <w:rFonts w:ascii="Times New Roman" w:hAnsi="Times New Roman"/>
          <w:color w:val="000000"/>
          <w:sz w:val="16"/>
        </w:rPr>
        <w:t>We may invest in non-U.S. securities, which may include securities denominated in U.S. dollars or in non-U.S. currencies, to the extent permitted by the 1940 Act. Because evidence of ownership of such securities usually are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investors located outside the country of the issuer, whether from currency blockage or otherwise. Since non-U.S. securities may be purchased with and payable in foreign currencies, the value of these assets as measured in U.S. dollars may be affected unfavorably by changes in current rates and exchange control regulations.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In addition, we invest in debt securities that are rated below investment grade by rating agencies or that would be rated below investment grade if they were rated. Debt securities rated below investment grade quality are generally regarded as having predominantly speculative characteristics and may carry a greater risk with respect to a borrower’s capacity to pay interest and repay principal. They may also be difficult to value and illiquid.</w:t>
      </w:r>
    </w:p>
    <w:p>
      <w:pPr>
        <w:pStyle w:val="TextBody"/>
        <w:bidi w:val="0"/>
        <w:spacing w:before="160" w:after="160"/>
        <w:jc w:val="left"/>
        <w:rPr>
          <w:rFonts w:ascii="Times New Roman" w:hAnsi="Times New Roman"/>
          <w:color w:val="000000"/>
          <w:sz w:val="16"/>
        </w:rPr>
      </w:pPr>
      <w:r>
        <w:rPr>
          <w:rFonts w:ascii="Times New Roman" w:hAnsi="Times New Roman"/>
          <w:color w:val="000000"/>
          <w:sz w:val="16"/>
        </w:rPr>
        <w:t>Further, investing in lower middle-market and traditional middle-market companies involves a number of significant risks. See also “—Investment in private and middle market companies involves a number of significant risks.”</w:t>
      </w:r>
    </w:p>
    <w:p>
      <w:pPr>
        <w:pStyle w:val="TextBody"/>
        <w:bidi w:val="0"/>
        <w:jc w:val="left"/>
        <w:rPr>
          <w:rFonts w:ascii="Times New Roman" w:hAnsi="Times New Roman"/>
          <w:b/>
          <w:i/>
          <w:color w:val="000000"/>
          <w:sz w:val="16"/>
        </w:rPr>
      </w:pPr>
      <w:r>
        <w:rPr>
          <w:rFonts w:ascii="Times New Roman" w:hAnsi="Times New Roman"/>
          <w:b/>
          <w:i/>
          <w:color w:val="000000"/>
          <w:sz w:val="16"/>
        </w:rPr>
        <w:t>If we make subordinated investments, the obligors or the portfolio companies may not generate sufficient cash flow to service their debt obligations to us.</w:t>
      </w:r>
    </w:p>
    <w:p>
      <w:pPr>
        <w:pStyle w:val="TextBody"/>
        <w:bidi w:val="0"/>
        <w:spacing w:before="160" w:after="160"/>
        <w:jc w:val="both"/>
        <w:rPr>
          <w:rFonts w:ascii="Times New Roman" w:hAnsi="Times New Roman"/>
          <w:sz w:val="20"/>
        </w:rPr>
      </w:pPr>
      <w:r>
        <w:rPr>
          <w:rFonts w:ascii="Times New Roman" w:hAnsi="Times New Roman"/>
          <w:color w:val="000000"/>
          <w:sz w:val="16"/>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If the assets securing the loans that we make decrease in value, then we may lack sufficient collateral to cover losses.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To attempt to mitigate credit risks, we will typically take a security interest in the available assets of our portfolio companies. There is no assurance that we will obtain or properly perfect our liens.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investments in securities rated below investment grade are speculative in nature and are subject to additional risk factors such as increased possibility of default, illiquidity of the security, and changes in value based on changes in interest rates.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investments may include original issue discount instruments and contractual PIK interest, which represents contractual interest added to a loan balance and due at the end of such loan’s term. To the extent original issue discount or PIK interest constitute a portion of our income, we are exposed to typical risks associated with such income being required to be included in taxable and accounting income prior to receipt of cash, including the following:</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higher interest rates on PIK instruments reflect the payment deferral and increased credit risk associated with these instruments, and PIK instruments generally represent a significantly higher credit risk than coupon loans;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original issue discount and PIK instruments may have unreliable valuations because the accruals require judgments about collectability of the deferred payments and the value of any associated collateral;</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an election to defer PIK interest payments by adding them to the principal on such instruments increases our future investment income which increases our gross assets and, as such, increases the Investment Adviser’s future base management fees which, thus, increases the Investment Adviser’s future income incentive fees at a compounding rate;</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market prices of PIK instruments and other zero coupon instruments are affected to a greater extent by interest rate changes, and may be more volatile than instruments that pay interest periodically in cash. While PIK instruments are usually less volatile than zero coupon debt instruments, PIK instruments are generally more volatile than cash pay securities;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deferral of PIK interest on an instrument increases the loan-to-value ratio, which is a measure of the riskiness of a loan, with respect to such instrument;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even if the conditions for income accrual under U.S. GAAP are satisfied, a borrower could still default when actual payment is due upon the maturity of such loan;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for accounting purposes, cash distributions to investors representing original issue discount income do not come from paid-in capital, although they may be paid from the offering proceeds. Thus, although a distribution of original issue discount income may come from the cash invested by investors, the 1940 Act does not require that investors be given notice of this fact;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required recognition of original issue discount or PIK interest for U.S. federal income tax purposes may have a negative impact on liquidity, as it represents a non-cash component of our investment company taxable income that may require cash distributions to shareholders in order to maintain our ability to be subject to tax as a RIC; and</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original issue discount may create a risk of non-refundable cash payments to the Investment Adviser based on non-cash accruals that may never be realized.</w:t>
      </w:r>
    </w:p>
    <w:p>
      <w:pPr>
        <w:pStyle w:val="TextBody"/>
        <w:bidi w:val="0"/>
        <w:spacing w:before="160" w:after="283"/>
        <w:jc w:val="left"/>
        <w:rPr>
          <w:rFonts w:ascii="Times New Roman" w:hAnsi="Times New Roman"/>
          <w:b/>
          <w:i/>
          <w:color w:val="000000"/>
          <w:sz w:val="16"/>
        </w:rPr>
      </w:pPr>
      <w:r>
        <w:rPr>
          <w:rFonts w:ascii="Times New Roman" w:hAnsi="Times New Roman"/>
          <w:b/>
          <w:i/>
          <w:color w:val="000000"/>
          <w:sz w:val="16"/>
        </w:rPr>
        <w:t>Our investments in leveraged portfolio companies may be risky, and we could lose all or part of our investment.</w:t>
      </w:r>
    </w:p>
    <w:p>
      <w:pPr>
        <w:pStyle w:val="TextBody"/>
        <w:bidi w:val="0"/>
        <w:spacing w:before="160" w:after="160"/>
        <w:jc w:val="both"/>
        <w:rPr>
          <w:rFonts w:ascii="Times New Roman" w:hAnsi="Times New Roman"/>
          <w:sz w:val="20"/>
        </w:rPr>
      </w:pPr>
      <w:r>
        <w:rPr>
          <w:rFonts w:ascii="Times New Roman" w:hAnsi="Times New Roman"/>
          <w:color w:val="000000"/>
          <w:sz w:val="16"/>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portfolio companies may incur debt that ranks equally with, or senior to, our investments in such companies.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Investment in private and middle market companies involves a number of significant risks.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 in private and middle market companies involves a number of significant risks including:</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its investment;</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such companies typically have shorter operating histories, narrower product lines and smaller market shares than larger businesses, which tend to render them more vulnerable to competitors’ actions and market conditions, as well as to general economic downturns;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such companies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such companies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debt investments in such companies generally may have a significant portion of principal due at the maturity of the investment, which would result in a substantial loss to us if such borrowers are unable to refinance or repay their debt at maturity;</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our executive officers, directors and the Adviser may, in the ordinary course of business, be named as defendants in litigation arising from our investments in such companies;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such companies generally have less publicly available information about their businesses, operations and financial condition and, if we are unable to uncover all material information about these companies, we may not make a fully informed investment decision; and</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16"/>
        </w:rPr>
      </w:pPr>
      <w:r>
        <w:rPr>
          <w:rFonts w:ascii="Times New Roman" w:hAnsi="Times New Roman"/>
          <w:color w:val="000000"/>
          <w:sz w:val="16"/>
        </w:rPr>
        <w:t>such companies may have difficulty accessing the capital markets to meet future capital needs, which may limit their ability to grow or to repay their outstanding indebtedness upon maturity.</w:t>
      </w:r>
    </w:p>
    <w:p>
      <w:pPr>
        <w:pStyle w:val="TextBody"/>
        <w:bidi w:val="0"/>
        <w:jc w:val="left"/>
        <w:rPr>
          <w:rFonts w:ascii="Times New Roman" w:hAnsi="Times New Roman"/>
          <w:sz w:val="20"/>
        </w:rPr>
      </w:pPr>
      <w:r>
        <w:rPr>
          <w:rFonts w:ascii="Times New Roman" w:hAnsi="Times New Roman"/>
          <w:b/>
          <w:i/>
          <w:color w:val="000000"/>
          <w:sz w:val="16"/>
        </w:rPr>
        <w:t>Our investments may be in portfolio companies which may have limited operating histories and financial resources.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We expect that our portfolio will continue to consist of investments that may have relatively limited operating histories. These companies may be particularly vulnerable to U.S. and foreign economic downturns such as the U.S. recession that began in mid-2007, the European financial crisis, and the COVID-19 related economic downturn,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pStyle w:val="TextBody"/>
        <w:bidi w:val="0"/>
        <w:jc w:val="left"/>
        <w:rPr>
          <w:rFonts w:ascii="Times New Roman" w:hAnsi="Times New Roman"/>
          <w:b/>
          <w:i/>
          <w:color w:val="000000"/>
          <w:sz w:val="16"/>
        </w:rPr>
      </w:pPr>
      <w:r>
        <w:rPr>
          <w:rFonts w:ascii="Times New Roman" w:hAnsi="Times New Roman"/>
          <w:b/>
          <w:i/>
          <w:color w:val="000000"/>
          <w:sz w:val="16"/>
        </w:rPr>
        <w:t>There may be circumstances where our debt investments could be subordinated to claims of other creditors or we could be subject to lender liability claims.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If one of our portfolio companies were to file for bankruptcy,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w:t>
      </w:r>
    </w:p>
    <w:p>
      <w:pPr>
        <w:pStyle w:val="TextBody"/>
        <w:bidi w:val="0"/>
        <w:jc w:val="left"/>
        <w:rPr>
          <w:rFonts w:ascii="Times New Roman" w:hAnsi="Times New Roman"/>
          <w:b/>
          <w:i/>
          <w:color w:val="000000"/>
          <w:sz w:val="16"/>
        </w:rPr>
      </w:pPr>
      <w:r>
        <w:rPr>
          <w:rFonts w:ascii="Times New Roman" w:hAnsi="Times New Roman"/>
          <w:b/>
          <w:i/>
          <w:color w:val="000000"/>
          <w:sz w:val="16"/>
        </w:rPr>
        <w:t>We generally will not control our portfolio companies.</w:t>
      </w:r>
    </w:p>
    <w:p>
      <w:pPr>
        <w:pStyle w:val="TextBody"/>
        <w:bidi w:val="0"/>
        <w:spacing w:before="160" w:after="160"/>
        <w:jc w:val="both"/>
        <w:rPr>
          <w:rFonts w:ascii="Times New Roman" w:hAnsi="Times New Roman"/>
          <w:sz w:val="20"/>
        </w:rPr>
      </w:pPr>
      <w:r>
        <w:rPr>
          <w:rFonts w:ascii="Times New Roman" w:hAnsi="Times New Roman"/>
          <w:color w:val="000000"/>
          <w:sz w:val="16"/>
        </w:rPr>
        <w:t>Although we may do so in the future, we do not expect to control most of our portfolio companies, even though we may have board representation or board observation rights, and our debt agreements with such portfolio companies may contain certain restrictive covenants.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equity ownership in a portfolio company may represent a control investment. Our ability to exit a control investment in a timely manner could result in a realized loss on the investment.</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periodically invest through joint ventures, partnerships or other special purpose vehicles and investments through these vehicles may entail greater risks, or risks that we otherwise would not incur, if we otherwise made such investments directly.</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We periodically co-invest with third parties through funds, joint ventures or other entities. Such investments may involve risks not present in investments where a third party is not involved, including the possibility that our co-venturer or partner may at any time have other business interests and investments other than the joint venture with us, or may have different economic or business goals. In addition, we may be liable for actions of our co-venturers or partners. Our ability to exercise control or significant influence over management in these cooperative efforts will depend upon the nature of the joint venture arrangement. In addition, such arrangements are likely to involve restrictions on the resale of our interest in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16"/>
        </w:rPr>
      </w:pPr>
      <w:r>
        <w:rPr>
          <w:rFonts w:ascii="Times New Roman" w:hAnsi="Times New Roman"/>
          <w:b/>
          <w:i/>
          <w:color w:val="000000"/>
          <w:sz w:val="16"/>
        </w:rPr>
        <w:t>We will be exposed to risks associated with changes in interest rates.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are subject to financial market risks, including changes in interest rates. General interest rate fluctuations may have a substantial negative impact on our investments and investment opportunities and, accordingly, have a material adverse effect on our ability to achieve our investment objective and our target rate of return on invested capital. In addition, an increase in interest rates would make it more expensive to use debt for our financing needs, if any. See also “—To the extent we borrow money to finance our investments, changes in interest rates will affect our cost of capital and net investment income.”</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2022 and 2023, the U.S. Federal Reserve tightened monetary policy by increasing interest rates aggressively to combat inflation.</w:t>
      </w:r>
    </w:p>
    <w:p>
      <w:pPr>
        <w:pStyle w:val="TextBody"/>
        <w:bidi w:val="0"/>
        <w:jc w:val="left"/>
        <w:rPr>
          <w:rFonts w:ascii="Times New Roman" w:hAnsi="Times New Roman"/>
          <w:sz w:val="20"/>
        </w:rPr>
      </w:pPr>
      <w:r>
        <w:rPr>
          <w:rFonts w:ascii="Times New Roman" w:hAnsi="Times New Roman"/>
          <w:b/>
          <w:i/>
          <w:color w:val="000000"/>
          <w:sz w:val="16"/>
        </w:rPr>
        <w:t>The interest rates of some of our floating-rate loans to our portfolio companies may be priced using a spread over LIBOR, which was phased out on June 30, 2023.</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historically used the London Interbank Offered Rate (“LIBOR”) as a reference for setting the interest rates on our loans, including floating rate loans that we extend to portfolio companies. Certain LIBOR rates were generally phased out by the end of 2021, and some regulated entities have ceased to enter into new LIBOR-based contracts beginning January 1, 2022. Most U.S. dollar London Interbank Offered Rate, or LIBOR, loans are no longer published after June 30, 2023 although certain synthetic rates will be published through September 30, 2024. The U.S. Federal Reserve, in conjunction with the Alternative Reference Rates Committee, a steering committee comprised of large U.S. financial institutions, supports replacing U.S.-dollar LIBOR with the Secured Overnight Financing Rate (“SOFR”). As of December 31, 2023, primarily all of our loan agreements with portfolio companies as well as our credit facilities either include fallback language to address a LIBOR replacement or such agreements have been amended to no longer utilize LIBOR as a factor in determining the interest rate. The transition away from LIBOR to alternative reference rates has been complex and the transition of our remaining loan agreements with portfolio companies to a LIBOR replacement could have a material adverse effect on our business, financial condition and results of operations, including as a result of any changes in the pricing of our investments, changes to the documentation for certain of our investments and the pace of such changes, disputes and other actions regarding the interpretation of current and prospective loan documentation or modifications to processes and systems.</w:t>
      </w:r>
    </w:p>
    <w:p>
      <w:pPr>
        <w:pStyle w:val="TextBody"/>
        <w:bidi w:val="0"/>
        <w:spacing w:before="160" w:after="160"/>
        <w:jc w:val="left"/>
        <w:rPr>
          <w:rFonts w:ascii="Times New Roman" w:hAnsi="Times New Roman"/>
          <w:sz w:val="20"/>
        </w:rPr>
      </w:pPr>
      <w:r>
        <w:rPr>
          <w:rFonts w:ascii="Times New Roman" w:hAnsi="Times New Roman"/>
          <w:b/>
          <w:i/>
          <w:color w:val="000000"/>
          <w:sz w:val="16"/>
        </w:rPr>
        <w:t>The health and performance of our portfolio companies could be adversely affected by political and economic conditions in the countries in which they conduct business.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Some of the products of our portfolio companies are developed, manufactured, assembled, tested or marketed outside the U.S. Any conflict or uncertainty in these countries, including due to natural disasters, public health concerns (including the COVID-19 pandemic or a similar infectious disease outbreak),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may expose ourselves to risks if we engage in hedging transactions.</w:t>
      </w:r>
    </w:p>
    <w:p>
      <w:pPr>
        <w:pStyle w:val="TextBody"/>
        <w:bidi w:val="0"/>
        <w:spacing w:before="160" w:after="283"/>
        <w:jc w:val="both"/>
        <w:rPr>
          <w:rFonts w:ascii="Times New Roman" w:hAnsi="Times New Roman"/>
          <w:sz w:val="20"/>
        </w:rPr>
      </w:pPr>
      <w:r>
        <w:rPr>
          <w:rFonts w:ascii="Times New Roman" w:hAnsi="Times New Roman"/>
          <w:color w:val="000000"/>
          <w:sz w:val="16"/>
        </w:rPr>
        <w:t>We may seek to hedge against interest rate and currency exchange rate fluctuations and credit risk by using financial instruments such as futures, options, swaps, forward contracts, caps, collars and floors, subject to the requirements of the 1940 Act. These financial instruments may be purchased on exchanges or may be individually negotiated and traded in over-the-counter markets. Use of such financial instruments for hedging purposes may present significant risks, including the risk of loss of the amounts invested. Defaults by the other party to a hedging transaction can result in losses in the hedging transaction.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Hedging activities also involve the risk of an imperfect correlation between the hedging instrument and the asset being hedged, which could result in losses both on the hedging transaction and on the instrument being hedged.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Further, hedging transactions may reduce cash available to pay distributions to our shareholders.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 derivative transaction is also subject to the risk that a counterparty will default on its payment obligations thereunder or that we will not be able to meet our obligations to the counterparty. In some cases, we may post collateral to secure our obligations to the counterparty, and we may be required to post additional collateral upon the occurrence of certain events such as a decrease in the value of the reference security or other asset. In some cases, the counterparty may not collateralize any of its obligations to us. Derivative investments effectively add leverage to a portfolio by providing investment exposure to a security or market without owning or taking physical custody of such security or investing directly in such market. In addition to the risks described above, such arrangements are subject to risks similar to those associated with the use of leverage. See “Risk Factors — Risks Related to Debt Financing.”</w:t>
      </w:r>
    </w:p>
    <w:p>
      <w:pPr>
        <w:pStyle w:val="TextBody"/>
        <w:bidi w:val="0"/>
        <w:jc w:val="left"/>
        <w:rPr>
          <w:rFonts w:ascii="Times New Roman" w:hAnsi="Times New Roman"/>
          <w:sz w:val="20"/>
        </w:rPr>
      </w:pPr>
      <w:r>
        <w:rPr>
          <w:rFonts w:ascii="Times New Roman" w:hAnsi="Times New Roman"/>
          <w:b/>
          <w:i/>
          <w:color w:val="000000"/>
          <w:sz w:val="16"/>
        </w:rPr>
        <w:t>Our ability to enter into transactions involving derivatives and financial commitment transactions may be limited.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Through comprehensive new global regulatory regimes impacting derivatives (e.g.,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August 2022, new Rule 18f-4 under the 1940 Act became effective. This rule relates to the ability of a BDC (or a registered investment company) to use derivatives and other transactions that create future payment or delivery obligations. Under the new rule, BDCs that make significant use of derivatives are required to operate subject to a value-at-risk leverage limit, adopt a derivatives risk management program and appoint a derivatives risk manager, and comply with various testing and board reporting requirements. These new requirements apply unless the BDC qualifies as a “limited derivatives user,” as defined in the rule. Under an exemption included in the rule, a BDC may enter into an unfunded commitment agreement, such as an agreement to provide financing to a portfolio company, without treating the transaction as an derivatives transaction, provided that the BDC has, among other things, a reasonable belief, at the time it enters into such an agreement, that it will have sufficient cash and cash equivalents to meet its obligations with respect to all of its unfunded commitment agreements, in each case as the obligation becomes due. We currently operate and intend to continue to operate as a “limited derivatives user,” which may limit our ability to use derivatives and/or enter into certain other financial contracts. As a “limited derivatives user”, the Company will be subject to substantially fewer substantive requirements under the rule. However, there is no guarantee that the Company will meet or continue to meet the requirements to be a limited derivatives user, and, as a result, there is a risk that the Company may become subject to more onerous requirements under Rule 18f-4 than currently intended.</w:t>
      </w:r>
    </w:p>
    <w:p>
      <w:pPr>
        <w:pStyle w:val="TextBody"/>
        <w:bidi w:val="0"/>
        <w:jc w:val="left"/>
        <w:rPr>
          <w:rFonts w:ascii="Times New Roman" w:hAnsi="Times New Roman"/>
          <w:sz w:val="20"/>
        </w:rPr>
      </w:pPr>
      <w:r>
        <w:rPr>
          <w:rFonts w:ascii="Times New Roman" w:hAnsi="Times New Roman"/>
          <w:b/>
          <w:i/>
          <w:color w:val="000000"/>
          <w:sz w:val="16"/>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Many of our loans are not fully amortizing and if a borrower cannot repay or refinance such loans at maturity, our results will suffer.</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Most of the loans in which we invest are not structured to fully amortize during their lifetime. Accordingly, a significant portion of the principal amount of such a loan may be due at maturity. As of December 31, 2023, generally all debt instruments in our portfolio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the Company from immediately obtaining full recovery on the loan and prevent or delay the reinvestment of the loan proceeds in other, more profitable investments.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A covenant breach or other defaults by our portfolio companies may adversely affect our operating results.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the portfolio company’s ability to meet its obligations under the debt securities that we hold. We may incur expenses to the extent necessary to seek recovery upon default or to negotiate new terms, which may include the waiver of certain financial covenants, with a defaulting portfolio company. See also “—We may choose to waive or defer enforcement of covenants in the debt securities held in our portfolio, which may cause us to lose all or part of our investment in these companies.”</w:t>
      </w:r>
    </w:p>
    <w:p>
      <w:pPr>
        <w:pStyle w:val="TextBody"/>
        <w:bidi w:val="0"/>
        <w:spacing w:before="160" w:after="160"/>
        <w:jc w:val="both"/>
        <w:rPr>
          <w:rFonts w:ascii="Times New Roman" w:hAnsi="Times New Roman"/>
          <w:sz w:val="20"/>
        </w:rPr>
      </w:pPr>
      <w:r>
        <w:rPr>
          <w:rFonts w:ascii="Times New Roman" w:hAnsi="Times New Roman"/>
          <w:color w:val="000000"/>
          <w:sz w:val="16"/>
        </w:rPr>
        <w:t>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We may choose to waive or defer enforcement of covenants in the debt securities held in our portfolio, which may cause us to lose all or part of our investment in these companies.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the Company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We may not realize gains from our equity investments.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Certain investments that we may make include warrants or other equity securities. In addition, we may from time to time make non-control, equity investments in portfolio companies.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intend to invest primarily in privately held companies. Investments in private companies pose significantly greater risks than investments in public companies. These companies often face intense competition from larger companies with greater financial, technical and marketing resources. Privately held companies also frequently have less diverse product lines and smaller market presence than larger competitors. Private companies have reduced access to the capital markets, resulting in diminished capital resources and the ability to withstand financial distress. The depth and breadth of experience of management in private companies tend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Also, the investments themselves tend to be less liquid. As such, we may have difficulty exiting an investment promptly or at a desired price prior to maturity or outside of a normal amortization schedule. As a result, the relative lack of liquidity and the potential diminished capital resources of our target portfolio companies may affect our investment returns.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 Additionally,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These companies and their financial information will generally not be subject to the Sarbanes-Oxley Act and other rules that govern public companies. If we are unable to uncover all material information about these companies, we may not make a fully informed investment decision, and we may lose money on our investments. These factors could adversely affect our investment returns as compared to companies investing primarily in the securities of public companies.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The lack of liquidity in our investments may adversely affect our business.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may not have the funds or ability to make additional investments in our portfolio companies or to fund our unfunded debt commitments which may impair the value of our portfolio.</w:t>
      </w:r>
    </w:p>
    <w:p>
      <w:pPr>
        <w:pStyle w:val="TextBody"/>
        <w:bidi w:val="0"/>
        <w:spacing w:before="160" w:after="283"/>
        <w:jc w:val="both"/>
        <w:rPr>
          <w:rFonts w:ascii="Times New Roman" w:hAnsi="Times New Roman"/>
          <w:sz w:val="20"/>
        </w:rPr>
      </w:pPr>
      <w:r>
        <w:rPr>
          <w:rFonts w:ascii="Times New Roman" w:hAnsi="Times New Roman"/>
          <w:color w:val="000000"/>
          <w:sz w:val="16"/>
        </w:rPr>
        <w:t>After our initial investment in a portfolio company, we may be called upon from time to time to provide additional funds to such company or have the opportunity to increase our investment through the exercise of a warrant to purchase common stock.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return on the investment.</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Adviser are also invested.</w:t>
      </w:r>
    </w:p>
    <w:p>
      <w:pPr>
        <w:pStyle w:val="TextBody"/>
        <w:bidi w:val="0"/>
        <w:jc w:val="left"/>
        <w:rPr>
          <w:rFonts w:ascii="Times New Roman" w:hAnsi="Times New Roman"/>
          <w:sz w:val="20"/>
        </w:rPr>
      </w:pPr>
      <w:r>
        <w:rPr>
          <w:rFonts w:ascii="Times New Roman" w:hAnsi="Times New Roman"/>
          <w:b/>
          <w:i/>
          <w:color w:val="000000"/>
          <w:sz w:val="16"/>
        </w:rPr>
        <w:t>Prepayments of our debt investments by our portfolio companies could adversely impact our results of operations and reduce our return on equity.</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The disposition of our investments may result in contingent liabilities.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Disruptions to the global supply chain may have adverse impact on our portfolio companies and, in turn, harm us.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Recent supply chain disruptions, including the global microchip shortage, may have an adverse impact on the business of our portfolio companies. Potential adverse impacts to certain of our portfolio companies may include, among others, increased costs, inventory shortages, shipping and project completion delays, and inability to meet customer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Risks Related to Debt Financing</w:t>
      </w:r>
    </w:p>
    <w:p>
      <w:pPr>
        <w:pStyle w:val="TextBody"/>
        <w:bidi w:val="0"/>
        <w:jc w:val="left"/>
        <w:rPr>
          <w:rFonts w:ascii="Times New Roman" w:hAnsi="Times New Roman"/>
          <w:b/>
          <w:i/>
          <w:color w:val="000000"/>
          <w:sz w:val="16"/>
        </w:rPr>
      </w:pPr>
      <w:r>
        <w:rPr>
          <w:rFonts w:ascii="Times New Roman" w:hAnsi="Times New Roman"/>
          <w:b/>
          <w:i/>
          <w:color w:val="000000"/>
          <w:sz w:val="16"/>
        </w:rPr>
        <w:t>We borrow money, which magnifies the potential for gain or loss on amounts invested and may increase the risk of investing in us. Borrowed money may also adversely affect the return on our assets, reduce cash available for distribution to our stockholders, and result in losses.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Leverage is generally considered a speculative investment technique. Our ability to service any debt that we incur will depend largely on our financial performance and will be subject to prevailing economic conditions and competitive pressures.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use of leverage magnifies the potential for gain or loss on amounts invested and, therefore, increases the risks associated with investing in our securities.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distributions to our stockholders. In addition, our stockholders will bear the burden of any increase in our expenses as a result of our use of leverage, including interest expenses and any increase in the management or incentive fees payable to the Investment Adviser. See also “—Our base management and incentive fees may induce the Investment Adviser to make speculative investments or to incur leverage.”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may use leverage to finance our investments. The amount of leverage that we employ will depend on the Investment Adviser’s and our Board’s assessment of market and other factors at the time of any proposed borrowing. There can be no assurance that leveraged financing will be available to us on favorable terms or at all. However, to the extent that we use leverage to finance our assets, our financing costs will reduce cash available for distributions to stockholders. Moreover, we may not be able to meet our financing obligations and, to the extent that we cannot, we risk the loss of some or all of our assets to liquidation or sale to satisfy the obligations. In such an event, we may be forced to sell assets at significantly depressed prices due to market conditions or otherwise, which may result in losses.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to the 2032 Convertible Notes, the 2026 Notes and the KeyBank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KeyBank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contractual leverage limitations under our existing KeyBank Credit Facility or future borrowings may limit our ability to incur additional indebtedness.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tbl>
      <w:tblPr>
        <w:tblW w:w="7651" w:type="dxa"/>
        <w:jc w:val="left"/>
        <w:tblInd w:w="0" w:type="dxa"/>
        <w:tblLayout w:type="fixed"/>
        <w:tblCellMar>
          <w:top w:w="28" w:type="dxa"/>
          <w:left w:w="28" w:type="dxa"/>
          <w:bottom w:w="28" w:type="dxa"/>
          <w:right w:w="28" w:type="dxa"/>
        </w:tblCellMar>
      </w:tblPr>
      <w:tblGrid>
        <w:gridCol w:w="3946"/>
        <w:gridCol w:w="146"/>
        <w:gridCol w:w="706"/>
        <w:gridCol w:w="146"/>
        <w:gridCol w:w="616"/>
        <w:gridCol w:w="146"/>
        <w:gridCol w:w="526"/>
        <w:gridCol w:w="146"/>
        <w:gridCol w:w="496"/>
        <w:gridCol w:w="146"/>
        <w:gridCol w:w="63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Assumed Return on Our Portfolio</w:t>
            </w:r>
            <w:r>
              <w:rPr>
                <w:rFonts w:ascii="Times New Roman" w:hAnsi="Times New Roman"/>
                <w:b/>
                <w:color w:val="000000"/>
                <w:sz w:val="11"/>
              </w:rPr>
              <w:t>(1)</w:t>
            </w:r>
            <w:r>
              <w:rPr>
                <w:rFonts w:ascii="Times New Roman" w:hAnsi="Times New Roman"/>
                <w:color w:val="000000"/>
                <w:sz w:val="16"/>
              </w:rPr>
              <w:t> </w:t>
            </w:r>
            <w:r>
              <w:rPr>
                <w:rFonts w:ascii="Times New Roman" w:hAnsi="Times New Roman"/>
                <w:b/>
                <w:color w:val="000000"/>
                <w:sz w:val="16"/>
              </w:rPr>
              <w:t>(net of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10.0%</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Corresponding net return to common stockholder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-29.6%</w:t>
            </w:r>
          </w:p>
        </w:tc>
        <w:tc>
          <w:tcPr>
            <w:tcW w:w="146" w:type="dxa"/>
            <w:tcBorders/>
            <w:shd w:fill="CFF0FC" w:val="clear"/>
            <w:vAlign w:val="center"/>
          </w:tcPr>
          <w:p>
            <w:pPr>
              <w:pStyle w:val="TableContents"/>
              <w:bidi w:val="0"/>
              <w:spacing w:before="0" w:after="283"/>
              <w:jc w:val="right"/>
              <w:rPr/>
            </w:pPr>
            <w:r>
              <w:rPr/>
              <w:t> </w:t>
            </w:r>
          </w:p>
        </w:tc>
        <w:tc>
          <w:tcPr>
            <w:tcW w:w="61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-18.5%</w:t>
            </w:r>
          </w:p>
        </w:tc>
        <w:tc>
          <w:tcPr>
            <w:tcW w:w="146" w:type="dxa"/>
            <w:tcBorders/>
            <w:shd w:fill="CFF0FC" w:val="clear"/>
            <w:vAlign w:val="center"/>
          </w:tcPr>
          <w:p>
            <w:pPr>
              <w:pStyle w:val="TableContents"/>
              <w:bidi w:val="0"/>
              <w:spacing w:before="0" w:after="283"/>
              <w:jc w:val="right"/>
              <w:rPr/>
            </w:pPr>
            <w:r>
              <w:rPr/>
              <w:t> </w:t>
            </w:r>
          </w:p>
        </w:tc>
        <w:tc>
          <w:tcPr>
            <w:tcW w:w="52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146" w:type="dxa"/>
            <w:tcBorders/>
            <w:shd w:fill="CFF0FC" w:val="clear"/>
            <w:vAlign w:val="center"/>
          </w:tcPr>
          <w:p>
            <w:pPr>
              <w:pStyle w:val="TableContents"/>
              <w:bidi w:val="0"/>
              <w:spacing w:before="0" w:after="283"/>
              <w:jc w:val="right"/>
              <w:rPr/>
            </w:pPr>
            <w:r>
              <w:rPr/>
              <w:t> </w:t>
            </w:r>
          </w:p>
        </w:tc>
        <w:tc>
          <w:tcPr>
            <w:tcW w:w="49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w:t>
            </w:r>
          </w:p>
        </w:tc>
        <w:tc>
          <w:tcPr>
            <w:tcW w:w="146" w:type="dxa"/>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14.6%</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jc w:val="both"/>
        <w:rPr>
          <w:rFonts w:ascii="Times New Roman" w:hAnsi="Times New Roman"/>
          <w:color w:val="000000"/>
          <w:sz w:val="13"/>
        </w:rPr>
      </w:pPr>
      <w:r>
        <w:rPr>
          <w:rFonts w:ascii="Times New Roman" w:hAnsi="Times New Roman"/>
          <w:color w:val="000000"/>
          <w:sz w:val="13"/>
        </w:rPr>
        <w:t xml:space="preserve">Assumes $197.1 million in total assets, $104.6 million in debt outstanding and $89.2 million in net assets as of December 31, 2023. Assumes an average cost of funds of 6.4% based on the stated interest rate as of December 31, 2023. Actual interest payments may be different. </w:t>
      </w:r>
    </w:p>
    <w:p>
      <w:pPr>
        <w:pStyle w:val="TextBody"/>
        <w:bidi w:val="0"/>
        <w:spacing w:before="160" w:after="283"/>
        <w:jc w:val="left"/>
        <w:rPr>
          <w:rFonts w:ascii="Times New Roman" w:hAnsi="Times New Roman"/>
          <w:b/>
          <w:i/>
          <w:color w:val="000000"/>
          <w:sz w:val="16"/>
        </w:rPr>
      </w:pPr>
      <w:r>
        <w:rPr>
          <w:rFonts w:ascii="Times New Roman" w:hAnsi="Times New Roman"/>
          <w:b/>
          <w:i/>
          <w:color w:val="000000"/>
          <w:sz w:val="16"/>
        </w:rPr>
        <w:t>We may default under our credit facilities.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the event we default under our credit facilities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pStyle w:val="TextBody"/>
        <w:bidi w:val="0"/>
        <w:spacing w:before="160" w:after="283"/>
        <w:jc w:val="left"/>
        <w:rPr>
          <w:rFonts w:ascii="Times New Roman" w:hAnsi="Times New Roman"/>
          <w:b/>
          <w:i/>
          <w:color w:val="000000"/>
          <w:sz w:val="16"/>
        </w:rPr>
      </w:pPr>
      <w:r>
        <w:rPr>
          <w:rFonts w:ascii="Times New Roman" w:hAnsi="Times New Roman"/>
          <w:b/>
          <w:i/>
          <w:color w:val="000000"/>
          <w:sz w:val="16"/>
        </w:rPr>
        <w:t>Provisions in a credit facility may limit our investment discretion.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 In connection with one or more credit facilities entered into by the Company, distributions to stockholders may be subordinated to payments required in connection with any indebtedness contemplated thereby.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pStyle w:val="TextBody"/>
        <w:bidi w:val="0"/>
        <w:jc w:val="left"/>
        <w:rPr>
          <w:rFonts w:ascii="Times New Roman" w:hAnsi="Times New Roman"/>
          <w:sz w:val="20"/>
        </w:rPr>
      </w:pPr>
      <w:r>
        <w:rPr>
          <w:rFonts w:ascii="Times New Roman" w:hAnsi="Times New Roman"/>
          <w:b/>
          <w:i/>
          <w:color w:val="000000"/>
          <w:sz w:val="16"/>
        </w:rPr>
        <w:t>To the extent we borrow money to finance our investments, changes in interest rates will affect our cost of capital and net investment income.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Adviser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A general increase in interest rates will likely have the effect of making it easier for our Investment Adviser to receive incentive fees, without necessarily resulting in an increase in our net earnings.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Under the structure of our Investment Advisory Agreement with our Investment Advisor, any general increase in interest rates will likely have the effect of making it easier for our Investment Adviser to meet the quarterly hurdle rate for payment of income incentive fees under the Investment Advisory Agreement without any additional increase in relative performance on the part of our Investment Adviser. In addition, in view of the catch-up provision applicable to income incentive fees under the Investment Advisory Agreement, our Investment Adviser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Adviser’s income incentive fee resulting from such a general increase in interest rates.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common stockholders will bear the expenses associated with our borrowings, and the holders of our debt securities will have certain rights senior to our common stockholders.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U.S. Federal Income Tax Risks</w:t>
      </w:r>
    </w:p>
    <w:p>
      <w:pPr>
        <w:pStyle w:val="TextBody"/>
        <w:bidi w:val="0"/>
        <w:jc w:val="left"/>
        <w:rPr>
          <w:rFonts w:ascii="Times New Roman" w:hAnsi="Times New Roman"/>
          <w:sz w:val="20"/>
        </w:rPr>
      </w:pPr>
      <w:r>
        <w:rPr>
          <w:rFonts w:ascii="Times New Roman" w:hAnsi="Times New Roman"/>
          <w:b/>
          <w:i/>
          <w:color w:val="000000"/>
          <w:sz w:val="16"/>
        </w:rPr>
        <w:t>We will be subject to corporate-level U.S. federal income tax if we are unable to qualify or maintain our RIC tax treatment under the Code.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Although we have elected to be treated as a RIC, and believe we qualified as a RIC for the fiscal year ended December 31, 2023, no assurance can be given that we will be able to continue to qualify for and maintain our RIC tax treatment under the Code. To continue to maintain our RIC tax treatment under the Code, we must meet the following source-of-income, asset diversification, and distribution requirements.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 We may have difficulty complying with those requirements. In particular, if we have equity investments in portfolio companies that are treated as partnerships or other pass-through entities for tax purposes, we may not have control over, or receive accurate information about, the underlying income and assets of those portfolio companies that are taken into account in determining our compliance with the income source and asset diversification requirements.</w:t>
      </w:r>
    </w:p>
    <w:p>
      <w:pPr>
        <w:pStyle w:val="TextBody"/>
        <w:bidi w:val="0"/>
        <w:spacing w:before="160" w:after="283"/>
        <w:jc w:val="both"/>
        <w:rPr>
          <w:rFonts w:ascii="Times New Roman" w:hAnsi="Times New Roman"/>
          <w:sz w:val="20"/>
        </w:rPr>
      </w:pPr>
      <w:r>
        <w:rPr>
          <w:rFonts w:ascii="Times New Roman" w:hAnsi="Times New Roman"/>
          <w:color w:val="000000"/>
          <w:sz w:val="16"/>
        </w:rPr>
        <w:t>The annual distribution requirement for a RIC will be satisfied if we distribute to our stockholders on an annual basis at least 90% of our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If we fail to satisfy the income source or asset diversification requirements for any taxable year, we may nevertheless continue to qualify as a RIC for such year if certain relief provisions are applicable (which may, among other things, require us to pay certain corporate-level U.S. federal income taxes or to dispose of certain assets).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pStyle w:val="TextBody"/>
        <w:bidi w:val="0"/>
        <w:spacing w:before="160" w:after="283"/>
        <w:jc w:val="both"/>
        <w:rPr>
          <w:rFonts w:ascii="Times New Roman" w:hAnsi="Times New Roman"/>
          <w:sz w:val="20"/>
        </w:rPr>
      </w:pPr>
      <w:r>
        <w:rPr>
          <w:rFonts w:ascii="Times New Roman" w:hAnsi="Times New Roman"/>
          <w:color w:val="000000"/>
          <w:sz w:val="16"/>
        </w:rPr>
        <w:t>We believe we qualified as a RIC under the Code for the fiscal year ended December 31, 2023, and we intend to comply with the requirements to continue to qualify annually as a RIC under the Code. The Company filed its tax returns as a RIC for the fiscal years ended December 31, 2022, 2021, and 2020. However, in March 2024, the Company determined that information received from a portfolio company held in prior fiscal years and sold in 2022 was inaccurate, and, as a result, the Company did not satisfy the income source requirement for the fiscal years ended December 31, 2022, 2021, and 2020. Accordingly, the Company did not qualify as a RIC under the Code for the fiscal years ended December 31, 2022, 2021 and 2020, and thus the Company would be subject to U.S. federal income tax on all of its taxable income at regular corporate rates for these periods. Based on the assessment that the Company did not qualify as a RIC for the fiscal years ended December 31, 2022, 2021 and 2020, the Company calculated its provision for income tax as a C-Corporation for such fiscal years. Given the operations of the Company for that period, the Company has determined no income tax or capital gains taxes would be due and payable for those periods, had the Company claimed status and filed returns as a C-Corporation. Thus,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The Company did not have a net unrealized gain on its portfolio as of the first day of the fiscal year the Company requalified as a RIC that would be subject to tax if recognized within the subsequent five years.</w:t>
      </w:r>
      <w:r>
        <w:rPr>
          <w:rFonts w:ascii="Times New Roman" w:hAnsi="Times New Roman"/>
          <w:color w:val="000000"/>
          <w:sz w:val="20"/>
        </w:rPr>
        <w:t xml:space="preserve"> </w:t>
      </w:r>
    </w:p>
    <w:p>
      <w:pPr>
        <w:pStyle w:val="TextBody"/>
        <w:bidi w:val="0"/>
        <w:spacing w:before="160" w:after="283"/>
        <w:jc w:val="both"/>
        <w:rPr/>
      </w:pPr>
      <w:r>
        <w:rPr/>
        <w:t> </w:t>
      </w:r>
    </w:p>
    <w:p>
      <w:pPr>
        <w:pStyle w:val="TextBody"/>
        <w:bidi w:val="0"/>
        <w:jc w:val="left"/>
        <w:rPr>
          <w:rFonts w:ascii="Times New Roman" w:hAnsi="Times New Roman"/>
          <w:sz w:val="20"/>
        </w:rPr>
      </w:pPr>
      <w:r>
        <w:rPr>
          <w:rFonts w:ascii="Times New Roman" w:hAnsi="Times New Roman"/>
          <w:b/>
          <w:i/>
          <w:color w:val="000000"/>
          <w:sz w:val="16"/>
        </w:rPr>
        <w:t>Due to potential disruptions in the economy, we may not be able to increase our dividends and may reduce or defer our dividends and choose to incur U.S. federal excise tax in order to preserve cash and maintain flexibility.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90.0% of our investment company taxable income (i.e.,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in excess of realized net short-term capital losses) that we timely distribute to shareholders. We will be subject to a non-deductible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capital gain net income that we recognized for preceding years, but were not distributed during such years, and on which we paid no U.S. federal income tax.</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in such a month,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2023 until as late as December 31, 2024. If we choose to pay a spillover dividend, we will incur the 4.0% U.S. federal excise tax on some or all of the distribution.</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Due to disruptions in the economy, we may take certain actions with respect to the timing and amounts of our distributions in order to preserve cash and maintain flexibility. For example, the COVID-19 pandemic had an impact on our ability to declare distributions.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t>
      </w:r>
      <w:r>
        <w:rPr>
          <w:rFonts w:ascii="Times New Roman" w:hAnsi="Times New Roman"/>
          <w:i/>
          <w:color w:val="000000"/>
          <w:sz w:val="16"/>
        </w:rPr>
        <w:t>We may in the future choose to pay dividends in our own common stock, in which case you may be required to pay tax in excess of the cash you receive.</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We may have difficulty paying our required distributions if we recognize income before or without receiving cash representing such income.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In addition, we have elected to accrue market discount with respect to debt instruments acquired in the secondary market and include such amounts in our taxable income in the current year, instead of upon disposition of the debt instruments. We may also have to include in income other amounts that we have not yet received in cash, such as deferred loan origination fees that are paid after origination of the loan or are paid in non-cash compensation such as warrants or stock. Furthermore, we may invest in non-U.S. corporations (or other non-U.S. entities treated as corporations for U.S. federal income tax purposes) that could be treated under the Code and U.S. Treasury regulations as “passive foreign investment companies” and/or “controlled foreign corporations.” The rules relating to investment in these types of non-U.S. entities are designed to ensure that U.S. taxpayers are either, in effect, taxed currently (or on an accelerated basis with respect to corporate-level events) or taxed at increased tax rates at distribution or disposition. In certain circumstances this could require us to recognize income where we do not receive a corresponding payment in cash.</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Unrealized appreciation on derivatives, such as foreign currency forward contracts, may be included in taxable income while the receipt of cash may occur in a subsequent period when the related contract expires. Any unrealized depreciation on investments that the foreign currency forward contracts are designed to hedge are not currently deductible for tax purposes. This can result in increased taxable income whereby we may not have sufficient cash to pay distributions or we may opt to retain such taxable income and pay a 4% excise tax. In such cases we could still rely upon the “spillback provisions” to maintain RIC tax treatment.</w:t>
        <w:br/>
        <w:t>We anticipate that a portion of our income may constitute original issue discount, market discount or other income required to be included in taxable income prior to receipt of cash.</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Because any original issue discount, market discount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qualify for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or maintain RIC tax treatment and thus become subject to corporate-level income tax.</w:t>
      </w:r>
    </w:p>
    <w:p>
      <w:pPr>
        <w:pStyle w:val="TextBody"/>
        <w:bidi w:val="0"/>
        <w:jc w:val="left"/>
        <w:rPr>
          <w:rFonts w:ascii="Times New Roman" w:hAnsi="Times New Roman"/>
          <w:sz w:val="20"/>
        </w:rPr>
      </w:pPr>
      <w:r>
        <w:rPr>
          <w:rFonts w:ascii="Times New Roman" w:hAnsi="Times New Roman"/>
          <w:b/>
          <w:i/>
          <w:color w:val="000000"/>
          <w:sz w:val="16"/>
        </w:rPr>
        <w:t>We may in the future choose to pay dividends in our own common stock, in which case you may be required to pay tax in excess of the cash you receive.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may distribute taxable dividends that are payable in part in our common stock. In accordance with certain applicable U.S. Treasury regulations and published guidance issued by the IRS, a publicly offered RIC may treat a distribution of its own stock as fulfilling the RIC distribution requirements if each shareholder may elect to receive his or her entire distribution in either cash or stock of the RIC, subject to a limitation that the aggregate amount of cash available to be distributed to all shareholders must be at least 20.0%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or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Non-U.S. stockholders may be subject to withholding of U.S. federal income tax on distributions we pay.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Distributions of our “investment company taxable income” to a non-U.S. stockholder that are not effectively connected with the non-U.S. stockholder’s conduct of a trade or business within the United States will generally be subject to withholding of U.S. federal income tax at a 30% rate (or lower rate provided by an applicable income tax treaty) to the extent of our current or accumulated earnings and profits.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Certain properly reported distributions are generally exempt from withholding of U.S. federal income tax where they are paid in respect of our (i) “qualified net interest income” (generally, our U.S.-source interest income, other than certain contingent interest and interest from obligations of a corporation or partnership in which we are at least a 10% stockholder, reduced by expenses that are allocable to such income) or (ii) “qualified short-term gains” (generally, the excess of our net short-term capital gain over our net long-term capital loss for such taxable year), and certain other requirements are satisfied.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NO ASSURANCE CAN BE GIVEN AS TO WHETHER ANY OF OUR DISTRIBUTIONS WILL BE ELIGIBLE FOR THIS EXEMPTION FROM WITHHOLDING OF U.S. FEDERAL INCOME TAX OR, IF ELIGIBLE, WILL BE REPORTED AS SUCH BY US. IN PARTICULAR, THIS EXEMPTION WILL NOT APPLY TO OUR DISTRIBUTIONS PAID IN RESPECT OF OUR NON-U.S. SOURCE INTEREST INCOME OR OUR DIVIDEND INCOME (OR ANY OTHER TYPE OF INCOME OTHER THAN GENERALLY OUR NON-CONTINGENT U.S. SOURCE INTEREST INCOME RECEIVED FROM UNRELATED OBLIGORS AND OUR QUALIFIED SHORT-TERM GAINS). IN THE CASE OF OUR COMMON STOCK HELD THROUGH AN INTERMEDIARY, THE INTERMEDIARY MAY WITHHOLD U.S. FEDERAL INCOME TAX EVEN IF WE REPORT THE PAYMENT AS ATTRIBUTABLE TO QUALIFIED NET INTEREST INCOME OR QUALIFIED SHORT-TERM GAIN.</w:t>
      </w:r>
    </w:p>
    <w:p>
      <w:pPr>
        <w:pStyle w:val="TextBody"/>
        <w:bidi w:val="0"/>
        <w:jc w:val="left"/>
        <w:rPr>
          <w:rFonts w:ascii="Times New Roman" w:hAnsi="Times New Roman"/>
          <w:sz w:val="20"/>
        </w:rPr>
      </w:pPr>
      <w:r>
        <w:rPr>
          <w:rFonts w:ascii="Times New Roman" w:hAnsi="Times New Roman"/>
          <w:b/>
          <w:i/>
          <w:color w:val="000000"/>
          <w:sz w:val="16"/>
        </w:rPr>
        <w:t>Legislative or other actions relating to taxes could have a negative effect on us.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rules dealing with U.S. federal income taxation are constantly under review by persons involved in the legislative process and by the IRS and the U.S. Treasury Department.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securities.</w:t>
      </w:r>
      <w:r>
        <w:rPr>
          <w:rFonts w:ascii="Times New Roman" w:hAnsi="Times New Roman"/>
          <w:color w:val="000000"/>
          <w:sz w:val="20"/>
        </w:rPr>
        <w:t xml:space="preserve"> </w:t>
      </w:r>
    </w:p>
    <w:p>
      <w:pPr>
        <w:pStyle w:val="TextBody"/>
        <w:bidi w:val="0"/>
        <w:spacing w:before="0" w:after="160"/>
        <w:jc w:val="left"/>
        <w:rPr>
          <w:rFonts w:ascii="Times New Roman" w:hAnsi="Times New Roman"/>
          <w:b/>
          <w:color w:val="000000"/>
          <w:sz w:val="16"/>
        </w:rPr>
      </w:pPr>
      <w:r>
        <w:rPr>
          <w:rFonts w:ascii="Times New Roman" w:hAnsi="Times New Roman"/>
          <w:b/>
          <w:color w:val="000000"/>
          <w:sz w:val="16"/>
        </w:rPr>
        <w:t>Risks Relating to an Investment in Our Common Stock</w:t>
      </w:r>
    </w:p>
    <w:p>
      <w:pPr>
        <w:pStyle w:val="TextBody"/>
        <w:bidi w:val="0"/>
        <w:jc w:val="left"/>
        <w:rPr>
          <w:rFonts w:ascii="Times New Roman" w:hAnsi="Times New Roman"/>
          <w:sz w:val="20"/>
        </w:rPr>
      </w:pPr>
      <w:r>
        <w:rPr>
          <w:rFonts w:ascii="Times New Roman" w:hAnsi="Times New Roman"/>
          <w:b/>
          <w:i/>
          <w:color w:val="000000"/>
          <w:sz w:val="16"/>
        </w:rPr>
        <w:t>We will have broad discretion over the use of proceeds of any successful offering of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we can provide you no assurance that any offering will be successful, or that by increasing the size of our available equity capital, our aggregate expenses, and correspondingly, our expense ratio, will be lowered. Delays in investing the net proceeds raised in an offering of our securities may impair our performance. We cannot assure you that we will be able to identify any investments that meet our investment objective or that any investment that we make will produce a positive return. We may be unable to invest the net proceeds of any offering on acceptable terms within the time period that we anticipate or at all, which could adversely affect our financial condition and operating results.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Even if we are able to raise significant proceeds, we will not be permitted to use such proceeds to co-invest with certain entities affiliated with the Investment Adviser in transactions originated by the Investment Adviser or their respective affiliates except pursuant to the exemptive order granted by the SEC or co-invest alongside the Investment Adviser or its respective affiliates in accordance with existing regulatory guidance. However, we will be permitted to and may co-invest in syndicated deals and secondary loan market transactions where price is the only negotiated point. Before making investments, we will invest the net proceeds of this offering primarily in cash, cash equivalents, U.S. government securities, repurchase agreements and high-quality debt instruments maturing in one year or less from the time of investment, which may produce returns that are significantly lower than the returns that we expect to achieve when our portfolio is fully invested in securities meeting our investment objective. As a result, any distributions that we pay while our portfolio is not fully invested in securities meeting our investment objective may be lower than the distributions that we may be able to pay when our portfolio is fully invested in securities meeting our investment objective.</w:t>
      </w:r>
    </w:p>
    <w:p>
      <w:pPr>
        <w:pStyle w:val="TextBody"/>
        <w:bidi w:val="0"/>
        <w:jc w:val="left"/>
        <w:rPr>
          <w:rFonts w:ascii="Times New Roman" w:hAnsi="Times New Roman"/>
          <w:b/>
          <w:i/>
          <w:color w:val="000000"/>
          <w:sz w:val="16"/>
        </w:rPr>
      </w:pPr>
      <w:r>
        <w:rPr>
          <w:rFonts w:ascii="Times New Roman" w:hAnsi="Times New Roman"/>
          <w:b/>
          <w:i/>
          <w:color w:val="000000"/>
          <w:sz w:val="16"/>
        </w:rPr>
        <w:t>A stockholder’s interest in us will be diluted if we issue additional shares of common stock, which could reduce the overall value of an investment in us.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Potential investors will not have preemptive rights to purchase any common stock we issue in the future. Our charter authorizes us to issue 100,000,000 shares of common stock. Pursuant to our charter, a majority of our entire Board may amend our charter to increase or decrease the number of authorized shares of common stock without stockholder approval. We intend to sell additional shares of common stock from time to time. To the extent that we issue additional shares of common stock at or below net asset value after an investor purchases shares of our common stock, an investor’s percentage ownership interest in us will be diluted. In addition, depending upon the terms and pricing of any additional offerings and the value of our investments, an investor may also experience dilution in the book value and fair value of his or her shares of common stock.</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We have adopted a dividend reinvestment plan pursuant to which we reinvest all cash distributions declared by the Board on behalf of investors who do not elect to receive their distributions in cash. As a result, if the Board declares a cash distribution, then our stockholders who have not opted out of our dividend reinvestment plan will have their cash distributions automatically reinvested in additional shares of our common stock, rather than receiving the cash distribution. As a result, our stockholders that do not participate in our dividend reinvestment plan will experience dilution in their ownership percentage of our common stock over time.</w:t>
      </w:r>
    </w:p>
    <w:p>
      <w:pPr>
        <w:pStyle w:val="TextBody"/>
        <w:bidi w:val="0"/>
        <w:jc w:val="left"/>
        <w:rPr>
          <w:rFonts w:ascii="Times New Roman" w:hAnsi="Times New Roman"/>
          <w:sz w:val="20"/>
        </w:rPr>
      </w:pPr>
      <w:r>
        <w:rPr>
          <w:rFonts w:ascii="Times New Roman" w:hAnsi="Times New Roman"/>
          <w:b/>
          <w:i/>
          <w:color w:val="000000"/>
          <w:sz w:val="16"/>
        </w:rPr>
        <w:t>Your interest in the Company may be diluted if you do not fully exercise your subscription rights in any rights offering.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event we issue subscription rights to purchase shares of our common stock, stockholders who do not fully exercise their rights should expect that they will, at the completion of the offer, own a smaller proportional interest in the Company than would otherwise be the case if they fully exercised their rights.</w:t>
        <w:br/>
        <w:t>We cannot state precisely the amount of any such dilution in share ownership because we do not know at this time what proportion of the shares would be purchased as a result of a rights offering.</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Board is authorized to reclassify any unissued shares of common stock into one or more classes of preferred stock, which could convey special rights and privileges to its owners.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Under Maryland General Corporation Law (the “MGCL”)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If we issue preferred stock, the net asset value and market value of our common stock will likely become more volatile.</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pStyle w:val="TextBody"/>
        <w:bidi w:val="0"/>
        <w:jc w:val="left"/>
        <w:rPr>
          <w:rFonts w:ascii="Times New Roman" w:hAnsi="Times New Roman"/>
          <w:sz w:val="20"/>
        </w:rPr>
      </w:pPr>
      <w:r>
        <w:rPr>
          <w:rFonts w:ascii="Times New Roman" w:hAnsi="Times New Roman"/>
          <w:b/>
          <w:i/>
          <w:color w:val="000000"/>
          <w:sz w:val="16"/>
        </w:rPr>
        <w:t>Holders of any preferred stock we might issue would have the right to elect members of our Board and class voting rights on certain matters.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Provisions of the Maryland General Corporation Law and of our charter and bylaws could deter takeover attempts and have an adverse impact on the price of our 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Maryland General Corporation Law and our charter and bylaws contain provisions that may discourage, delay or make more difficult a change in control of the Company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Maryland Control Share Acquisition Act also may make it more difficult for a third-party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determines that it would be in our best interests.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r>
        <w:rPr>
          <w:rFonts w:ascii="Times New Roman" w:hAnsi="Times New Roman"/>
          <w:color w:val="000000"/>
          <w:sz w:val="20"/>
        </w:rPr>
        <w:t xml:space="preserve"> </w:t>
      </w:r>
    </w:p>
    <w:p>
      <w:pPr>
        <w:pStyle w:val="TextBody"/>
        <w:bidi w:val="0"/>
        <w:jc w:val="left"/>
        <w:rPr>
          <w:rFonts w:ascii="Times New Roman" w:hAnsi="Times New Roman"/>
          <w:b/>
          <w:i/>
          <w:color w:val="000000"/>
          <w:sz w:val="16"/>
        </w:rPr>
      </w:pPr>
      <w:r>
        <w:rPr>
          <w:rFonts w:ascii="Times New Roman" w:hAnsi="Times New Roman"/>
          <w:b/>
          <w:i/>
          <w:color w:val="000000"/>
          <w:sz w:val="16"/>
        </w:rPr>
        <w:t>Investing in our common stock involves a high degree of risk.</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investors with lower risk tolerance.</w:t>
      </w:r>
    </w:p>
    <w:p>
      <w:pPr>
        <w:pStyle w:val="TextBody"/>
        <w:bidi w:val="0"/>
        <w:jc w:val="left"/>
        <w:rPr>
          <w:rFonts w:ascii="Times New Roman" w:hAnsi="Times New Roman"/>
          <w:sz w:val="20"/>
        </w:rPr>
      </w:pPr>
      <w:r>
        <w:rPr>
          <w:rFonts w:ascii="Times New Roman" w:hAnsi="Times New Roman"/>
          <w:b/>
          <w:i/>
          <w:color w:val="000000"/>
          <w:sz w:val="16"/>
        </w:rPr>
        <w:t>The market price of our common stock may fluctuate significantly.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market price and liquidity of the expected market for shares of our common stock may be significantly affected by numerous factors, some of which are beyond our control and may not be directly related to our operating performance. These factors include:</w:t>
      </w:r>
      <w:r>
        <w:rPr>
          <w:rFonts w:ascii="Times New Roman" w:hAnsi="Times New Roman"/>
          <w:color w:val="000000"/>
          <w:sz w:val="20"/>
        </w:rPr>
        <w:t xml:space="preserv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price and volume fluctuations in the overall stock market from time to time;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investor demand for our shares;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significant volatility in the market price and trading volume of securities of BDCs or other companies in our sector, which are not necessarily related to the operating performance of these companies;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changes in regulatory policies or tax guidelines with respect to RICs, BDCs or SBICs;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failure to qualify as a RIC, or the loss of RIC tax treatment;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any shortfall in revenue or net income or any increase in losses from levels expected by investors or securities analysts;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changes in earnings or variations in operating results;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changes in accounting guidelines governing valuation of our investments;</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changes, or perceived changes, in the value of our portfolio investments;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departure of either of our adviser or certain of its respective key personnel;</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operating performance of companies comparable to us; and </w:t>
      </w:r>
    </w:p>
    <w:p>
      <w:pPr>
        <w:pStyle w:val="TextBody"/>
        <w:bidi w:val="0"/>
        <w:spacing w:before="80" w:after="160"/>
        <w:jc w:val="left"/>
        <w:rPr>
          <w:color w:val="000000"/>
        </w:rPr>
      </w:pPr>
      <w:r>
        <w:rPr>
          <w:color w:val="000000"/>
        </w:rPr>
        <w:t>•</w:t>
      </w:r>
    </w:p>
    <w:p>
      <w:pPr>
        <w:pStyle w:val="TextBody"/>
        <w:bidi w:val="0"/>
        <w:spacing w:before="80" w:after="160"/>
        <w:jc w:val="left"/>
        <w:rPr>
          <w:rFonts w:ascii="Times New Roman" w:hAnsi="Times New Roman"/>
          <w:color w:val="000000"/>
          <w:sz w:val="16"/>
        </w:rPr>
      </w:pPr>
      <w:r>
        <w:rPr>
          <w:rFonts w:ascii="Times New Roman" w:hAnsi="Times New Roman"/>
          <w:color w:val="000000"/>
          <w:sz w:val="16"/>
        </w:rPr>
        <w:t>general economic conditions and trends and other external factors.</w:t>
      </w:r>
    </w:p>
    <w:p>
      <w:pPr>
        <w:pStyle w:val="TextBody"/>
        <w:bidi w:val="0"/>
        <w:jc w:val="left"/>
        <w:rPr>
          <w:rFonts w:ascii="Times New Roman" w:hAnsi="Times New Roman"/>
          <w:sz w:val="20"/>
        </w:rPr>
      </w:pPr>
      <w:r>
        <w:rPr>
          <w:rFonts w:ascii="Times New Roman" w:hAnsi="Times New Roman"/>
          <w:b/>
          <w:i/>
          <w:color w:val="000000"/>
          <w:sz w:val="16"/>
        </w:rPr>
        <w:t>We cannot assure you that the market price of shares of our common stock will not decline.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Sales of substantial amounts of our common stock in the public market may have an adverse effect on the market price of our common stock.</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Shares of our common stock have traded at a discount from net asset value and may do so in the future.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Shares of BDC’s have frequently traded at a market price that is less than the net asset value that is attributable to those shares. For example, as a result of the COVID-19 pandemic, the stocks of BDCs as an industry, including shares of our common stock, traded below their NAV, at or near historic lows as a result of concerns over liquidity, leverage restrictions and distribution requirements.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16"/>
        </w:rPr>
        <w:t>Our business and operation could be negatively affected if we become subject to any securities litigation or stockholder activism, which could cause us to incur significant expense, hinder execution of investment strategy and impact our stock price.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 w:name="item_1b_unresolved_staff_comments"/>
      <w:bookmarkEnd w:id="5"/>
      <w:r>
        <w:rPr>
          <w:rFonts w:ascii="Times New Roman" w:hAnsi="Times New Roman"/>
          <w:b/>
          <w:color w:val="000000"/>
          <w:sz w:val="16"/>
        </w:rPr>
        <w:t>ITEM 1B. UNRESOLVED STAFF COMMENTS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 w:name="item_1c_cybersecurity"/>
      <w:bookmarkEnd w:id="6"/>
      <w:r>
        <w:rPr>
          <w:rFonts w:ascii="Times New Roman" w:hAnsi="Times New Roman"/>
          <w:b/>
          <w:color w:val="000000"/>
          <w:sz w:val="16"/>
        </w:rPr>
        <w:t>ITEM 1C. CYBERSECURITY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processes in place to assess, identify, and manage material risks from cybersecurity threats. The Company’s business is dependent on the communications and information systems of the Adviser and other third-party service providers. The Adviser manages the Company’s day-to-day operations and has implemented a cybersecurity program that applies to the Company and its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Cybersecurity Program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6"/>
        </w:rPr>
        <w:t>The Adviser has instituted a cybersecurity program, overseen by the Adviser’s Global Head of Infrastructure &amp; Cybersecurity (“GHIC”), which is designed to assess, identify, and manage material cyber risks applicable to the Company. The cyber risk management program involves risk assessments, implementation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6"/>
        </w:rPr>
        <w:t>security measures, and ongoing monitoring of systems and networks, including networks on which the Company relies. The Adviser actively monitors the current threat landscape in an effort to identify material risks arising from new and evolving cybersecurity threats, including material risks faced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6"/>
        </w:rPr>
        <w:t>The Company relies on the Adviser to engage external experts, including cybersecurity assessors, consultants, and other specialists as appropriate to evaluate cybersecurity measures and risk management processes, including those applicable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The Company relies on the Adviser’s risk management program and processes, which include cyber risk assessments. The Company depends on and engages various third parties, including suppliers, vendors, and service providers, to operate its business. The Company takes steps to identify and oversee risks from cybersecurity threats associated with our use of such entities and the Chief Compliance Officer (“CCO”) of the Company reviews cybersecurity-related reports provided by key service providers.</w:t>
      </w:r>
    </w:p>
    <w:p>
      <w:pPr>
        <w:pStyle w:val="TextBody"/>
        <w:bidi w:val="0"/>
        <w:spacing w:before="240" w:after="283"/>
        <w:jc w:val="left"/>
        <w:rPr>
          <w:rFonts w:ascii="Times New Roman" w:hAnsi="Times New Roman"/>
          <w:sz w:val="20"/>
        </w:rPr>
      </w:pPr>
      <w:r>
        <w:rPr>
          <w:rFonts w:ascii="Times New Roman" w:hAnsi="Times New Roman"/>
          <w:b/>
          <w:color w:val="000000"/>
          <w:sz w:val="16"/>
        </w:rPr>
        <w:t>Board Oversight of Cybersecurity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6"/>
        </w:rPr>
        <w:t>The Board would be made aware of any material risks associated with cybersecurity threats. The Board currently receives periodic updates from the Company’s CCO regarding the overall state of the Adviser’s cybersecurity program, information on the current threat landscape, and risks from cybersecurity threats and cybersecurity incidents impacting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Management’s Role in Cybersecurity Risk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6"/>
        </w:rPr>
        <w:t>The Company’s management, including the Company’s CCO, is responsible for assessing and managing material risks from cybersecurity threats. The CCO, in managing such risks relating to cybersecurity threats, relies on the assistance provided by the Adviser’s GHIC. The Adviser’s GHIC has extensive experience in managing cybersecurity and information security programs for financial services companies with complex information systems. The CCO has been responsible for this oversight function as CCO to the Company since 2021 and has worked in the financial services industry for more than 15 years, during which the CCO has gained expertise in assessing and managing such risks applicable to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6"/>
        </w:rPr>
        <w:t>Management of the Company is informed about and monitors the prevention, detection, mitigation, and remediation of material cybersecurity incidents impacting the Company, including through the receipt of notifications from service providers and reliance on communications with legal, information technology, and/or compliance personnel of the Adviser.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Assessment of Cybersecurity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The potential impact of risks from cybersecurity threats on the Company are assessed on an ongoing basis, and how such risks could materially affect the Company’s business strategy, results of operation, and financial condition are regularly evaluated. During the reporting period, the Company has not identified any material risks from cybersecurity threats, including as a result of previous cybersecurity incidents, that the Company believes have materially affected, or are reasonably likely to materially affect, the Company, including its business strategy, results of operation, and financial condition.</w:t>
      </w:r>
    </w:p>
    <w:p>
      <w:pPr>
        <w:pStyle w:val="TextBody"/>
        <w:bidi w:val="0"/>
        <w:spacing w:before="240" w:after="283"/>
        <w:jc w:val="left"/>
        <w:rPr>
          <w:rFonts w:ascii="Times New Roman" w:hAnsi="Times New Roman"/>
          <w:sz w:val="20"/>
        </w:rPr>
      </w:pPr>
      <w:bookmarkStart w:id="7" w:name="item_2_properties"/>
      <w:bookmarkEnd w:id="7"/>
      <w:r>
        <w:rPr>
          <w:rFonts w:ascii="Times New Roman" w:hAnsi="Times New Roman"/>
          <w:b/>
          <w:color w:val="000000"/>
          <w:sz w:val="16"/>
        </w:rPr>
        <w:t>ITEM 2. PROPERTIES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Our corporate headquarters are located at 650 </w:t>
      </w:r>
      <w:r>
        <w:rPr>
          <w:rFonts w:ascii="Times New Roman" w:hAnsi="Times New Roman"/>
          <w:color w:val="231F20"/>
          <w:sz w:val="16"/>
        </w:rPr>
        <w:t>Madison Avenue</w:t>
      </w:r>
      <w:r>
        <w:rPr>
          <w:rFonts w:ascii="Times New Roman" w:hAnsi="Times New Roman"/>
          <w:color w:val="000000"/>
          <w:sz w:val="16"/>
        </w:rPr>
        <w:t xml:space="preserve">, </w:t>
      </w:r>
      <w:r>
        <w:rPr>
          <w:rFonts w:ascii="Times New Roman" w:hAnsi="Times New Roman"/>
          <w:color w:val="231F20"/>
          <w:sz w:val="16"/>
        </w:rPr>
        <w:t>23</w:t>
      </w:r>
      <w:r>
        <w:rPr>
          <w:rFonts w:ascii="Times New Roman" w:hAnsi="Times New Roman"/>
          <w:color w:val="231F20"/>
          <w:sz w:val="11"/>
        </w:rPr>
        <w:t>rd</w:t>
      </w:r>
      <w:r>
        <w:rPr>
          <w:rFonts w:ascii="Times New Roman" w:hAnsi="Times New Roman"/>
          <w:color w:val="231F20"/>
          <w:sz w:val="20"/>
        </w:rPr>
        <w:t xml:space="preserve"> </w:t>
      </w:r>
      <w:r>
        <w:rPr>
          <w:rFonts w:ascii="Times New Roman" w:hAnsi="Times New Roman"/>
          <w:color w:val="231F20"/>
          <w:sz w:val="16"/>
        </w:rPr>
        <w:t>Floor</w:t>
      </w:r>
      <w:r>
        <w:rPr>
          <w:rFonts w:ascii="Times New Roman" w:hAnsi="Times New Roman"/>
          <w:color w:val="000000"/>
          <w:sz w:val="16"/>
        </w:rPr>
        <w:t xml:space="preserve">, </w:t>
      </w:r>
      <w:r>
        <w:rPr>
          <w:rFonts w:ascii="Times New Roman" w:hAnsi="Times New Roman"/>
          <w:color w:val="231F20"/>
          <w:sz w:val="16"/>
        </w:rPr>
        <w:t>New York</w:t>
      </w:r>
      <w:r>
        <w:rPr>
          <w:rFonts w:ascii="Times New Roman" w:hAnsi="Times New Roman"/>
          <w:color w:val="000000"/>
          <w:sz w:val="16"/>
        </w:rPr>
        <w:t xml:space="preserve">, </w:t>
      </w:r>
      <w:r>
        <w:rPr>
          <w:rFonts w:ascii="Times New Roman" w:hAnsi="Times New Roman"/>
          <w:color w:val="231F20"/>
          <w:sz w:val="16"/>
        </w:rPr>
        <w:t>New York</w:t>
      </w:r>
      <w:r>
        <w:rPr>
          <w:rFonts w:ascii="Times New Roman" w:hAnsi="Times New Roman"/>
          <w:color w:val="000000"/>
          <w:sz w:val="20"/>
        </w:rPr>
        <w:t xml:space="preserve"> </w:t>
      </w:r>
      <w:r>
        <w:rPr>
          <w:rFonts w:ascii="Times New Roman" w:hAnsi="Times New Roman"/>
          <w:color w:val="000000"/>
          <w:sz w:val="16"/>
        </w:rPr>
        <w:t>10022, and are provided by our Administrator in accordance with the terms of the Administration Agreement. We believe that our office facilities are suitable and adequate for our business as it is contemplated to be conducted.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8" w:name="item_3_legal_proceedings"/>
      <w:bookmarkEnd w:id="8"/>
      <w:r>
        <w:rPr>
          <w:rFonts w:ascii="Times New Roman" w:hAnsi="Times New Roman"/>
          <w:b/>
          <w:color w:val="000000"/>
          <w:sz w:val="16"/>
        </w:rPr>
        <w:t>ITEM 3. LEGAL PROCEEDINGS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if any, cannot be predicted with certainty, we do not expect that these proceedings will have a material effect upon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bookmarkStart w:id="9" w:name="item4_mine_safety_disclosures"/>
      <w:bookmarkEnd w:id="9"/>
      <w:r>
        <w:rPr>
          <w:rFonts w:ascii="Times New Roman" w:hAnsi="Times New Roman"/>
          <w:b/>
          <w:color w:val="000000"/>
          <w:sz w:val="16"/>
        </w:rPr>
        <w:t>ITEM 4. MINE SAFETY DISCLOSURES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16"/>
        </w:rPr>
      </w:pPr>
      <w:bookmarkStart w:id="10" w:name="tpaii"/>
      <w:bookmarkStart w:id="11" w:name="parii"/>
      <w:bookmarkEnd w:id="10"/>
      <w:bookmarkEnd w:id="11"/>
      <w:r>
        <w:rPr>
          <w:rFonts w:ascii="Times New Roman" w:hAnsi="Times New Roman"/>
          <w:b/>
          <w:color w:val="000000"/>
          <w:sz w:val="16"/>
        </w:rPr>
        <w:t>PART II</w:t>
      </w:r>
    </w:p>
    <w:p>
      <w:pPr>
        <w:pStyle w:val="TextBody"/>
        <w:bidi w:val="0"/>
        <w:spacing w:before="160" w:after="283"/>
        <w:jc w:val="left"/>
        <w:rPr>
          <w:rFonts w:ascii="Times New Roman" w:hAnsi="Times New Roman"/>
          <w:sz w:val="20"/>
        </w:rPr>
      </w:pPr>
      <w:bookmarkStart w:id="12" w:name="item5_market_for_registrant_common"/>
      <w:bookmarkEnd w:id="12"/>
      <w:r>
        <w:rPr>
          <w:rFonts w:ascii="Times New Roman" w:hAnsi="Times New Roman"/>
          <w:b/>
          <w:color w:val="000000"/>
          <w:sz w:val="16"/>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COMMON STOCK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Shares of our common stock are traded on the NASDAQ Global Select Market under the symbol “</w:t>
      </w:r>
      <w:r>
        <w:rPr>
          <w:rFonts w:ascii="Times New Roman" w:hAnsi="Times New Roman"/>
          <w:color w:val="231F20"/>
          <w:sz w:val="16"/>
        </w:rPr>
        <w:t>LRFC</w:t>
      </w:r>
      <w:r>
        <w:rPr>
          <w:rFonts w:ascii="Times New Roman" w:hAnsi="Times New Roman"/>
          <w:color w:val="000000"/>
          <w:sz w:val="16"/>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HOLDERS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last reported price for shares of our common stock on March 19, 2024 was $22.35 per share. As of March 19, 2024, there were 20 holders of record of shares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PRICE RANGE OF COMMON STOCK AND DISTRIBUTIONS</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following table sets forth, for each fiscal quarter within the two most recent fiscal years, and the current fiscal quarter, the range of high and low intraday sales prices of our common stock as reported on the Nasdaq Global Select Market, the premium (discount) of sales price to our net asset value and the distributions declared by us for each fiscal quarter.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359"/>
        <w:gridCol w:w="241"/>
        <w:gridCol w:w="629"/>
        <w:gridCol w:w="146"/>
        <w:gridCol w:w="146"/>
        <w:gridCol w:w="196"/>
        <w:gridCol w:w="511"/>
        <w:gridCol w:w="146"/>
        <w:gridCol w:w="146"/>
        <w:gridCol w:w="196"/>
        <w:gridCol w:w="511"/>
        <w:gridCol w:w="146"/>
        <w:gridCol w:w="146"/>
        <w:gridCol w:w="379"/>
        <w:gridCol w:w="1253"/>
        <w:gridCol w:w="256"/>
        <w:gridCol w:w="146"/>
        <w:gridCol w:w="376"/>
        <w:gridCol w:w="1244"/>
        <w:gridCol w:w="256"/>
        <w:gridCol w:w="146"/>
        <w:gridCol w:w="455"/>
        <w:gridCol w:w="979"/>
        <w:gridCol w:w="196"/>
      </w:tblGrid>
      <w:tr>
        <w:trPr/>
        <w:tc>
          <w:tcPr>
            <w:tcW w:w="13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59"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2"/>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 or (Discount) of High Sales Price to NAV</w:t>
            </w:r>
            <w:r>
              <w:rPr>
                <w:rFonts w:ascii="Times New Roman" w:hAnsi="Times New Roman"/>
                <w:b/>
                <w:color w:val="000000"/>
                <w:sz w:val="11"/>
              </w:rPr>
              <w:t>(2)</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 or (Discount) of Low Sales Price to NAV</w:t>
            </w:r>
            <w:r>
              <w:rPr>
                <w:rFonts w:ascii="Times New Roman" w:hAnsi="Times New Roman"/>
                <w:b/>
                <w:color w:val="000000"/>
                <w:sz w:val="11"/>
              </w:rPr>
              <w:t>(2)</w:t>
            </w:r>
          </w:p>
        </w:tc>
        <w:tc>
          <w:tcPr>
            <w:tcW w:w="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Declared Distributions Per Share</w:t>
            </w:r>
            <w:r>
              <w:rPr>
                <w:rFonts w:ascii="Times New Roman" w:hAnsi="Times New Roman"/>
                <w:b/>
                <w:color w:val="000000"/>
                <w:sz w:val="11"/>
              </w:rPr>
              <w:t>(3)</w:t>
            </w:r>
          </w:p>
        </w:tc>
        <w:tc>
          <w:tcPr>
            <w:tcW w:w="196" w:type="dxa"/>
            <w:tcBorders/>
            <w:shd w:fill="FFFFFF" w:val="clear"/>
            <w:vAlign w:val="center"/>
          </w:tcPr>
          <w:p>
            <w:pPr>
              <w:pStyle w:val="TableContents"/>
              <w:bidi w:val="0"/>
              <w:spacing w:before="0" w:after="283"/>
              <w:jc w:val="center"/>
              <w:rPr/>
            </w:pPr>
            <w:r>
              <w:rPr/>
              <w:t> </w:t>
            </w:r>
          </w:p>
        </w:tc>
      </w:tr>
      <w:tr>
        <w:trPr/>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NAV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2024</w:t>
            </w:r>
          </w:p>
        </w:tc>
        <w:tc>
          <w:tcPr>
            <w:tcW w:w="8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3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0"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34"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Quarter (through March 19, 2024)</w:t>
            </w:r>
          </w:p>
        </w:tc>
        <w:tc>
          <w:tcPr>
            <w:tcW w:w="87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2"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96" w:type="dxa"/>
            <w:tcBorders/>
            <w:shd w:fill="FFFFFF" w:val="cle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2023</w:t>
            </w:r>
          </w:p>
        </w:tc>
        <w:tc>
          <w:tcPr>
            <w:tcW w:w="8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32"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0" w:type="dxa"/>
            <w:gridSpan w:val="2"/>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34"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Fourth Quarter</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96" w:type="dxa"/>
            <w:tcBorders/>
            <w:shd w:fill="FFFFFF" w:val="cle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Third Quarter</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Quarter</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96" w:type="dxa"/>
            <w:tcBorders/>
            <w:shd w:fill="FFFFFF" w:val="cle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Quarter</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2022</w:t>
            </w:r>
          </w:p>
        </w:tc>
        <w:tc>
          <w:tcPr>
            <w:tcW w:w="8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2"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0" w:type="dxa"/>
            <w:gridSpan w:val="2"/>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Fourth Quarter</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Third Quarter</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Quarter</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5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left"/>
              <w:rPr/>
            </w:pPr>
            <w:r>
              <w:rPr/>
              <w:t> </w:t>
            </w:r>
          </w:p>
        </w:tc>
        <w:tc>
          <w:tcPr>
            <w:tcW w:w="124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2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Quarter</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25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Net asset value per share is determined as of the last day in the relevant quarter and therefore may not reflect the net asset value per share on the date of the high and low sales prices. The net asset values shown are based on outstanding shares at the end of each period.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Calculated as of the respective high or low intraday sales price divided by the quarter end NAV and subtracting 1.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jc w:val="both"/>
        <w:rPr>
          <w:rFonts w:ascii="Times New Roman" w:hAnsi="Times New Roman"/>
          <w:color w:val="000000"/>
          <w:sz w:val="13"/>
        </w:rPr>
      </w:pPr>
      <w:r>
        <w:rPr>
          <w:rFonts w:ascii="Times New Roman" w:hAnsi="Times New Roman"/>
          <w:color w:val="000000"/>
          <w:sz w:val="13"/>
        </w:rPr>
        <w:t xml:space="preserve">Unless otherwise noted, represents the distribution paid or to be paid in the specified quarter. See “Distributions” for detail related to tax characteristics of distributions paid. </w:t>
      </w:r>
    </w:p>
    <w:p>
      <w:pPr>
        <w:pStyle w:val="TextBody"/>
        <w:bidi w:val="0"/>
        <w:jc w:val="both"/>
        <w:rPr>
          <w:rFonts w:ascii="Times New Roman" w:hAnsi="Times New Roman"/>
          <w:sz w:val="20"/>
        </w:rPr>
      </w:pPr>
      <w:r>
        <w:rPr>
          <w:rFonts w:ascii="Times New Roman" w:hAnsi="Times New Roman"/>
          <w:color w:val="000000"/>
          <w:sz w:val="13"/>
        </w:rPr>
        <w:t>* Not determinable at the time of filing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Shares of BDCs may trade at a market price that is less than the value of the net assets attributable to those shares. The possibility that our shares of common stock will trade at a discount from NAV or at premiums that are unsustainable over the long term are separate and distinct from the risk that our NAV will decrease. Since our initial public offering on September 25, 2013, our shares of common stock have traded at times at both a discount and a premium to the net assets attributable to those shares. As of March 19, 2024, shares of our common stock traded at a discount of approximately 33.0% of the NAV attributable to those shares as of December 31, 2023. It is not possible to predict whether shares of our common stock will trade at, above, or below NAV.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order to qualify as a RIC and to avoid corporate-level U.S. federal income tax on the income we timely distribute to our stockholders, we are required to distribute at least 90% of our ordinary income and our net short-term capital gains in excess of net long-term capital losses, if any, to our stockholders on an annual basis. Additionally, to avoid a U.S. federal excise tax, we must distribute for each calendar year an amount at least equal to the sum of 98% of our ordinary income (during the calendar year) plus 98.2% of our capital gain net income (during the 12-month period ending on October 31 in that calendar year) plus any ordinary income and capital gain net income that we recognized for preceding years, but were not distributed during such years, and on which we paid no U.S. federal income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During the year ended December 31, 2023, the Company made distributions of $0.96 per share. The Company’s Board determined not to declare any distributions during the years ended December 31, 2022 and 2021.</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pStyle w:val="TextBody"/>
        <w:bidi w:val="0"/>
        <w:spacing w:before="240" w:after="283"/>
        <w:jc w:val="left"/>
        <w:rPr>
          <w:rFonts w:ascii="Times New Roman" w:hAnsi="Times New Roman"/>
          <w:sz w:val="20"/>
        </w:rPr>
      </w:pPr>
      <w:r>
        <w:rPr>
          <w:rFonts w:ascii="Times New Roman" w:hAnsi="Times New Roman"/>
          <w:b/>
          <w:color w:val="000000"/>
          <w:sz w:val="16"/>
        </w:rPr>
        <w:t>PERFORMANCE GRAPH</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following graph compares the cumulative return on shares of our common stock with that of the Standard &amp; Poor’s 500 Stock Index and the NASDAQ Financial 100 index, as we do not believe there is an appropriate index of companies with an investment strategy similar to our own with which to compare the return on shares of our common stock, for the period from December 31, 2018 through December 31, 2023. The graph assumes that on December 31, 2018, a person invested $100 in each share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r>
        <w:rPr>
          <w:rFonts w:ascii="Times New Roman" w:hAnsi="Times New Roman"/>
          <w:color w:val="000000"/>
          <w:sz w:val="20"/>
        </w:rPr>
        <w:t xml:space="preserve"> </w:t>
      </w:r>
    </w:p>
    <w:p>
      <w:pPr>
        <w:pStyle w:val="TextBody"/>
        <w:bidi w:val="0"/>
        <w:spacing w:before="160" w:after="283"/>
        <w:jc w:val="left"/>
        <w:rPr/>
      </w:pPr>
      <w:r>
        <w:rPr/>
        <w:drawing>
          <wp:inline distT="0" distB="0" distL="0" distR="0">
            <wp:extent cx="6858000" cy="3038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038475"/>
                    </a:xfrm>
                    <a:prstGeom prst="rect">
                      <a:avLst/>
                    </a:prstGeom>
                  </pic:spPr>
                </pic:pic>
              </a:graphicData>
            </a:graphic>
          </wp:inline>
        </w:drawing>
      </w:r>
      <w:r>
        <w:rPr/>
        <w:t> </w:t>
      </w:r>
    </w:p>
    <w:p>
      <w:pPr>
        <w:pStyle w:val="TextBody"/>
        <w:bidi w:val="0"/>
        <w:jc w:val="both"/>
        <w:rPr>
          <w:rFonts w:ascii="Times New Roman" w:hAnsi="Times New Roman"/>
          <w:sz w:val="20"/>
        </w:rPr>
      </w:pPr>
      <w:r>
        <w:rPr>
          <w:rFonts w:ascii="Times New Roman" w:hAnsi="Times New Roman"/>
          <w:color w:val="000000"/>
          <w:sz w:val="16"/>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FEES AND EXPENSES</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“you”, “</w:t>
      </w:r>
      <w:r>
        <w:rPr>
          <w:rFonts w:ascii="Times New Roman" w:hAnsi="Times New Roman"/>
          <w:color w:val="231F20"/>
          <w:sz w:val="16"/>
        </w:rPr>
        <w:t>Logan Ridge</w:t>
      </w:r>
      <w:r>
        <w:rPr>
          <w:rFonts w:ascii="Times New Roman" w:hAnsi="Times New Roman"/>
          <w:color w:val="000000"/>
          <w:sz w:val="20"/>
        </w:rPr>
        <w:t>”</w:t>
      </w:r>
      <w:r>
        <w:rPr>
          <w:rFonts w:ascii="Times New Roman" w:hAnsi="Times New Roman"/>
          <w:color w:val="000000"/>
          <w:sz w:val="16"/>
        </w:rPr>
        <w:t>, or “us” or that “we” or “</w:t>
      </w:r>
      <w:r>
        <w:rPr>
          <w:rFonts w:ascii="Times New Roman" w:hAnsi="Times New Roman"/>
          <w:color w:val="231F20"/>
          <w:sz w:val="16"/>
        </w:rPr>
        <w:t>Logan Ridge</w:t>
      </w:r>
      <w:r>
        <w:rPr>
          <w:rFonts w:ascii="Times New Roman" w:hAnsi="Times New Roman"/>
          <w:color w:val="000000"/>
          <w:sz w:val="20"/>
        </w:rPr>
        <w:t xml:space="preserve">” </w:t>
      </w:r>
      <w:r>
        <w:rPr>
          <w:rFonts w:ascii="Times New Roman" w:hAnsi="Times New Roman"/>
          <w:color w:val="000000"/>
          <w:sz w:val="16"/>
        </w:rPr>
        <w:t xml:space="preserve">will pay fees or expenses, </w:t>
      </w:r>
      <w:r>
        <w:rPr>
          <w:rFonts w:ascii="Times New Roman" w:hAnsi="Times New Roman"/>
          <w:color w:val="231F20"/>
          <w:sz w:val="16"/>
        </w:rPr>
        <w:t>Logan Ridge</w:t>
      </w:r>
      <w:r>
        <w:rPr>
          <w:rFonts w:ascii="Times New Roman" w:hAnsi="Times New Roman"/>
          <w:color w:val="000000"/>
          <w:sz w:val="20"/>
        </w:rPr>
        <w:t xml:space="preserve"> </w:t>
      </w:r>
      <w:r>
        <w:rPr>
          <w:rFonts w:ascii="Times New Roman" w:hAnsi="Times New Roman"/>
          <w:color w:val="000000"/>
          <w:sz w:val="16"/>
        </w:rPr>
        <w:t xml:space="preserve">will pay such fees and expenses out of our net assets and, consequently, you will indirectly bear such fees or expenses as an investor in </w:t>
      </w:r>
      <w:r>
        <w:rPr>
          <w:rFonts w:ascii="Times New Roman" w:hAnsi="Times New Roman"/>
          <w:color w:val="231F20"/>
          <w:sz w:val="16"/>
        </w:rPr>
        <w:t>Logan Ridge</w:t>
      </w:r>
      <w:r>
        <w:rPr>
          <w:rFonts w:ascii="Times New Roman" w:hAnsi="Times New Roman"/>
          <w:color w:val="000000"/>
          <w:sz w:val="16"/>
        </w:rPr>
        <w:t>. However, you will not be required to deliver any money or otherwise bear personal liability or responsibility for such fees or expenses.</w:t>
      </w:r>
      <w:r>
        <w:rPr>
          <w:rFonts w:ascii="Times New Roman" w:hAnsi="Times New Roman"/>
          <w:color w:val="000000"/>
          <w:sz w:val="20"/>
        </w:rPr>
        <w:t xml:space="preserve"> </w:t>
      </w:r>
    </w:p>
    <w:tbl>
      <w:tblPr>
        <w:tblW w:w="6718" w:type="dxa"/>
        <w:jc w:val="left"/>
        <w:tblInd w:w="0" w:type="dxa"/>
        <w:tblLayout w:type="fixed"/>
        <w:tblCellMar>
          <w:top w:w="28" w:type="dxa"/>
          <w:left w:w="28" w:type="dxa"/>
          <w:bottom w:w="28" w:type="dxa"/>
          <w:right w:w="28" w:type="dxa"/>
        </w:tblCellMar>
      </w:tblPr>
      <w:tblGrid>
        <w:gridCol w:w="5761"/>
        <w:gridCol w:w="146"/>
        <w:gridCol w:w="81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 transaction expenses:</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load (as a percentage of offering price)</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N/A</w:t>
            </w:r>
            <w:r>
              <w:rPr>
                <w:rFonts w:ascii="Times New Roman" w:hAnsi="Times New Roman"/>
                <w:color w:val="000000"/>
                <w:sz w:val="11"/>
              </w:rPr>
              <w:t>(1)</w:t>
            </w:r>
          </w:p>
        </w:tc>
      </w:tr>
      <w:tr>
        <w:trPr/>
        <w:tc>
          <w:tcPr>
            <w:tcW w:w="57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Offering expenses borne by us (as a percentage of offering price)</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N/A</w:t>
            </w:r>
            <w:r>
              <w:rPr>
                <w:rFonts w:ascii="Times New Roman" w:hAnsi="Times New Roman"/>
                <w:color w:val="000000"/>
                <w:sz w:val="11"/>
              </w:rPr>
              <w:t>(2)</w:t>
            </w:r>
          </w:p>
        </w:tc>
      </w:tr>
      <w:tr>
        <w:trPr/>
        <w:tc>
          <w:tcPr>
            <w:tcW w:w="5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reinvestment plan fees (per sales transaction fee)</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$15.00</w:t>
            </w:r>
            <w:r>
              <w:rPr>
                <w:rFonts w:ascii="Times New Roman" w:hAnsi="Times New Roman"/>
                <w:color w:val="000000"/>
                <w:sz w:val="11"/>
              </w:rPr>
              <w:t>(3)</w:t>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 transaction expenses (as a percentage of offering price)</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r>
      <w:tr>
        <w:trPr/>
        <w:tc>
          <w:tcPr>
            <w:tcW w:w="57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Annual expenses (as a percentage of net assets attributable to common stock):</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57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3.91%</w:t>
            </w:r>
            <w:r>
              <w:rPr>
                <w:rFonts w:ascii="Times New Roman" w:hAnsi="Times New Roman"/>
                <w:color w:val="000000"/>
                <w:sz w:val="11"/>
              </w:rPr>
              <w:t>(4)</w:t>
            </w:r>
          </w:p>
        </w:tc>
      </w:tr>
      <w:tr>
        <w:trPr/>
        <w:tc>
          <w:tcPr>
            <w:tcW w:w="5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 from Net Investment Income</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0.00%</w:t>
            </w:r>
            <w:r>
              <w:rPr>
                <w:rFonts w:ascii="Times New Roman" w:hAnsi="Times New Roman"/>
                <w:color w:val="000000"/>
                <w:sz w:val="11"/>
              </w:rPr>
              <w:t>(5)</w:t>
            </w:r>
          </w:p>
        </w:tc>
      </w:tr>
      <w:tr>
        <w:trPr/>
        <w:tc>
          <w:tcPr>
            <w:tcW w:w="57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 payable from Capital Gains</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0.00%</w:t>
            </w:r>
            <w:r>
              <w:rPr>
                <w:rFonts w:ascii="Times New Roman" w:hAnsi="Times New Roman"/>
                <w:color w:val="000000"/>
                <w:sz w:val="11"/>
              </w:rPr>
              <w:t>(5)</w:t>
            </w:r>
          </w:p>
        </w:tc>
      </w:tr>
      <w:tr>
        <w:trPr/>
        <w:tc>
          <w:tcPr>
            <w:tcW w:w="5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payments on borrowed funds</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8.01%</w:t>
            </w:r>
            <w:r>
              <w:rPr>
                <w:rFonts w:ascii="Times New Roman" w:hAnsi="Times New Roman"/>
                <w:color w:val="000000"/>
                <w:sz w:val="11"/>
              </w:rPr>
              <w:t>(6)</w:t>
            </w:r>
          </w:p>
        </w:tc>
      </w:tr>
      <w:tr>
        <w:trPr/>
        <w:tc>
          <w:tcPr>
            <w:tcW w:w="57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4.65%</w:t>
            </w:r>
            <w:r>
              <w:rPr>
                <w:rFonts w:ascii="Times New Roman" w:hAnsi="Times New Roman"/>
                <w:color w:val="000000"/>
                <w:sz w:val="11"/>
              </w:rPr>
              <w:t>(7)</w:t>
            </w:r>
          </w:p>
        </w:tc>
      </w:tr>
      <w:tr>
        <w:trPr/>
        <w:tc>
          <w:tcPr>
            <w:tcW w:w="57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Acquired fund fees and expenses</w:t>
            </w:r>
          </w:p>
        </w:tc>
        <w:tc>
          <w:tcPr>
            <w:tcW w:w="146" w:type="dxa"/>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0.12%</w:t>
            </w:r>
            <w:r>
              <w:rPr>
                <w:rFonts w:ascii="Times New Roman" w:hAnsi="Times New Roman"/>
                <w:color w:val="000000"/>
                <w:sz w:val="11"/>
              </w:rPr>
              <w:t>(8)</w:t>
            </w:r>
          </w:p>
        </w:tc>
      </w:tr>
      <w:tr>
        <w:trPr/>
        <w:tc>
          <w:tcPr>
            <w:tcW w:w="57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annual expenses</w:t>
            </w:r>
          </w:p>
        </w:tc>
        <w:tc>
          <w:tcPr>
            <w:tcW w:w="146" w:type="dxa"/>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rFonts w:ascii="Times New Roman" w:hAnsi="Times New Roman"/>
                <w:sz w:val="16"/>
              </w:rPr>
            </w:pPr>
            <w:r>
              <w:rPr>
                <w:rFonts w:ascii="Times New Roman" w:hAnsi="Times New Roman"/>
                <w:color w:val="000000"/>
                <w:sz w:val="16"/>
              </w:rPr>
              <w:t>16.69%</w:t>
            </w:r>
            <w:r>
              <w:rPr>
                <w:rFonts w:ascii="Times New Roman" w:hAnsi="Times New Roman"/>
                <w:color w:val="000000"/>
                <w:sz w:val="11"/>
              </w:rPr>
              <w:t>(9)</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In the event that any shares are sold to or through underwriters, a prospectus supplement will disclose the applicable sales load.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prospectus supplement corresponding to each offering will disclose the applicable estimated amount of offering expenses of the offering and the offering expenses borne by us as a percentage of the offering price.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jc w:val="both"/>
        <w:rPr>
          <w:rFonts w:ascii="Times New Roman" w:hAnsi="Times New Roman"/>
          <w:sz w:val="20"/>
        </w:rPr>
      </w:pPr>
      <w:r>
        <w:rPr>
          <w:rFonts w:ascii="Times New Roman" w:hAnsi="Times New Roman"/>
          <w:color w:val="000000"/>
          <w:sz w:val="13"/>
        </w:rPr>
        <w:t>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Reflects our gross base management fee as a percentage of net assets. Our base management fee under the Investment Advisory Agreement is calculated at an annual rate of 1.75% of our gross assets, which is our total assets as reflected on our balance sheet and includes any borrowings for investment purposes. The gross base management fee reflected in the table above is based on the fiscal year ended December 31, 2023. See “Investment Advisory Agreement.”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sz w:val="20"/>
        </w:rPr>
      </w:pPr>
      <w:r>
        <w:rPr>
          <w:rFonts w:ascii="Times New Roman" w:hAnsi="Times New Roman"/>
          <w:color w:val="000000"/>
          <w:sz w:val="13"/>
        </w:rPr>
        <w:t xml:space="preserve">Assumes that annual incentive fees earned by </w:t>
      </w:r>
      <w:r>
        <w:rPr>
          <w:rFonts w:ascii="Times New Roman" w:hAnsi="Times New Roman"/>
          <w:color w:val="231F20"/>
          <w:sz w:val="13"/>
        </w:rPr>
        <w:t>Mount Logan Management LLC</w:t>
      </w:r>
      <w:r>
        <w:rPr>
          <w:rFonts w:ascii="Times New Roman" w:hAnsi="Times New Roman"/>
          <w:color w:val="000000"/>
          <w:sz w:val="20"/>
        </w:rPr>
        <w:t xml:space="preserve"> </w:t>
      </w:r>
      <w:r>
        <w:rPr>
          <w:rFonts w:ascii="Times New Roman" w:hAnsi="Times New Roman"/>
          <w:color w:val="000000"/>
          <w:sz w:val="13"/>
        </w:rPr>
        <w:t xml:space="preserve">remain consistent with the incentive fees earned by </w:t>
      </w:r>
      <w:r>
        <w:rPr>
          <w:rFonts w:ascii="Times New Roman" w:hAnsi="Times New Roman"/>
          <w:color w:val="231F20"/>
          <w:sz w:val="13"/>
        </w:rPr>
        <w:t>Mount Logan Management LLC</w:t>
      </w:r>
      <w:r>
        <w:rPr>
          <w:rFonts w:ascii="Times New Roman" w:hAnsi="Times New Roman"/>
          <w:color w:val="000000"/>
          <w:sz w:val="20"/>
        </w:rPr>
        <w:t xml:space="preserve"> </w:t>
      </w:r>
      <w:r>
        <w:rPr>
          <w:rFonts w:ascii="Times New Roman" w:hAnsi="Times New Roman"/>
          <w:color w:val="000000"/>
          <w:sz w:val="13"/>
        </w:rPr>
        <w:t xml:space="preserve">during the fiscal year ended December 31, 2023 and includes accrued capital gains incentive fee. As of December 31, 2023, </w:t>
      </w:r>
      <w:r>
        <w:rPr>
          <w:rFonts w:ascii="Times New Roman" w:hAnsi="Times New Roman"/>
          <w:color w:val="231F20"/>
          <w:sz w:val="13"/>
        </w:rPr>
        <w:t>Mount Logan Management LLC</w:t>
      </w:r>
      <w:r>
        <w:rPr>
          <w:rFonts w:ascii="Times New Roman" w:hAnsi="Times New Roman"/>
          <w:color w:val="000000"/>
          <w:sz w:val="20"/>
        </w:rPr>
        <w:t xml:space="preserve"> </w:t>
      </w:r>
      <w:r>
        <w:rPr>
          <w:rFonts w:ascii="Times New Roman" w:hAnsi="Times New Roman"/>
          <w:color w:val="000000"/>
          <w:sz w:val="13"/>
        </w:rPr>
        <w:t>has accrued no capital gains incentive fee. As we cannot predict whether we will meet the thresholds for incentive fees under the Investment Advisory Agreement, the incentive fees paid in subsequent periods, if any, may be substantially different than the fees incurred during the fiscal year ended December 31, 2023. For more detailed information about the incentive fee calculations, see Part I, Item 1. Business, Agreements, Investment Advisory Agreement section of this Annual Report on Form 10-K.</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As of December 31, 2023, we had $35.4 million of unused borrowing capacity, subject to maintenance of the applicable total assets to debt ratio, under the 1940 Act. As of such date, we had $39.6 million in borrowings outstanding under our $75.0 million KeyBank Credit Facility, $50.0 million in aggregate principal of 2026 Notes and $15.0 million in aggregate principal of 2032 Convertible Notes. Annual interest expense on borrowed funds represents actual interest expense incurred for the fiscal year ended December 31, 2023, as well as deferred financing costs, amendment costs and make-whole premiums, if any. We caution you that our actual interest expense will depend on prevailing interest rates and our rate of borrowing, which may be substantially higher than the estimate provided in this table.</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(7)</w:t>
      </w:r>
    </w:p>
    <w:p>
      <w:pPr>
        <w:pStyle w:val="TextBody"/>
        <w:bidi w:val="0"/>
        <w:spacing w:before="0" w:after="0"/>
        <w:jc w:val="both"/>
        <w:rPr/>
      </w:pPr>
      <w:r>
        <w:rPr>
          <w:color w:val="000000"/>
        </w:rPr>
        <w:t>“</w:t>
      </w:r>
      <w:r>
        <w:rPr>
          <w:rFonts w:ascii="Times New Roman" w:hAnsi="Times New Roman"/>
          <w:color w:val="000000"/>
          <w:sz w:val="13"/>
        </w:rPr>
        <w:t xml:space="preserve">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2023.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(8)</w:t>
      </w:r>
    </w:p>
    <w:p>
      <w:pPr>
        <w:pStyle w:val="TextBody"/>
        <w:bidi w:val="0"/>
        <w:spacing w:before="0" w:after="0"/>
        <w:jc w:val="both"/>
        <w:rPr>
          <w:color w:val="000000"/>
        </w:rPr>
      </w:pPr>
      <w:r>
        <w:rPr>
          <w:color w:val="000000"/>
        </w:rPr>
        <w:t>“</w:t>
      </w:r>
      <w:r>
        <w:rPr>
          <w:rFonts w:ascii="Times New Roman" w:hAnsi="Times New Roman"/>
          <w:color w:val="000000"/>
          <w:sz w:val="13"/>
        </w:rPr>
        <w:t>Acquired fund fees and expenses” are the indirect costs of investing in the Company’s joint venture, Great Lakes Funding II LLC. The operating expenses in this fee table will not correlate to the expense ratio in the Company’s Financial Highlights because the consolidated financial statements include only the direct operating expenses incurred by the Company. Therefore, amounts may not agree with the Financial Highlights due to the inclusions in this table of Acquired Fund Fees and Expenses and certain other adjustments.</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(9)</w:t>
      </w:r>
    </w:p>
    <w:p>
      <w:pPr>
        <w:pStyle w:val="TextBody"/>
        <w:bidi w:val="0"/>
        <w:jc w:val="both"/>
        <w:rPr>
          <w:rFonts w:ascii="Times New Roman" w:hAnsi="Times New Roman"/>
          <w:sz w:val="20"/>
        </w:rPr>
      </w:pPr>
      <w:r>
        <w:rPr>
          <w:rFonts w:ascii="Times New Roman" w:hAnsi="Times New Roman"/>
          <w:color w:val="000000"/>
          <w:sz w:val="13"/>
        </w:rPr>
        <w:t>The holders of shares of our common stock indirectly bear the cost associated with our annual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Example</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following example demonstrates the projected dollar amount of total cumulative expenses that would be incurred over various periods with respect to a hypothetical investment in shares of our common stock. In calculating the following expense amounts, we have assumed that our borrowings and annual operating expenses would remain at the levels set forth in the table above. In the event that shares of our common stock are sold to or through underwriters, a prospectus supplement will restate this example to reflect the applicable sales load and offering expenses. See Note 6 above for additional information regarding certain assumptions regarding our level of leverage.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39"/>
        <w:gridCol w:w="146"/>
        <w:gridCol w:w="204"/>
        <w:gridCol w:w="393"/>
        <w:gridCol w:w="146"/>
        <w:gridCol w:w="146"/>
        <w:gridCol w:w="223"/>
        <w:gridCol w:w="429"/>
        <w:gridCol w:w="146"/>
        <w:gridCol w:w="146"/>
        <w:gridCol w:w="223"/>
        <w:gridCol w:w="429"/>
        <w:gridCol w:w="146"/>
        <w:gridCol w:w="146"/>
        <w:gridCol w:w="207"/>
        <w:gridCol w:w="539"/>
        <w:gridCol w:w="197"/>
      </w:tblGrid>
      <w:tr>
        <w:trPr/>
        <w:tc>
          <w:tcPr>
            <w:tcW w:w="6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3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 would pay the following expenses on a $1,000 investment, assuming a 5.0% annual return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w:t>
            </w:r>
          </w:p>
        </w:tc>
        <w:tc>
          <w:tcPr>
            <w:tcW w:w="197"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16"/>
        </w:rPr>
        <w:t>The example should not be considered a representation of future expenses, and actual expenses may be greater or less than those shown.</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While the example assumes, as required by the applicable rules of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not included in the above example. The above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For example, if we assumed that we received our 5.0% annual return completely in the form of net realized capital gains on our investments, computed net of all cumulative unrealized depreciation on our investments, the projected dollar amount of total cumulative expenses set forth in the above illustration would be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39"/>
        <w:gridCol w:w="146"/>
        <w:gridCol w:w="204"/>
        <w:gridCol w:w="393"/>
        <w:gridCol w:w="146"/>
        <w:gridCol w:w="146"/>
        <w:gridCol w:w="223"/>
        <w:gridCol w:w="429"/>
        <w:gridCol w:w="146"/>
        <w:gridCol w:w="146"/>
        <w:gridCol w:w="223"/>
        <w:gridCol w:w="429"/>
        <w:gridCol w:w="146"/>
        <w:gridCol w:w="146"/>
        <w:gridCol w:w="207"/>
        <w:gridCol w:w="539"/>
        <w:gridCol w:w="197"/>
      </w:tblGrid>
      <w:tr>
        <w:trPr/>
        <w:tc>
          <w:tcPr>
            <w:tcW w:w="6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3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 Years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You would pay the following expenses on a $1,000 investment, assuming a 5.0% annual return</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97"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The example assumes no sales load. However, in the event that securities are sold with a sales load, a prospectus supplement will provide a revised expense example that will include the effect of the sales load. In addition, while the examples assume reinvestment of all dividends and distributions at net asset value, participants in our dividend reinvestment plan will receive a number of shares of our common stock, generally determined by dividing the total dollar amount of the dividend payable to a participant by the market price per share of our common stock at the close of trading on the dividend payment date, which may be at, above or below net asset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SALES OF UNREGISTERED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Other than the shares issued pursuant to our DRIP, we did not engage in any sales of unregistered securities during the year ended December 31, 2023. During the year ended December 31, 2023, the Company issued 297 shares of common stock pursuant to its DRIP. This issuance was not subject to the registration requirements of the Securities Act. For the year ended December 31, 2023, the aggregate value of the shares of our common stock issued under our DRIP was $5,959.</w:t>
      </w:r>
    </w:p>
    <w:p>
      <w:pPr>
        <w:pStyle w:val="TextBody"/>
        <w:bidi w:val="0"/>
        <w:spacing w:before="240" w:after="283"/>
        <w:jc w:val="left"/>
        <w:rPr>
          <w:rFonts w:ascii="Times New Roman" w:hAnsi="Times New Roman"/>
          <w:sz w:val="20"/>
        </w:rPr>
      </w:pPr>
      <w:r>
        <w:rPr>
          <w:rFonts w:ascii="Times New Roman" w:hAnsi="Times New Roman"/>
          <w:b/>
          <w:color w:val="000000"/>
          <w:sz w:val="16"/>
        </w:rPr>
        <w:t>ISSUER PURCHASES OF EQUITY SECURITIES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following table sets forth information regarding recent repurchases of shares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1"/>
        <w:gridCol w:w="265"/>
        <w:gridCol w:w="1094"/>
        <w:gridCol w:w="146"/>
        <w:gridCol w:w="263"/>
        <w:gridCol w:w="195"/>
        <w:gridCol w:w="686"/>
        <w:gridCol w:w="146"/>
        <w:gridCol w:w="482"/>
        <w:gridCol w:w="1987"/>
        <w:gridCol w:w="146"/>
        <w:gridCol w:w="872"/>
        <w:gridCol w:w="650"/>
        <w:gridCol w:w="1477"/>
        <w:gridCol w:w="195"/>
      </w:tblGrid>
      <w:tr>
        <w:trPr/>
        <w:tc>
          <w:tcPr>
            <w:tcW w:w="16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Plans or Programs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Plans or Programs (in millions)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January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81"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2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2023 through February 28,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88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212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2023 through March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April 30,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3,551</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3,551</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1, 2023 through May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3,644</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3,644</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June 1, 2023 through June 30,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July 31,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1, 2023 through August 31,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6,524</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21.29</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6,524</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September 1, 2023 through September 30,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October 31, 2023</w:t>
            </w:r>
          </w:p>
        </w:tc>
        <w:tc>
          <w:tcPr>
            <w:tcW w:w="26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98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3,872</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1, 2023 through November 30, 2023</w:t>
            </w:r>
          </w:p>
        </w:tc>
        <w:tc>
          <w:tcPr>
            <w:tcW w:w="265" w:type="dxa"/>
            <w:tcBorders/>
            <w:shd w:fill="CFF0FC" w:val="clear"/>
            <w:vAlign w:val="center"/>
          </w:tcPr>
          <w:p>
            <w:pPr>
              <w:pStyle w:val="TableContents"/>
              <w:bidi w:val="0"/>
              <w:spacing w:before="0" w:after="283"/>
              <w:jc w:val="left"/>
              <w:rPr/>
            </w:pPr>
            <w:r>
              <w:rPr/>
              <w:t> </w:t>
            </w:r>
          </w:p>
        </w:tc>
        <w:tc>
          <w:tcPr>
            <w:tcW w:w="109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9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650" w:type="dxa"/>
            <w:tcBorders/>
            <w:shd w:fill="CFF0FC" w:val="clear"/>
            <w:vAlign w:val="center"/>
          </w:tcPr>
          <w:p>
            <w:pPr>
              <w:pStyle w:val="TableContents"/>
              <w:bidi w:val="0"/>
              <w:spacing w:before="0" w:after="283"/>
              <w:jc w:val="left"/>
              <w:rPr/>
            </w:pPr>
            <w:r>
              <w:rPr/>
              <w:t> </w:t>
            </w:r>
          </w:p>
        </w:tc>
        <w:tc>
          <w:tcPr>
            <w:tcW w:w="147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95" w:type="dxa"/>
            <w:tcBorders/>
            <w:shd w:fill="CFF0FC" w:val="clear"/>
            <w:vAlign w:val="center"/>
          </w:tcPr>
          <w:p>
            <w:pPr>
              <w:pStyle w:val="TableContents"/>
              <w:bidi w:val="0"/>
              <w:spacing w:before="0" w:after="283"/>
              <w:jc w:val="left"/>
              <w:rPr/>
            </w:pPr>
            <w:r>
              <w:rPr/>
              <w:t> </w:t>
            </w:r>
          </w:p>
        </w:tc>
      </w:tr>
      <w:tr>
        <w:trPr/>
        <w:tc>
          <w:tcPr>
            <w:tcW w:w="16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1, 2023 through December 31, 2023</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650" w:type="dxa"/>
            <w:tcBorders/>
            <w:shd w:fill="FFFFFF" w:val="clear"/>
            <w:vAlign w:val="center"/>
          </w:tcPr>
          <w:p>
            <w:pPr>
              <w:pStyle w:val="TableContents"/>
              <w:bidi w:val="0"/>
              <w:spacing w:before="0" w:after="283"/>
              <w:jc w:val="left"/>
              <w:rPr/>
            </w:pPr>
            <w:r>
              <w:rPr/>
              <w:t> </w:t>
            </w:r>
          </w:p>
        </w:tc>
        <w:tc>
          <w:tcPr>
            <w:tcW w:w="147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95" w:type="dxa"/>
            <w:tcBorders/>
            <w:shd w:fill="FFFFFF" w:val="clear"/>
            <w:vAlign w:val="center"/>
          </w:tcPr>
          <w:p>
            <w:pPr>
              <w:pStyle w:val="TableContents"/>
              <w:bidi w:val="0"/>
              <w:spacing w:before="0" w:after="283"/>
              <w:jc w:val="left"/>
              <w:rPr/>
            </w:pPr>
            <w:r>
              <w:rPr/>
              <w:t> </w:t>
            </w:r>
          </w:p>
        </w:tc>
      </w:tr>
      <w:tr>
        <w:trPr/>
        <w:tc>
          <w:tcPr>
            <w:tcW w:w="16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right"/>
              <w:rPr/>
            </w:pPr>
            <w:r>
              <w:rPr/>
              <w:t> </w:t>
            </w:r>
          </w:p>
        </w:tc>
        <w:tc>
          <w:tcPr>
            <w:tcW w:w="8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pPr>
            <w:r>
              <w:rPr/>
              <w:t> </w:t>
            </w:r>
          </w:p>
        </w:tc>
        <w:tc>
          <w:tcPr>
            <w:tcW w:w="212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On March 6, 2023, the Company’s Board authorized a share repurchase program whereby the Company could repurchase up to an aggregate of $5.0 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a new share repurchase program on substantially similar terms. Unless extended or discontinued by the Board, the new repurchase program will terminate on March 31, 2025. The repurchase program may be extended, modified or discontinued at any time for any reason without prior notice.</w:t>
      </w:r>
    </w:p>
    <w:p>
      <w:pPr>
        <w:pStyle w:val="TextBody"/>
        <w:bidi w:val="0"/>
        <w:spacing w:before="240" w:after="283"/>
        <w:jc w:val="left"/>
        <w:rPr>
          <w:rFonts w:ascii="Times New Roman" w:hAnsi="Times New Roman"/>
          <w:sz w:val="20"/>
        </w:rPr>
      </w:pPr>
      <w:bookmarkStart w:id="13" w:name="item6_selected_consolidated_financial"/>
      <w:bookmarkEnd w:id="13"/>
      <w:r>
        <w:rPr>
          <w:rFonts w:ascii="Times New Roman" w:hAnsi="Times New Roman"/>
          <w:b/>
          <w:color w:val="000000"/>
          <w:sz w:val="16"/>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4" w:name="item7_management_discussion_and_analysis"/>
      <w:bookmarkEnd w:id="14"/>
      <w:r>
        <w:rPr>
          <w:rFonts w:ascii="Times New Roman" w:hAnsi="Times New Roman"/>
          <w:b/>
          <w:color w:val="000000"/>
          <w:sz w:val="16"/>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information contained in this section should be read in conjunction with our consolidated financial statements and related notes thereto appearing elsewhere in this Annual Report on Form 10-K. The discussion includes forward-looking statements that involve substantial risks and uncertainties and should be read in conjunction with the “Cautionary Statement Regarding Forward-Looking Statements” set forth on page 2 of this Annual Report on Form 10-K for further information regarding forward-looking statements. Except as otherwise indicated, the terms “we,” “us,” “our,” the “Company,” “Logan Ridge” and “LRFC” refer to Logan Ridge Finance Corporation.</w:t>
      </w:r>
    </w:p>
    <w:p>
      <w:pPr>
        <w:pStyle w:val="TextBody"/>
        <w:bidi w:val="0"/>
        <w:spacing w:before="240" w:after="283"/>
        <w:jc w:val="left"/>
        <w:rPr>
          <w:rFonts w:ascii="Times New Roman" w:hAnsi="Times New Roman"/>
          <w:sz w:val="20"/>
        </w:rPr>
      </w:pPr>
      <w:r>
        <w:rPr>
          <w:rFonts w:ascii="Times New Roman" w:hAnsi="Times New Roman"/>
          <w:b/>
          <w:color w:val="000000"/>
          <w:sz w:val="16"/>
        </w:rPr>
        <w:t>Overview</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Adviser” or the "Adviser"), and BC Partners Management LLC (the “Administrator”) provides the administrative services necessary for us to operate.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 million and $50 million in trailing twelve-month earnings before interest, tax, depreciation, and amortization (“EBITDA”).</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invest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our total assets), if certain requirements are met. On November 1, 2018, our board of directors (the “Board”), including a “required majority” (as such term is defined in Section 57(o) of the 1940 Act) approved the application of the modified asset coverage, and as a result, our asset coverage ratio requirement for senior securities was changed from 200% to 150%, effective November 1, 2019. As of December 31, 2023, our asset coverage ratio was 184%. To maintain our regulated investment company (“RIC”) status, we must meet specified source-of-income and asset diversification requirements. To maintain our RIC tax treatment under subchapter M of the Internal Revenue Code of 1986, as amended (the “Code”), we must distribute at least 90% of our ordinary income and realized net short-term capital gains in excess of realized net long-term capital losses, if any, for the taxable year.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believe we qualified as a RIC under the Code for the fiscal year ended December 31, 2023, and we intend to comply with the requirements to continue to qualify annually as a RIC under the Code. To maintain our RIC tax treatment under the Code, we must distribute at least 90% of our ordinary income and realized net short-term capital gains in excess of realized net long-term capital losses, if any, for the taxable year. As further discussed below, for the fiscal years ended December 31, 2022, 2021 and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“Business – Failure to Qualify as a RIC.”</w:t>
      </w:r>
    </w:p>
    <w:p>
      <w:pPr>
        <w:pStyle w:val="TextBody"/>
        <w:bidi w:val="0"/>
        <w:spacing w:before="240" w:after="283"/>
        <w:jc w:val="left"/>
        <w:rPr>
          <w:rFonts w:ascii="Times New Roman" w:hAnsi="Times New Roman"/>
          <w:sz w:val="20"/>
        </w:rPr>
      </w:pPr>
      <w:r>
        <w:rPr>
          <w:rFonts w:ascii="Times New Roman" w:hAnsi="Times New Roman"/>
          <w:b/>
          <w:color w:val="000000"/>
          <w:sz w:val="16"/>
        </w:rPr>
        <w:t>Corporate History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w:t>
      </w:r>
      <w:r>
        <w:rPr>
          <w:rFonts w:ascii="Times New Roman" w:hAnsi="Times New Roman"/>
          <w:color w:val="231F20"/>
          <w:sz w:val="16"/>
        </w:rPr>
        <w:t>On June 10, 2021, Fund III repaid its SBA-guaranteed debentures and relinquished its SBIC license. As of December 31, 2023, there were no SBA-guaranteed debentures outstanding.</w:t>
      </w:r>
    </w:p>
    <w:p>
      <w:pPr>
        <w:pStyle w:val="TextBody"/>
        <w:bidi w:val="0"/>
        <w:spacing w:before="160" w:after="283"/>
        <w:jc w:val="both"/>
        <w:rPr>
          <w:rFonts w:ascii="Times New Roman" w:hAnsi="Times New Roman"/>
          <w:sz w:val="20"/>
        </w:rPr>
      </w:pPr>
      <w:r>
        <w:rPr>
          <w:rFonts w:ascii="Times New Roman" w:hAnsi="Times New Roman"/>
          <w:color w:val="000000"/>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Transaction, beginning on July 1, 2021,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pStyle w:val="TextBody"/>
        <w:bidi w:val="0"/>
        <w:spacing w:before="240" w:after="283"/>
        <w:jc w:val="left"/>
        <w:rPr>
          <w:rFonts w:ascii="Times New Roman" w:hAnsi="Times New Roman"/>
          <w:sz w:val="20"/>
        </w:rPr>
      </w:pPr>
      <w:r>
        <w:rPr>
          <w:rFonts w:ascii="Times New Roman" w:hAnsi="Times New Roman"/>
          <w:b/>
          <w:color w:val="000000"/>
          <w:sz w:val="16"/>
        </w:rPr>
        <w:t>Basis of Presentation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is considered an investment company as defined in Accounting Standards Codification (“ASC”) Topic 946 — </w:t>
      </w:r>
      <w:r>
        <w:rPr>
          <w:rFonts w:ascii="Times New Roman" w:hAnsi="Times New Roman"/>
          <w:i/>
          <w:color w:val="000000"/>
          <w:sz w:val="16"/>
        </w:rPr>
        <w:t>Financial Services — Investment Companies</w:t>
      </w:r>
      <w:r>
        <w:rPr>
          <w:rFonts w:ascii="Times New Roman" w:hAnsi="Times New Roman"/>
          <w:color w:val="000000"/>
          <w:sz w:val="20"/>
        </w:rPr>
        <w:t xml:space="preserve"> </w:t>
      </w:r>
      <w:r>
        <w:rPr>
          <w:rFonts w:ascii="Times New Roman" w:hAnsi="Times New Roman"/>
          <w:color w:val="000000"/>
          <w:sz w:val="16"/>
        </w:rPr>
        <w:t>(“ASC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financial statements as of December 31, 2023 and 2022, and for the years ended December 31, 2023,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Consolidation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16"/>
        </w:rPr>
        <w:t>Revenues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Expenses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primary operating expenses include the payment of investment advisory fees to our Investment Adviser, our allocable portion of overhead and other expenses incurred by our Administrator in performing its obligations under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the cost of our organization;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cost of calculating our net asset value, including the cost of any third-party valuation services;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the cost of effecting sales and repurchases of our shares and other securities;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interest payable on debt, if any, to finance our investments;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transfer agent and custodial fees;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fees and expenses associated with marketing efforts;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costs associated with our reporting and compliance obligations under the 1940 Act, the Securities Exchange Act of 1934, as amended (the “1934 Act”) other applicable federal and state securities laws and ongoing stock exchange listing fees;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federal, state and local taxes;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independent directors’ fees and expenses;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brokerage commissions;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costs of proxy statements, stockholders’ reports and other communications with stockholders;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fidelity bond, directors’ and officers’ liability insurance, errors and omissions liability insurance and other insurance premiums;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direct costs and expenses of administration, including printing, mailing, telephone and staff; </w:t>
      </w:r>
    </w:p>
    <w:p>
      <w:pPr>
        <w:pStyle w:val="TextBody"/>
        <w:bidi w:val="0"/>
        <w:spacing w:before="80" w:after="283"/>
        <w:jc w:val="left"/>
        <w:rPr>
          <w:color w:val="000000"/>
        </w:rPr>
      </w:pPr>
      <w:r>
        <w:rPr>
          <w:color w:val="00000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 xml:space="preserve">fees and expenses associated with independent audits and outside legal costs;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 </w:t>
      </w:r>
    </w:p>
    <w:p>
      <w:pPr>
        <w:pStyle w:val="TextBody"/>
        <w:bidi w:val="0"/>
        <w:spacing w:before="240" w:after="283"/>
        <w:jc w:val="left"/>
        <w:rPr>
          <w:rFonts w:ascii="Times New Roman" w:hAnsi="Times New Roman"/>
          <w:sz w:val="20"/>
        </w:rPr>
      </w:pPr>
      <w:r>
        <w:rPr>
          <w:rFonts w:ascii="Times New Roman" w:hAnsi="Times New Roman"/>
          <w:b/>
          <w:color w:val="000000"/>
          <w:sz w:val="16"/>
        </w:rPr>
        <w:t>Income Taxes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Prior to the Formation Transactions, the Legacy Funds were treated as partnerships for U.S. federal, state and local income tax purposes and, therefore, no provision was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Subsequent to the Formation Transactions, the Legacy Funds became disregarded entities for tax purposes.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has elected to be treated as a RIC under subchapter M of the Code. The Company believes it qualified as a RIC under the Code for the fiscal year ended December 31, 2023, and the Company intends to comply with the requirements to continue to qualify annually as a RIC under the Code. As further discussed below, for the fiscal years ended December 31, 2022, 2021 and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“Business – Failure to Qualify as a RIC” as well as “Note 7. – Income Taxes” for additional information.</w:t>
      </w:r>
    </w:p>
    <w:p>
      <w:pPr>
        <w:pStyle w:val="TextBody"/>
        <w:bidi w:val="0"/>
        <w:spacing w:before="160" w:after="283"/>
        <w:jc w:val="both"/>
        <w:rPr>
          <w:rFonts w:ascii="Times New Roman" w:hAnsi="Times New Roman"/>
          <w:sz w:val="20"/>
        </w:rPr>
      </w:pPr>
      <w:r>
        <w:rPr>
          <w:rFonts w:ascii="Times New Roman" w:hAnsi="Times New Roman"/>
          <w:color w:val="000000"/>
          <w:sz w:val="16"/>
        </w:rPr>
        <w:t>In order to qualify for tax treatment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an amount at least equal to the sum of (i) 98.0% of its ordinary income for the calendar year, (ii) 98.2% of its capital gains in excess of capital losses for the one-year period ending on October 31 of the calendar year, and (iii) any ordinary income and capital gain net income that it recognized for preceding years, but were not distributed during such years, and on which it paid no U.S. federal income tax.</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tax years ended December 31, 2023, 2022, 2021 and 2020 remain subject to examination by U.S. federal, state, and local tax authorities. No material interest expense or penalties have been assessed for the years ended December 31, 2023, 2022, 2021 and 2020. If the Company were required to recognize interest and penalties, if any, related to unrecognized tax benefits, this would be recognized as income tax expense in the consolidated statements of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records deferred tax assets or liabilities related to temporary book versus tax differences on the income or loss generated by the underlying equity investments held by the Company's Taxable Subsidiaries as well as temporary book versus tax differences generated by the Company during the years the Company did not qualify as a RIC (see “Note 7. – Income Taxes”).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and 2022, the Company recorded a net deferred tax asset of zero. For the years ended December 31, 2023, 2022 and 2021, the Company recorded a tax provision of zero, $0.1 million, and zero, respectively.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and 2022, the valuation allowance on the Company’s Taxable Subsidiaries’ net deferred tax asset was $3.9 million and $4.0 million, respectively. During the years ended December 31, 2023, 2022 and 2021, the Company's Taxable Subsidiaries recognized a (decrease) increase in the valuation allowance of $(0.1) million, $1.5 million, and $(2.1) million, respectively.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December 31, 2022, 2021 and 2020, the years the Company did not qualify as RIC, the valuation allowance on the Company’s net deferred tax asset was $31.9 million, $29.2 million and $33.3 million, respectively, excluding the Taxable Subsidiaries. For the years ended December 31, 2022, 2021 and 2020, the Company, excluding its Taxable Subsidiaries, recognized an increase (decrease) in the valuation allowance of $2.7 million, $(4.1) million, and $33.3 million, respectively. See “Note 7. – Income Taxes” for further details.</w:t>
      </w:r>
    </w:p>
    <w:p>
      <w:pPr>
        <w:pStyle w:val="TextBody"/>
        <w:bidi w:val="0"/>
        <w:spacing w:before="160" w:after="283"/>
        <w:jc w:val="both"/>
        <w:rPr>
          <w:rFonts w:ascii="Times New Roman" w:hAnsi="Times New Roman"/>
          <w:sz w:val="20"/>
        </w:rPr>
      </w:pPr>
      <w:r>
        <w:rPr>
          <w:rFonts w:ascii="Times New Roman" w:hAnsi="Times New Roman"/>
          <w:color w:val="000000"/>
          <w:sz w:val="16"/>
        </w:rPr>
        <w:t>In accordance with certain applicable U.S. Treasury regulations and other guidance issued by the Internal Revenue Service, a publicly offered RIC may treat a distribution of its own stock as fulfilling its RIC distribution requirements if each stockholder may elect to receive its entire distribution in either cash or stock of the RIC, subject to a limitation on the aggregate amount of cash available to be distributed to all stockholders, which limitation must be at least 20.0%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U.S. GAAP provides guidance on thresholds, measurement, de-recognition, classification, interest and penalties, accounting in interim periods, disclosure, and transition that is intended to provide better financial statement comparability among different entities.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ASC Topic 740 —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2023 and 2022, there were no uncertain tax positions.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concluded that it was not necessary to record a liability for any such tax positions as of December 31, 2023 or 2022.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Portfolio and Investment Activity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December 31, 2023, our portfolio consisted of investments in 60 portfolio companies with a fair value of approximately $189.7 million.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2023, none 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During the year ended December 31, 2023, we made approximately $33.2 million of investments and had approximately $43.7 million in repayments and sales of investments resulting in net repayments and sales of approximately $10.5 million for the year. During the year ended December 31, 2022, we made approximately $107.7 million of investments and had approximately $94.0 million in repayments and sales of investments resulting in net deployment of approximately $13.7 million for the year.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our debt investment portfolio, which represented 82.0% of the fair value of our total portfolio, had a weighted average annualized yield of approximately 11.1% (excluding the income from non-accruals and collateralized loan obligations). As of December 31, 2023, 13.6% of the fair value of our debt investment portfolio was bearing a fixed rate of interest. As of December 31, 2022, our debt investment portfolio, which represented 83.2% of the fair value of our total portfolio, had a weighted average annualized yield of approximately 10.4% (excluding the income from non-accruals and collateralized loan obligations). As of December 31, 2022, 17.2% of the fair value of our debt investment portfolio was bearing a fixed rate of interest.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the Company’s Adviser approved the fair value of the Company’s investment portfolio of approximately $189.7 million in good faith in accordance with the Company’s valuation procedures. The Company’s Adviser approved the fair value of the Company’s investment portfolio as of December 31, 2023 with input from third-party valuation firms and the Investment Adviser, as valuation designee, based on information known or knowable as of the valuation date, including trailing and forward looking data.</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we had debt investments in three portfolio companies on non-accrual status with an aggregate amortized cost of $17.2 million and an aggregate fair value of $12.8 million, which represented 8.7% and 6.8% of the investment portfolio, respectively. As of December 31, 2022, we had debt investments in one portfolio company on non-accrual status with an aggregate amortized cost of $11.9 million and an aggregate fair value of $9.7 million, which represented 5.4% and 4.8% of the investment portfolio,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40"/>
        <w:jc w:val="both"/>
        <w:rPr>
          <w:rFonts w:ascii="Times New Roman" w:hAnsi="Times New Roman"/>
          <w:color w:val="000000"/>
          <w:sz w:val="16"/>
        </w:rPr>
      </w:pPr>
      <w:r>
        <w:rPr>
          <w:rFonts w:ascii="Times New Roman" w:hAnsi="Times New Roman"/>
          <w:color w:val="000000"/>
          <w:sz w:val="16"/>
        </w:rPr>
        <w:t>The following table summarizes the amortized cost and the fair value of investments as of December 31, 2023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240"/>
        <w:jc w:val="both"/>
        <w:rPr>
          <w:rFonts w:ascii="Times New Roman" w:hAnsi="Times New Roman"/>
          <w:color w:val="000000"/>
          <w:sz w:val="16"/>
        </w:rPr>
      </w:pPr>
      <w:r>
        <w:rPr>
          <w:rFonts w:ascii="Times New Roman" w:hAnsi="Times New Roman"/>
          <w:color w:val="000000"/>
          <w:sz w:val="16"/>
        </w:rPr>
        <w:t>The following table summarizes the amortized cost and the fair value of investments as of December 31, 2022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160"/>
        <w:jc w:val="both"/>
        <w:rPr>
          <w:rFonts w:ascii="Times New Roman" w:hAnsi="Times New Roman"/>
          <w:sz w:val="20"/>
        </w:rPr>
      </w:pPr>
      <w:r>
        <w:rPr>
          <w:rFonts w:ascii="Times New Roman" w:hAnsi="Times New Roman"/>
          <w:color w:val="000000"/>
          <w:sz w:val="16"/>
        </w:rPr>
        <w:t>The following table shows the portfolio composition by industry grouping at fair value as of December 31, 2023 and 2022 (dollars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Entertainment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All investments by the Company as of December 31, 2023 and 2022 were made in portfolio companies located in the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Great Lakes Funding II LLC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August 2022, the Company invested in Great Lakes Funding II LLC - Series A (the “Great Lakes II Joint Venture”), a joint venture with an investment strategy to underwrite and hold senior, secured unitranche loans made to middle-market companies. The Company treats its investment in the Great Lakes II Joint Venture as a joint venture since an affiliate of the Adviser controls a 50% voting interest in the Great Lakes II Joint Venture.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Adviser or its affiliates have also invested in the Great Lakes II Joint Venture.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fair value of the Company’s investment in the Great Lakes II Joint Venture at December 31, 2023 was $0.5 million.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the Company has an unfunded commitment to the Great Lakes II Joint Venture of less than $0.1 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160" w:after="283"/>
        <w:jc w:val="both"/>
        <w:rPr>
          <w:rFonts w:ascii="Times New Roman" w:hAnsi="Times New Roman"/>
          <w:sz w:val="20"/>
        </w:rPr>
      </w:pPr>
      <w:r>
        <w:rPr>
          <w:rFonts w:ascii="Times New Roman" w:hAnsi="Times New Roman"/>
          <w:color w:val="000000"/>
          <w:sz w:val="16"/>
        </w:rPr>
        <w:t>Set forth below are the results of operations for the years ended December 31, 2023 and 2022. For information regarding results of operations for the year ended December 31, 2021, see the Company’s Form 10-K for the fiscal year ended December 31, 2022, located within Part II, Item 7. Management’s Discussion and Analysis of Financial Condition and Results of Operations as filed with the SEC on March 9, 2023, which is incorporated by reference herein.</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Our operating results for the years ended December 31, 2023 and 2022 were as follows (dollars in thousands):</w:t>
      </w:r>
      <w:r>
        <w:rPr>
          <w:rFonts w:ascii="Times New Roman" w:hAnsi="Times New Roman"/>
          <w:color w:val="000000"/>
          <w:sz w:val="20"/>
        </w:rPr>
        <w:t xml:space="preserve"> </w:t>
      </w:r>
    </w:p>
    <w:tbl>
      <w:tblPr>
        <w:tblW w:w="7841" w:type="dxa"/>
        <w:jc w:val="left"/>
        <w:tblInd w:w="0" w:type="dxa"/>
        <w:tblLayout w:type="fixed"/>
        <w:tblCellMar>
          <w:top w:w="28" w:type="dxa"/>
          <w:left w:w="28" w:type="dxa"/>
          <w:bottom w:w="28" w:type="dxa"/>
          <w:right w:w="28" w:type="dxa"/>
        </w:tblCellMar>
      </w:tblPr>
      <w:tblGrid>
        <w:gridCol w:w="4846"/>
        <w:gridCol w:w="146"/>
        <w:gridCol w:w="255"/>
        <w:gridCol w:w="861"/>
        <w:gridCol w:w="216"/>
        <w:gridCol w:w="190"/>
        <w:gridCol w:w="255"/>
        <w:gridCol w:w="86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20,177</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14,927</w:t>
            </w:r>
          </w:p>
        </w:tc>
        <w:tc>
          <w:tcPr>
            <w:tcW w:w="2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2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216"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FFFFFF" w:val="cle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60"/>
        <w:jc w:val="left"/>
        <w:rPr>
          <w:rFonts w:ascii="Times New Roman" w:hAnsi="Times New Roman"/>
          <w:sz w:val="20"/>
        </w:rPr>
      </w:pPr>
      <w:r>
        <w:rPr>
          <w:rFonts w:ascii="Times New Roman" w:hAnsi="Times New Roman"/>
          <w:b/>
          <w:i/>
          <w:color w:val="000000"/>
          <w:sz w:val="16"/>
        </w:rPr>
        <w:t>Investment income</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composition of our investment income for the years ended December 31, 2023 and 2022 was as follows (dollars in thousands):</w:t>
      </w:r>
      <w:r>
        <w:rPr>
          <w:rFonts w:ascii="Times New Roman" w:hAnsi="Times New Roman"/>
          <w:color w:val="000000"/>
          <w:sz w:val="20"/>
        </w:rPr>
        <w:t xml:space="preserve"> </w:t>
      </w:r>
    </w:p>
    <w:tbl>
      <w:tblPr>
        <w:tblW w:w="4806" w:type="dxa"/>
        <w:jc w:val="left"/>
        <w:tblInd w:w="0" w:type="dxa"/>
        <w:tblLayout w:type="fixed"/>
        <w:tblCellMar>
          <w:top w:w="28" w:type="dxa"/>
          <w:left w:w="28" w:type="dxa"/>
          <w:bottom w:w="28" w:type="dxa"/>
          <w:right w:w="28" w:type="dxa"/>
        </w:tblCellMar>
      </w:tblPr>
      <w:tblGrid>
        <w:gridCol w:w="1831"/>
        <w:gridCol w:w="146"/>
        <w:gridCol w:w="274"/>
        <w:gridCol w:w="841"/>
        <w:gridCol w:w="204"/>
        <w:gridCol w:w="204"/>
        <w:gridCol w:w="274"/>
        <w:gridCol w:w="84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18,366</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13,666</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20,177</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The income reported as interest income and PIK interest income is generally based on the stated rates as disclosed in our consolidated schedules of investments. Accretion of discounts received for originated and purchased loans is included in interest income as an adjustment to yield. As a general rule, interest income and PIK interest income are recurring in nature.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earn dividends on certain equity investments within our investment portfolio. As noted in our consolidated schedules of investments, some investments may be scheduled to pay a periodic dividend, though these recurring dividends do not make up a significant portion of our total investment income. We may receive, and have received, more substantial one-time dividends from our equity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also generate other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the year ended December 31, 2023, total investment income increased by $5.3 million, or 35.2%, compared to the year ended December 31, 2022.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increase from the prior year was driven primarily by an increase in interest income, from $13.7 million for the year ended December 31, 2022 to $18.4 million for the year ended December 31, 2023. The increase in interest income is primarily due to a larger interest earning debt portfolio as well as increases in base rates for the year ended December 31, 2023 compared to the year ended December 31, 2022.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more information on the effects and potential effects of the discontinuation of LIBOR, see “</w:t>
      </w:r>
      <w:r>
        <w:rPr>
          <w:rFonts w:ascii="Times New Roman" w:hAnsi="Times New Roman"/>
          <w:i/>
          <w:color w:val="000000"/>
          <w:sz w:val="16"/>
        </w:rPr>
        <w:t>The interest rates of some of our floating-rate loans to our portfolio companies may be priced using a spread over LIBOR, which is being phased out.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PIK income increased from $1.1 million for the year ended December 31, 2022 to $1.5 million for the year ended December 31, 2023. The increase in PIK income was due to an increase in investments with a contractual PIK rate.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Dividend income increased from less than $0.1 million for the year ended December 31, 2022 to $0.1 million for the year ended December 31, 2023 due to less one-time dividends received from portfolio companies during the year ended December 31, 2022.</w:t>
      </w:r>
    </w:p>
    <w:p>
      <w:pPr>
        <w:pStyle w:val="TextBody"/>
        <w:bidi w:val="0"/>
        <w:spacing w:before="160" w:after="283"/>
        <w:jc w:val="both"/>
        <w:rPr>
          <w:rFonts w:ascii="Times New Roman" w:hAnsi="Times New Roman"/>
          <w:sz w:val="20"/>
        </w:rPr>
      </w:pPr>
      <w:r>
        <w:rPr>
          <w:rFonts w:ascii="Times New Roman" w:hAnsi="Times New Roman"/>
          <w:color w:val="000000"/>
          <w:sz w:val="16"/>
        </w:rPr>
        <w:t>For the year ended December 31, 2023, we generated $0.3 million of other income primarily from origination fees, amendment fees, and prepayment fees received on new investments. Comparatively, for the year ended December 31, 2022, we generated $0.1 million primarily from origination fees received on new investments.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6"/>
        </w:rPr>
        <w:t>Operating expenses</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composition of our expenses for the years ended December 31, 2023 and 2022 was as follows (dollars in thousands):</w:t>
      </w:r>
      <w:r>
        <w:rPr>
          <w:rFonts w:ascii="Times New Roman" w:hAnsi="Times New Roman"/>
          <w:color w:val="000000"/>
          <w:sz w:val="20"/>
        </w:rPr>
        <w:t xml:space="preserve"> </w:t>
      </w:r>
    </w:p>
    <w:tbl>
      <w:tblPr>
        <w:tblW w:w="5616" w:type="dxa"/>
        <w:jc w:val="left"/>
        <w:tblInd w:w="0" w:type="dxa"/>
        <w:tblLayout w:type="fixed"/>
        <w:tblCellMar>
          <w:top w:w="28" w:type="dxa"/>
          <w:left w:w="28" w:type="dxa"/>
          <w:bottom w:w="28" w:type="dxa"/>
          <w:right w:w="28" w:type="dxa"/>
        </w:tblCellMar>
      </w:tblPr>
      <w:tblGrid>
        <w:gridCol w:w="2641"/>
        <w:gridCol w:w="146"/>
        <w:gridCol w:w="274"/>
        <w:gridCol w:w="841"/>
        <w:gridCol w:w="204"/>
        <w:gridCol w:w="204"/>
        <w:gridCol w:w="274"/>
        <w:gridCol w:w="84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7,815</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3,861</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16,330</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16"/>
        </w:rPr>
      </w:pPr>
      <w:r>
        <w:rPr>
          <w:rFonts w:ascii="Times New Roman" w:hAnsi="Times New Roman"/>
          <w:color w:val="000000"/>
          <w:sz w:val="16"/>
        </w:rPr>
        <w:t>For the year ended December 31, 2023, operating expenses increased by $0.2 million, or 1.5%, compared to the year ended December 31, 2022. Interest and financing expenses increased from $7.8 million for the year ended December 31, 2022 to $8.3 million for the year ended December 31, 2023 primarily due to a higher cost of capital during the year ended December 31, 2023 as a result of increases in base rates. Our base management fee declined from $3.9 million for the year ended December 31, 2022 to $3.7 million for the year ended December 31, 2023 due to lower average assets under management. No incentive fees were earned during the years ended December 31, 2023 and 2022. Administrative services fees increased to $0.9 million for the year ended December 31, 2023 from $0.6 million for the year ended December 31, 2022. General and administrative expenses decreased from $3.3 million for the year ended December 31, 2022 to $2.9 million for the year ended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16"/>
        </w:rPr>
        <w:t>Net realized gains (losses) on sales of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During the years ended December 31, 2023 and 2022, we recognized $16.4 million of net realized losses and $13.8 million of net realized gains on our portfolio investments, respectively. The change in realized gains and losses was primarily due to changes in the market conditions of our investments and the values at which they were realized, caused by the fluctuations in the market and in the economy.</w:t>
      </w:r>
    </w:p>
    <w:p>
      <w:pPr>
        <w:pStyle w:val="TextBody"/>
        <w:bidi w:val="0"/>
        <w:spacing w:before="240" w:after="283"/>
        <w:jc w:val="left"/>
        <w:rPr>
          <w:rFonts w:ascii="Times New Roman" w:hAnsi="Times New Roman"/>
          <w:sz w:val="20"/>
        </w:rPr>
      </w:pPr>
      <w:r>
        <w:rPr>
          <w:rFonts w:ascii="Times New Roman" w:hAnsi="Times New Roman"/>
          <w:b/>
          <w:i/>
          <w:color w:val="000000"/>
          <w:sz w:val="16"/>
        </w:rPr>
        <w:t>Net unrealized appreciation (depreciation) on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Net change in unrealized appreciation (depreciation) on investments reflects the net change in the fair value of our investment portfolio. For the years ended December 31, 2023 and 2022, we had $10.1 million and $(24.6) million of net change in unrealized appreciation (depreciation) on investments, respectively. The net change in unrealized appreciation (depreciation) our investments for the year ended December 31, 2023 compared to the prior year was primarily due to changes in the capital market conditions of our investments and the values at which they were realized, caused by the fluctuation in the market and in the economy.</w:t>
      </w:r>
    </w:p>
    <w:p>
      <w:pPr>
        <w:pStyle w:val="TextBody"/>
        <w:bidi w:val="0"/>
        <w:spacing w:before="240" w:after="283"/>
        <w:jc w:val="left"/>
        <w:rPr>
          <w:rFonts w:ascii="Times New Roman" w:hAnsi="Times New Roman"/>
          <w:sz w:val="20"/>
        </w:rPr>
      </w:pPr>
      <w:r>
        <w:rPr>
          <w:rFonts w:ascii="Times New Roman" w:hAnsi="Times New Roman"/>
          <w:b/>
          <w:i/>
          <w:color w:val="000000"/>
          <w:sz w:val="16"/>
        </w:rPr>
        <w:t>Changes in net assets resulting from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the years ended December 31, 2023 and 2022, we recorded a net decrease in net assets resulting from operations of $2.5 million and $12.0 million, respectively. Based on the weighted average shares of common stock outstanding for the years ended December 31, 2023 and 2022, our per share net decrease in net assets resulting from operations was $0.92 and $4.44,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For the years ended December 31, 2022 and 2021</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comparison of the fiscal years ended December 31, 2022 and 2021 can be found in our annual report on Form 10-K for the fiscal year ended December 31, 2022 located within Part II, Item 7. Management’s Discussion and Analysis of Financial Condition and Results of Operations, which is incorporated by reference herein.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LIQUIDITY AND CAPITAL RESOURCES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December 31, 2023, we had $3.9 million in cash and cash equivalents, and our net assets totaled $89.2 million.</w:t>
      </w:r>
    </w:p>
    <w:p>
      <w:pPr>
        <w:pStyle w:val="TextBody"/>
        <w:bidi w:val="0"/>
        <w:spacing w:before="160" w:after="283"/>
        <w:jc w:val="both"/>
        <w:rPr>
          <w:rFonts w:ascii="Times New Roman" w:hAnsi="Times New Roman"/>
          <w:sz w:val="20"/>
        </w:rPr>
      </w:pPr>
      <w:r>
        <w:rPr>
          <w:rFonts w:ascii="Times New Roman" w:hAnsi="Times New Roman"/>
          <w:color w:val="000000"/>
          <w:sz w:val="16"/>
        </w:rPr>
        <w:t>We use and intend to use existing cash primarily to originate investments in new and existing portfolio companies, pay distributions to our stockholders, and repay indebtedness.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Since our IPO, we have raised approximately $136.0 million in net proceeds from equity offerings through December 31, 2023.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KeyBank Credit Facility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000000"/>
          <w:sz w:val="20"/>
        </w:rPr>
        <w:t xml:space="preserve"> </w:t>
      </w:r>
      <w:r>
        <w:rPr>
          <w:rFonts w:ascii="Times New Roman" w:hAnsi="Times New Roman"/>
          <w:color w:val="000000"/>
          <w:sz w:val="16"/>
        </w:rPr>
        <w:t>As of December 31, 2023, there were draws of $39.6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on the KeyBank Credit Facility. The KeyBank Credit Facility includes customary events of default for revolving credit facilities of this nature. As of December 31, 2023, assets pledged to secure the KeyBank Credit Facility had a fair value of $111.2 million.</w:t>
      </w:r>
    </w:p>
    <w:p>
      <w:pPr>
        <w:pStyle w:val="TextBody"/>
        <w:bidi w:val="0"/>
        <w:spacing w:before="240" w:after="120"/>
        <w:jc w:val="both"/>
        <w:rPr>
          <w:rFonts w:ascii="Times New Roman" w:hAnsi="Times New Roman"/>
          <w:sz w:val="20"/>
        </w:rPr>
      </w:pPr>
      <w:r>
        <w:rPr>
          <w:rFonts w:ascii="Times New Roman" w:hAnsi="Times New Roman"/>
          <w:b/>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we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 April 1, 2032</w:t>
      </w:r>
      <w:r>
        <w:rPr>
          <w:rFonts w:ascii="Times New Roman" w:hAnsi="Times New Roman"/>
          <w:color w:val="000000"/>
          <w:sz w:val="20"/>
        </w:rPr>
        <w:t xml:space="preserve"> </w:t>
      </w:r>
      <w:r>
        <w:rPr>
          <w:rFonts w:ascii="Times New Roman" w:hAnsi="Times New Roman"/>
          <w:color w:val="000000"/>
          <w:sz w:val="16"/>
        </w:rPr>
        <w:t>(the “2032 Convertible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w:t>
      </w:r>
      <w:r>
        <w:rPr>
          <w:rFonts w:ascii="Times New Roman" w:hAnsi="Times New Roman"/>
          <w:color w:val="000000"/>
          <w:sz w:val="20"/>
        </w:rPr>
        <w:t xml:space="preserve"> </w:t>
      </w:r>
      <w:r>
        <w:rPr>
          <w:rFonts w:ascii="Times New Roman" w:hAnsi="Times New Roman"/>
          <w:color w:val="000000"/>
          <w:sz w:val="16"/>
        </w:rPr>
        <w:t>We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color w:val="000000"/>
          <w:sz w:val="20"/>
        </w:rPr>
        <w:t xml:space="preserve"> </w:t>
      </w:r>
      <w:r>
        <w:rPr>
          <w:rFonts w:ascii="Times New Roman" w:hAnsi="Times New Roman"/>
          <w:color w:val="000000"/>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We have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We will also be required to pay an additional interest rate of 2.0% per annum (x) on any overdue payment of interest and (y) during the continuance of an “Event of Default.”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The Company, at its option, may satisfy any payment, redemption, conversion or pre-payment obligations under the Purchase Agreement by issuing shares of common stock, paying cash or some combination of both issuing shares of common stock and paying cash. No “sinking fund” is provided for the 2032 Convertible Notes. As of December 31, 2023, the Company had $15.0 million in 2032 Convertible Notes outstanding.</w:t>
      </w:r>
    </w:p>
    <w:p>
      <w:pPr>
        <w:pStyle w:val="TextBody"/>
        <w:bidi w:val="0"/>
        <w:spacing w:before="160" w:after="283"/>
        <w:jc w:val="both"/>
        <w:rPr>
          <w:rFonts w:ascii="Times New Roman" w:hAnsi="Times New Roman"/>
          <w:sz w:val="20"/>
        </w:rPr>
      </w:pPr>
      <w:r>
        <w:rPr>
          <w:rFonts w:ascii="Times New Roman" w:hAnsi="Times New Roman"/>
          <w:b/>
          <w:color w:val="231F20"/>
          <w:sz w:val="16"/>
        </w:rPr>
        <w:t>2026 Notes</w:t>
      </w:r>
      <w:r>
        <w:rPr>
          <w:rFonts w:ascii="Times New Roman" w:hAnsi="Times New Roman"/>
          <w:color w:val="231F2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231F20"/>
          <w:sz w:val="16"/>
        </w:rPr>
        <w:t>On October 29, 2021, we issued $50.0</w:t>
      </w:r>
      <w:r>
        <w:rPr>
          <w:rFonts w:ascii="Times New Roman" w:hAnsi="Times New Roman"/>
          <w:color w:val="231F20"/>
          <w:sz w:val="20"/>
        </w:rPr>
        <w:t xml:space="preserve"> </w:t>
      </w:r>
      <w:r>
        <w:rPr>
          <w:rFonts w:ascii="Times New Roman" w:hAnsi="Times New Roman"/>
          <w:color w:val="231F20"/>
          <w:sz w:val="16"/>
        </w:rPr>
        <w:t>million in aggregate principal amount of 5.25% fixed rate</w:t>
      </w:r>
      <w:r>
        <w:rPr>
          <w:rFonts w:ascii="Times New Roman" w:hAnsi="Times New Roman"/>
          <w:color w:val="231F20"/>
          <w:sz w:val="20"/>
        </w:rPr>
        <w:t xml:space="preserve"> </w:t>
      </w:r>
      <w:r>
        <w:rPr>
          <w:rFonts w:ascii="Times New Roman" w:hAnsi="Times New Roman"/>
          <w:color w:val="231F20"/>
          <w:sz w:val="16"/>
        </w:rPr>
        <w:t>notes due October 30, 2026</w:t>
      </w:r>
      <w:r>
        <w:rPr>
          <w:rFonts w:ascii="Times New Roman" w:hAnsi="Times New Roman"/>
          <w:color w:val="231F20"/>
          <w:sz w:val="20"/>
        </w:rPr>
        <w:t xml:space="preserve"> </w:t>
      </w:r>
      <w:r>
        <w:rPr>
          <w:rFonts w:ascii="Times New Roman" w:hAnsi="Times New Roman"/>
          <w:color w:val="231F20"/>
          <w:sz w:val="16"/>
        </w:rPr>
        <w:t xml:space="preserve">(the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w:t>
      </w:r>
      <w:r>
        <w:rPr>
          <w:rFonts w:ascii="Times New Roman" w:hAnsi="Times New Roman"/>
          <w:color w:val="000000"/>
          <w:sz w:val="16"/>
        </w:rPr>
        <w:t>The Notes will mature on October 30, 2026 and may be redeemed in whole or in part at the Company’s option at any time or from time to time at the redemption prices set forth in the Indenture.</w:t>
      </w:r>
      <w:r>
        <w:rPr>
          <w:rFonts w:ascii="Times New Roman" w:hAnsi="Times New Roman"/>
          <w:color w:val="000000"/>
          <w:sz w:val="20"/>
        </w:rPr>
        <w:t xml:space="preserve"> </w:t>
      </w:r>
      <w:r>
        <w:rPr>
          <w:rFonts w:ascii="Times New Roman" w:hAnsi="Times New Roman"/>
          <w:color w:val="000000"/>
          <w:sz w:val="16"/>
        </w:rPr>
        <w:t>The Notes bear interest at a rate of 5.25% per year payable semi-annually on April 30 and October 30 of each year, commencing on April 30, 2022.</w:t>
      </w:r>
      <w:r>
        <w:rPr>
          <w:rFonts w:ascii="Times New Roman" w:hAnsi="Times New Roman"/>
          <w:color w:val="000000"/>
          <w:sz w:val="20"/>
        </w:rPr>
        <w:t xml:space="preserve"> </w:t>
      </w:r>
      <w:r>
        <w:rPr>
          <w:rFonts w:ascii="Times New Roman" w:hAnsi="Times New Roman"/>
          <w:color w:val="000000"/>
          <w:sz w:val="16"/>
        </w:rPr>
        <w:t xml:space="preserve">The Notes are general unsecured obligations of the Company that rank senior in right of payment to all of the Company’s existing and future indebtedness that is expressly subordinated in right of payment to the Notes, rank </w:t>
      </w:r>
      <w:r>
        <w:rPr>
          <w:rFonts w:ascii="Times New Roman" w:hAnsi="Times New Roman"/>
          <w:i/>
          <w:color w:val="000000"/>
          <w:sz w:val="16"/>
        </w:rPr>
        <w:t>pari passu</w:t>
      </w:r>
      <w:r>
        <w:rPr>
          <w:rFonts w:ascii="Times New Roman" w:hAnsi="Times New Roman"/>
          <w:color w:val="000000"/>
          <w:sz w:val="16"/>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60" w:after="283"/>
        <w:jc w:val="both"/>
        <w:rPr>
          <w:rFonts w:ascii="Times New Roman" w:hAnsi="Times New Roman"/>
          <w:sz w:val="20"/>
        </w:rPr>
      </w:pPr>
      <w:r>
        <w:rPr>
          <w:rFonts w:ascii="Times New Roman" w:hAnsi="Times New Roman"/>
          <w:color w:val="231F20"/>
          <w:sz w:val="16"/>
        </w:rPr>
        <w:t>As of December 31, 2023, we had approximately $50.0</w:t>
      </w:r>
      <w:r>
        <w:rPr>
          <w:rFonts w:ascii="Times New Roman" w:hAnsi="Times New Roman"/>
          <w:color w:val="231F20"/>
          <w:sz w:val="20"/>
        </w:rPr>
        <w:t xml:space="preserve"> </w:t>
      </w:r>
      <w:r>
        <w:rPr>
          <w:rFonts w:ascii="Times New Roman" w:hAnsi="Times New Roman"/>
          <w:color w:val="231F20"/>
          <w:sz w:val="16"/>
        </w:rPr>
        <w:t>million</w:t>
      </w:r>
      <w:r>
        <w:rPr>
          <w:rFonts w:ascii="Times New Roman" w:hAnsi="Times New Roman"/>
          <w:color w:val="231F20"/>
          <w:sz w:val="20"/>
        </w:rPr>
        <w:t xml:space="preserve"> </w:t>
      </w:r>
      <w:r>
        <w:rPr>
          <w:rFonts w:ascii="Times New Roman" w:hAnsi="Times New Roman"/>
          <w:color w:val="231F20"/>
          <w:sz w:val="16"/>
        </w:rPr>
        <w:t>in aggregate principal amount of 2026 Notes outstanding.</w:t>
      </w:r>
      <w:r>
        <w:rPr>
          <w:rFonts w:ascii="Times New Roman" w:hAnsi="Times New Roman"/>
          <w:color w:val="231F20"/>
          <w:sz w:val="20"/>
        </w:rPr>
        <w:t xml:space="preserve"> </w:t>
      </w:r>
    </w:p>
    <w:p>
      <w:pPr>
        <w:pStyle w:val="TextBody"/>
        <w:bidi w:val="0"/>
        <w:spacing w:before="160" w:after="283"/>
        <w:jc w:val="both"/>
        <w:rPr>
          <w:rFonts w:ascii="Times New Roman" w:hAnsi="Times New Roman"/>
          <w:sz w:val="20"/>
        </w:rPr>
      </w:pPr>
      <w:r>
        <w:rPr>
          <w:rFonts w:ascii="Times New Roman" w:hAnsi="Times New Roman"/>
          <w:b/>
          <w:color w:val="231F20"/>
          <w:sz w:val="16"/>
        </w:rPr>
        <w:t>Asset Coverage Ratio</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ratio requirement for senior securities was changed from 200% to 150%, effective November 1, 2019. As of December 31, 2023, our asset coverage ratio was 184%. If our asset coverage ratio falls below 150% due a decline in the fair market of our portfolio, we may be limited in our ability to raise additional debt.</w:t>
      </w:r>
    </w:p>
    <w:p>
      <w:pPr>
        <w:pStyle w:val="TextBody"/>
        <w:bidi w:val="0"/>
        <w:spacing w:before="240" w:after="283"/>
        <w:jc w:val="left"/>
        <w:rPr>
          <w:rFonts w:ascii="Times New Roman" w:hAnsi="Times New Roman"/>
          <w:sz w:val="20"/>
        </w:rPr>
      </w:pPr>
      <w:r>
        <w:rPr>
          <w:rFonts w:ascii="Times New Roman" w:hAnsi="Times New Roman"/>
          <w:b/>
          <w:color w:val="000000"/>
          <w:sz w:val="16"/>
        </w:rPr>
        <w:t>Contractual Obligations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A summary of our significant contractual payment obligations as of December 31, 2023 are as follows (dollars in millions):</w:t>
      </w:r>
      <w:r>
        <w:rPr>
          <w:rFonts w:ascii="Times New Roman" w:hAnsi="Times New Roman"/>
          <w:color w:val="000000"/>
          <w:sz w:val="20"/>
        </w:rPr>
        <w:t xml:space="preserve"> </w:t>
      </w:r>
    </w:p>
    <w:tbl>
      <w:tblPr>
        <w:tblW w:w="6867" w:type="dxa"/>
        <w:jc w:val="left"/>
        <w:tblInd w:w="0" w:type="dxa"/>
        <w:tblLayout w:type="fixed"/>
        <w:tblCellMar>
          <w:top w:w="28" w:type="dxa"/>
          <w:left w:w="28" w:type="dxa"/>
          <w:bottom w:w="28" w:type="dxa"/>
          <w:right w:w="28" w:type="dxa"/>
        </w:tblCellMar>
      </w:tblPr>
      <w:tblGrid>
        <w:gridCol w:w="2161"/>
        <w:gridCol w:w="146"/>
        <w:gridCol w:w="217"/>
        <w:gridCol w:w="383"/>
        <w:gridCol w:w="146"/>
        <w:gridCol w:w="146"/>
        <w:gridCol w:w="196"/>
        <w:gridCol w:w="421"/>
        <w:gridCol w:w="146"/>
        <w:gridCol w:w="146"/>
        <w:gridCol w:w="196"/>
        <w:gridCol w:w="421"/>
        <w:gridCol w:w="146"/>
        <w:gridCol w:w="146"/>
        <w:gridCol w:w="209"/>
        <w:gridCol w:w="451"/>
        <w:gridCol w:w="146"/>
        <w:gridCol w:w="146"/>
        <w:gridCol w:w="196"/>
        <w:gridCol w:w="51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Obligations 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w:t>
              <w:br/>
              <w:t>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16"/>
        </w:rPr>
        <w:t>Senior Securities</w:t>
      </w:r>
      <w:r>
        <w:rPr>
          <w:rFonts w:ascii="Times New Roman" w:hAnsi="Times New Roman"/>
          <w:color w:val="000000"/>
          <w:sz w:val="20"/>
        </w:rPr>
        <w:t xml:space="preserve"> </w:t>
      </w:r>
    </w:p>
    <w:p>
      <w:pPr>
        <w:pStyle w:val="TextBody"/>
        <w:bidi w:val="0"/>
        <w:spacing w:before="160" w:after="240"/>
        <w:jc w:val="both"/>
        <w:rPr>
          <w:rFonts w:ascii="Times New Roman" w:hAnsi="Times New Roman"/>
          <w:color w:val="000000"/>
          <w:sz w:val="16"/>
        </w:rPr>
      </w:pPr>
      <w:r>
        <w:rPr>
          <w:rFonts w:ascii="Times New Roman" w:hAnsi="Times New Roman"/>
          <w:color w:val="000000"/>
          <w:sz w:val="16"/>
        </w:rPr>
        <w:t>Information about the Company’s senior securities as of December 31, 2023, 2022, 2021, 2020, 2019, 2018, 2017, 2016, 2015, and 2014 are shown in the following table.</w:t>
      </w:r>
    </w:p>
    <w:tbl>
      <w:tblPr>
        <w:tblW w:w="9449" w:type="dxa"/>
        <w:jc w:val="left"/>
        <w:tblInd w:w="0" w:type="dxa"/>
        <w:tblLayout w:type="fixed"/>
        <w:tblCellMar>
          <w:top w:w="28" w:type="dxa"/>
          <w:left w:w="28" w:type="dxa"/>
          <w:bottom w:w="28" w:type="dxa"/>
          <w:right w:w="28" w:type="dxa"/>
        </w:tblCellMar>
      </w:tblPr>
      <w:tblGrid>
        <w:gridCol w:w="2146"/>
        <w:gridCol w:w="146"/>
        <w:gridCol w:w="482"/>
        <w:gridCol w:w="1708"/>
        <w:gridCol w:w="146"/>
        <w:gridCol w:w="146"/>
        <w:gridCol w:w="265"/>
        <w:gridCol w:w="695"/>
        <w:gridCol w:w="146"/>
        <w:gridCol w:w="146"/>
        <w:gridCol w:w="488"/>
        <w:gridCol w:w="1162"/>
        <w:gridCol w:w="146"/>
        <w:gridCol w:w="146"/>
        <w:gridCol w:w="356"/>
        <w:gridCol w:w="934"/>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 Outstanding</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Assets </w:t>
              <w:br/>
              <w:t xml:space="preserve">Coverage </w:t>
              <w:br/>
              <w:t>Per Unit</w:t>
            </w:r>
            <w:r>
              <w:rPr>
                <w:rFonts w:ascii="Times New Roman" w:hAnsi="Times New Roman"/>
                <w:b/>
                <w:color w:val="000000"/>
                <w:sz w:val="11"/>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Involuntary </w:t>
              <w:br/>
              <w:t xml:space="preserve">Liquidation </w:t>
              <w:br/>
              <w:t>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Average </w:t>
              <w:br/>
              <w:t xml:space="preserve">Market </w:t>
              <w:br/>
              <w:t>Value per Unit</w:t>
            </w:r>
            <w:r>
              <w:rPr>
                <w:rFonts w:ascii="Times New Roman" w:hAnsi="Times New Roman"/>
                <w:b/>
                <w:color w:val="000000"/>
                <w:sz w:val="11"/>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u w:val="single"/>
              </w:rPr>
              <w:t>KeyBank Credit Facility</w:t>
            </w:r>
            <w:r>
              <w:rPr>
                <w:rFonts w:ascii="Times New Roman" w:hAnsi="Times New Roman"/>
                <w:b/>
                <w:color w:val="000000"/>
                <w:sz w:val="11"/>
                <w:u w:val="single"/>
              </w:rPr>
              <w:t>(5)</w:t>
            </w:r>
          </w:p>
        </w:tc>
        <w:tc>
          <w:tcPr>
            <w:tcW w:w="146" w:type="dxa"/>
            <w:tcBorders/>
            <w:shd w:fill="CFF0FC" w:val="clear"/>
            <w:vAlign w:val="center"/>
          </w:tcPr>
          <w:p>
            <w:pPr>
              <w:pStyle w:val="TableContents"/>
              <w:bidi w:val="0"/>
              <w:spacing w:before="0" w:after="283"/>
              <w:jc w:val="left"/>
              <w:rPr/>
            </w:pPr>
            <w:r>
              <w:rPr/>
              <w:t> </w:t>
            </w:r>
          </w:p>
        </w:tc>
        <w:tc>
          <w:tcPr>
            <w:tcW w:w="21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2020</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u w:val="single"/>
              </w:rPr>
              <w:t>ING Credit Facility</w:t>
            </w:r>
            <w:r>
              <w:rPr>
                <w:rFonts w:ascii="Times New Roman" w:hAnsi="Times New Roman"/>
                <w:b/>
                <w:color w:val="000000"/>
                <w:sz w:val="11"/>
                <w:u w:val="single"/>
              </w:rPr>
              <w:t>(5)</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2019</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2018</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2017</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2016</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2015</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2014</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2032 Convertible Notes</w:t>
            </w:r>
          </w:p>
        </w:tc>
        <w:tc>
          <w:tcPr>
            <w:tcW w:w="146" w:type="dxa"/>
            <w:tcBorders/>
            <w:shd w:fill="CFF0FC" w:val="clear"/>
            <w:vAlign w:val="center"/>
          </w:tcPr>
          <w:p>
            <w:pPr>
              <w:pStyle w:val="TableContents"/>
              <w:bidi w:val="0"/>
              <w:spacing w:before="0" w:after="283"/>
              <w:jc w:val="left"/>
              <w:rPr/>
            </w:pPr>
            <w:r>
              <w:rPr/>
              <w:t> </w:t>
            </w:r>
          </w:p>
        </w:tc>
        <w:tc>
          <w:tcPr>
            <w:tcW w:w="21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2026 Notes</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2022 Notes</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2020</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2019</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2018</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2017</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2022 Convertible Notes</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2020</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2019</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2018</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2017</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SBA-guaranteed debentures</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2020</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2019</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2018</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2017</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2016</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6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2015</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2014</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2021 Notes</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2016</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91" w:type="dxa"/>
            <w:tcBorders/>
            <w:shd w:fill="CFF0FC" w:val="clear"/>
            <w:vAlign w:val="center"/>
          </w:tcPr>
          <w:p>
            <w:pPr>
              <w:pStyle w:val="TableContents"/>
              <w:bidi w:val="0"/>
              <w:spacing w:before="0" w:after="283"/>
              <w:jc w:val="left"/>
              <w:rPr/>
            </w:pPr>
            <w:r>
              <w:rPr/>
              <w:t> </w:t>
            </w:r>
          </w:p>
        </w:tc>
      </w:tr>
      <w:tr>
        <w:trPr/>
        <w:tc>
          <w:tcPr>
            <w:tcW w:w="21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2015</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91" w:type="dxa"/>
            <w:tcBorders/>
            <w:shd w:fill="FFFFFF" w:val="clear"/>
            <w:vAlign w:val="center"/>
          </w:tcPr>
          <w:p>
            <w:pPr>
              <w:pStyle w:val="TableContents"/>
              <w:bidi w:val="0"/>
              <w:spacing w:before="0" w:after="283"/>
              <w:jc w:val="left"/>
              <w:rPr/>
            </w:pPr>
            <w:r>
              <w:rPr/>
              <w:t> </w:t>
            </w:r>
          </w:p>
        </w:tc>
      </w:tr>
      <w:tr>
        <w:trPr/>
        <w:tc>
          <w:tcPr>
            <w:tcW w:w="21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2014</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170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Total amount of each class of senior securities outstanding at the end of the period presented in thousands.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Amounts are rounded to the nearest $1,000.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On June 19, 2020, the Company unilaterally terminated the ING Credit Facility.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jc w:val="both"/>
        <w:rPr/>
      </w:pPr>
      <w:r>
        <w:rPr>
          <w:rFonts w:ascii="Times New Roman" w:hAnsi="Times New Roman"/>
          <w:color w:val="000000"/>
          <w:sz w:val="13"/>
        </w:rPr>
        <w:t>We have excluded our SBA-guaranteed debentures from the asset coverage calculation as of December 31, 2020, 2019, 2018, 2017, 2016 and 2015 pursuant to the exemptive relief granted by the SEC in June 2014 that permits us to exclude such debentures from the definition of senior securities in the asset coverage ratio we are required to satisfy under the 1940 Act.</w:t>
      </w:r>
      <w:r>
        <w:rPr>
          <w:color w:val="00000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order to qualify as a RIC and to avoid corporate-level U.S. federal income tax on the income we timely distribute to our stockholders, we are required to distribute at least 90% of our ordinary income and our net short-term capital gains in excess of net long-term capital losses, if any, to our stockholders on an annual basis. Additionally, to avoid U.S. federal excise tax, we must distribute for each calendar year an amount at least equal to the sum of 98% of our ordinary income (during the calendar year) plus 98.2% of our capital gain net income (during each 12-month period ending on October 31 in that calendar year) plus any ordinary income and capital gain net income that we recognized for preceding years, but were not distributed during such years, and on which we paid no U.S. federal income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assets legally available for distribution. During the year ended December 31, 2023, the Company made distributions of $0.96 per share. The Company’s Board determined not to declare any distributions during the years ended December 31, 2022 and 2021.</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Related Parties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We have entered into the Investment Advisory Agreement with the Investment Adviser. </w:t>
      </w:r>
      <w:r>
        <w:rPr>
          <w:rFonts w:ascii="Times New Roman" w:hAnsi="Times New Roman"/>
          <w:color w:val="231F20"/>
          <w:sz w:val="16"/>
        </w:rPr>
        <w:t>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Advisers Act. The Investment Adviser is an affiliate of BC Partners Advisors L.P. for U.S. regulatory purposes. MLC is the ultimate control person of the Investment Adviser.</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pStyle w:val="TextBody"/>
        <w:bidi w:val="0"/>
        <w:spacing w:before="160" w:after="283"/>
        <w:jc w:val="both"/>
        <w:rPr>
          <w:rFonts w:ascii="Times New Roman" w:hAnsi="Times New Roman"/>
          <w:sz w:val="20"/>
        </w:rPr>
      </w:pPr>
      <w:r>
        <w:rPr>
          <w:rFonts w:ascii="Times New Roman" w:hAnsi="Times New Roman"/>
          <w:color w:val="000000"/>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231F20"/>
          <w:sz w:val="20"/>
        </w:rPr>
        <w:t xml:space="preserve"> </w:t>
      </w:r>
      <w:r>
        <w:rPr>
          <w:rFonts w:ascii="Times New Roman" w:hAnsi="Times New Roman"/>
          <w:color w:val="231F20"/>
          <w:sz w:val="16"/>
        </w:rPr>
        <w:t>Under the terms of the exemptive order, in order for Logan Ridge to participate in a co-investment transaction, a “required majority” (as defined in Section 57(o) of the 1940 Act) of Logan Ridge’s independent directors</w:t>
      </w:r>
      <w:r>
        <w:rPr>
          <w:rFonts w:ascii="Times New Roman" w:hAnsi="Times New Roman"/>
          <w:strike/>
          <w:color w:val="231F20"/>
          <w:sz w:val="16"/>
        </w:rPr>
        <w:t>,</w:t>
      </w:r>
      <w:r>
        <w:rPr>
          <w:rFonts w:ascii="Times New Roman" w:hAnsi="Times New Roman"/>
          <w:color w:val="231F20"/>
          <w:sz w:val="20"/>
        </w:rPr>
        <w:t xml:space="preserve"> </w:t>
      </w:r>
      <w:r>
        <w:rPr>
          <w:rFonts w:ascii="Times New Roman" w:hAnsi="Times New Roman"/>
          <w:color w:val="231F20"/>
          <w:sz w:val="16"/>
        </w:rPr>
        <w:t>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6"/>
        </w:rPr>
        <w:t>Off-Balance Sheet Arrangements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As of December 31, 2023 and 2022, the Company had the following unfunded commitments to existing portfolio companies (dollars in thousands):</w:t>
      </w:r>
    </w:p>
    <w:tbl>
      <w:tblPr>
        <w:tblW w:w="10205" w:type="dxa"/>
        <w:jc w:val="left"/>
        <w:tblInd w:w="0" w:type="dxa"/>
        <w:tblLayout w:type="fixed"/>
        <w:tblCellMar>
          <w:top w:w="28" w:type="dxa"/>
          <w:left w:w="28" w:type="dxa"/>
          <w:bottom w:w="28" w:type="dxa"/>
          <w:right w:w="28" w:type="dxa"/>
        </w:tblCellMar>
      </w:tblPr>
      <w:tblGrid>
        <w:gridCol w:w="4251"/>
        <w:gridCol w:w="2719"/>
        <w:gridCol w:w="332"/>
        <w:gridCol w:w="247"/>
        <w:gridCol w:w="868"/>
        <w:gridCol w:w="146"/>
        <w:gridCol w:w="355"/>
        <w:gridCol w:w="1092"/>
        <w:gridCol w:w="195"/>
      </w:tblGrid>
      <w:tr>
        <w:trPr/>
        <w:tc>
          <w:tcPr>
            <w:tcW w:w="425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2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w:t>
            </w:r>
          </w:p>
        </w:tc>
        <w:tc>
          <w:tcPr>
            <w:tcW w:w="14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Accordion Partners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11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Critical Nurse Staffing,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Epic Staffing Group</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Keg Logistics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Marble Point Credit Management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111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Premier Imaging,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719"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jc w:val="both"/>
        <w:rPr>
          <w:rFonts w:ascii="Times New Roman" w:hAnsi="Times New Roman"/>
          <w:color w:val="000000"/>
          <w:sz w:val="13"/>
        </w:rPr>
      </w:pPr>
      <w:r>
        <w:rPr>
          <w:rFonts w:ascii="Times New Roman" w:hAnsi="Times New Roman"/>
          <w:color w:val="000000"/>
          <w:sz w:val="13"/>
        </w:rPr>
        <w:t>Delayed-draw term loan.</w:t>
      </w:r>
    </w:p>
    <w:p>
      <w:pPr>
        <w:pStyle w:val="TextBody"/>
        <w:bidi w:val="0"/>
        <w:spacing w:before="160" w:after="283"/>
        <w:jc w:val="both"/>
        <w:rPr>
          <w:rFonts w:ascii="Times New Roman" w:hAnsi="Times New Roman"/>
          <w:sz w:val="20"/>
        </w:rPr>
      </w:pPr>
      <w:r>
        <w:rPr>
          <w:rFonts w:ascii="Times New Roman" w:hAnsi="Times New Roman"/>
          <w:color w:val="000000"/>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Recent Developments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On March 11, 2024, the Company’s Board of Directors authorized a new share repurchase program, whereby the Company may repurchase up to an aggregate of $5.0 million of its outstanding common shares in the open market. Unless extended or discontinued by the Company’s Board of Directors, the repurchase program will terminate on March 31, 2025.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On March 11, 2024, the Company’s Board of Directors approved a distribution of $0.32 per share payable on April 2, 2024 to stockholders of record as of March 25, 2024.</w:t>
      </w:r>
    </w:p>
    <w:p>
      <w:pPr>
        <w:pStyle w:val="TextBody"/>
        <w:bidi w:val="0"/>
        <w:spacing w:before="160" w:after="283"/>
        <w:jc w:val="left"/>
        <w:rPr>
          <w:rFonts w:ascii="Times New Roman" w:hAnsi="Times New Roman"/>
          <w:sz w:val="20"/>
        </w:rPr>
      </w:pPr>
      <w:r>
        <w:rPr>
          <w:rFonts w:ascii="Times New Roman" w:hAnsi="Times New Roman"/>
          <w:color w:val="000000"/>
          <w:sz w:val="16"/>
        </w:rPr>
        <w:t>On March 11, 2024, Brandon Satoren was appointed by the Board as Chief Financial Officer of the Company, effective April 1, 2024. Mr. Satoren currently serves as the Chief Accounting Officer, Secretary and Treasurer of the Company, and will remain in those roles. Mr. Satoren serves as the Chief Accounting Officer, Secretary, and Treasurer of other registered investment companies within the broader BC Partners Credit platform, and has over 14 years of experience in the asset management industry.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The Company does not pay cash compensation or provide other benefits directly to Mr. Satoren or to any of its other executive officers. Mr. Satoren is an employee of BC Partners Advisors LP, the indirect sole owner of the Administrator, which is compensated for the services it provides to the Company pursuant to the terms of the Administration Agreement. Pursuant to the Administration Agreement, the Company makes payments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Mr. Satoren.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Mr. Satoren: (i) was not appointed as the Company’s Chief Financial Officer pursuant to any arrangement or understanding with any other person; (ii) does not have a family relationship with any of the Company’s directors or other executive officers; and (iii) there are no transactions in which Mr. Satoren has an interest requiring disclosure under Item 404(a) of Regulation S-K.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On March 11, 2024, the Board received and accepted the resignation of Jason T. Roos from his position as the Chief Financial Officer of the Company, effective March 31, 2024. Mr. Roos’ resignation is not related or due to any disagreement with the Company on any matter relating to the Company’s operations, policies or practices. Mr. Roos will serve in an advisory role at BC Partners Advisors LP for an extended period of time.</w:t>
      </w:r>
    </w:p>
    <w:p>
      <w:pPr>
        <w:pStyle w:val="TextBody"/>
        <w:bidi w:val="0"/>
        <w:spacing w:before="240" w:after="283"/>
        <w:jc w:val="left"/>
        <w:rPr>
          <w:rFonts w:ascii="Times New Roman" w:hAnsi="Times New Roman"/>
          <w:sz w:val="20"/>
        </w:rPr>
      </w:pPr>
      <w:r>
        <w:rPr>
          <w:rFonts w:ascii="Times New Roman" w:hAnsi="Times New Roman"/>
          <w:b/>
          <w:color w:val="000000"/>
          <w:sz w:val="16"/>
        </w:rPr>
        <w:t>Critical Accounting Policies and Estimates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Valuation of Investments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pStyle w:val="TextBody"/>
        <w:bidi w:val="0"/>
        <w:spacing w:before="160" w:after="283"/>
        <w:jc w:val="both"/>
        <w:rPr>
          <w:rFonts w:ascii="Times New Roman" w:hAnsi="Times New Roman"/>
          <w:sz w:val="20"/>
        </w:rPr>
      </w:pPr>
      <w:r>
        <w:rPr>
          <w:rFonts w:ascii="Times New Roman" w:hAnsi="Times New Roman"/>
          <w:color w:val="000000"/>
          <w:sz w:val="16"/>
        </w:rPr>
        <w:t>The Adviser undertakes a multi-step valuation process, which includes, among other procedures, the following:</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Adviser and investment professionals;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jc w:val="left"/>
        <w:rPr>
          <w:rFonts w:ascii="Times New Roman" w:hAnsi="Times New Roman"/>
          <w:sz w:val="20"/>
        </w:rPr>
      </w:pPr>
      <w:r>
        <w:rPr>
          <w:rFonts w:ascii="Times New Roman" w:hAnsi="Times New Roman"/>
          <w:i/>
          <w:color w:val="000000"/>
          <w:sz w:val="16"/>
        </w:rPr>
        <w:t>Enterprise Value Waterfall Approach</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Times New Roman" w:hAnsi="Times New Roman"/>
          <w:sz w:val="20"/>
        </w:rPr>
      </w:pPr>
      <w:r>
        <w:rPr>
          <w:rFonts w:ascii="Times New Roman" w:hAnsi="Times New Roman"/>
          <w:color w:val="000000"/>
          <w:sz w:val="16"/>
        </w:rPr>
        <w:t>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6"/>
        </w:rPr>
        <w:t>Asset Approach</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asset approach values an investment based on the value of the underlying collateral securing the investment.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16"/>
        </w:rPr>
        <w:t>Revenue Recognition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revenue recognition policies are as follows: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Interest income and paid-in-kind interest income:</w:t>
      </w:r>
      <w:r>
        <w:rPr>
          <w:rFonts w:ascii="Times New Roman" w:hAnsi="Times New Roman"/>
          <w:color w:val="000000"/>
          <w:sz w:val="20"/>
        </w:rPr>
        <w:t xml:space="preserv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Non-accrual investments:</w:t>
      </w:r>
      <w:r>
        <w:rPr>
          <w:rFonts w:ascii="Times New Roman" w:hAnsi="Times New Roman"/>
          <w:color w:val="000000"/>
          <w:sz w:val="20"/>
        </w:rPr>
        <w:t xml:space="preserve">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Gains and losses on investment sales and paydowns:</w:t>
      </w:r>
      <w:r>
        <w:rPr>
          <w:rFonts w:ascii="Times New Roman" w:hAnsi="Times New Roman"/>
          <w:color w:val="000000"/>
          <w:sz w:val="20"/>
        </w:rPr>
        <w:t xml:space="preserve"> </w:t>
      </w:r>
      <w:r>
        <w:rPr>
          <w:rFonts w:ascii="Times New Roman" w:hAnsi="Times New Roman"/>
          <w:color w:val="000000"/>
          <w:sz w:val="16"/>
        </w:rPr>
        <w:t>Realized gains and losses on investments are recognized using the specific identification method.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 xml:space="preserve">Dividend income and paid-in-kind dividends: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Original issue discount:</w:t>
      </w:r>
      <w:r>
        <w:rPr>
          <w:rFonts w:ascii="Times New Roman" w:hAnsi="Times New Roman"/>
          <w:color w:val="000000"/>
          <w:sz w:val="20"/>
        </w:rPr>
        <w:t xml:space="preserve">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Other income:</w:t>
      </w:r>
      <w:r>
        <w:rPr>
          <w:rFonts w:ascii="Times New Roman" w:hAnsi="Times New Roman"/>
          <w:color w:val="000000"/>
          <w:sz w:val="20"/>
        </w:rPr>
        <w:t xml:space="preserve"> </w:t>
      </w:r>
      <w:r>
        <w:rPr>
          <w:rFonts w:ascii="Times New Roman" w:hAnsi="Times New Roman"/>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5" w:name="item7a_quantitative_and_qualitative_dis"/>
      <w:bookmarkEnd w:id="15"/>
      <w:r>
        <w:rPr>
          <w:rFonts w:ascii="Times New Roman" w:hAnsi="Times New Roman"/>
          <w:b/>
          <w:color w:val="000000"/>
          <w:sz w:val="16"/>
        </w:rPr>
        <w:t>ITEM 7A. QUANTITATIVE AND QUALITATIVE DISCLOSURES ABOUT MARKET RISK</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are subject to financial market risks, including valuation risk and interest rate risk. Changes in interest rates may affect both our cost of funding and our interest income from portfolio investments and cash and cash equivalents. Generally, a rise in the general level of interest rates can be expected to lead to higher interest rates applicable to any variable rate investments we may hold and to declines in the value of any fixed rate investments we may hold. However, for those variable rate investments we may hold that provide for an interest rate floor, our interest income will not decrease below a threshold amount. To the extent that a substantial portion of our investments may be in variable rate investments, an increase in interest rates beyond this threshold would make it easier for us to meet or exceed the hurdle rate applicable to the upper level breakpoint of the pre-incentive fee net investment income incentive fee, and may result in a substantial increase in our net investment income and to the amount of incentive fees payable to the Adviser with respect to our increased pre-incentive fee net investment income. Conversely, a decline in the general level of interest rates, including the current environment, can be expected to lead to lower interest rates applicable to any variable rate investments we may hold and to increases in the value of any fixed rate investments we may hold. Such a decrease would make it more difficult for us to meet or exceed the hurdle rate applicable to the upper level breakpoint of the pre-incentive fee net investment income incentive fee, and may result in a substantial decrease in our net investment income and to the amount of incentive fees payable to the Adviser with respect to our decreased pre-incentive fee net investment income.</w:t>
      </w:r>
    </w:p>
    <w:p>
      <w:pPr>
        <w:pStyle w:val="TextBody"/>
        <w:bidi w:val="0"/>
        <w:spacing w:before="160" w:after="283"/>
        <w:jc w:val="both"/>
        <w:rPr>
          <w:rFonts w:ascii="Times New Roman" w:hAnsi="Times New Roman"/>
          <w:sz w:val="20"/>
        </w:rPr>
      </w:pPr>
      <w:r>
        <w:rPr>
          <w:rFonts w:ascii="Times New Roman" w:hAnsi="Times New Roman"/>
          <w:color w:val="000000"/>
          <w:sz w:val="16"/>
        </w:rPr>
        <w:t>In addition, we borrow funds in order to make additional investments. Our net investment income will depend, in part, upon the difference between the rate at which we borrow funds and the rate at which we invest those funds. As a result, we will be subject to risks relating to changes in market interest rates. In periods of rising interest rates when we or any future subsidiaries have debt outstanding or financing arrangements in effect, our interest expense will increase, which could reduce our net investment income, especially to the extent we hold fixed rate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may hedge against interest rate fluctuations by using standard hedging instruments such as futures, options and forward contracts subject to the requirements of the 1940 Act. For the year ended December 31, 2023, we did not engage in hedging activities.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We invest primarily in illiquid debt of private companies. Most of our investments will not have a readily available market price, and we value these investments at fair value as determined in good faith by our Advisor, subject to the oversight of our Board, based on, among other things, the input of independent third-party valuation firm(s), and in accordance with our valuation policy. There is no single technique for determining fair value. As a result, determining fair value requires that judgment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16"/>
        </w:rPr>
        <w:t>applied to the specific facts and circumstances of each portfolio investment while employing a consistently applied valuation process for the types of investments we make. If, in the future, we are required to liquidate a portfolio investment in a forced or liquidation sale, we may realize amounts that are different from the amounts presented and such differences could be material.</w:t>
      </w:r>
      <w:r>
        <w:rPr>
          <w:rFonts w:ascii="Times New Roman" w:hAnsi="Times New Roman"/>
          <w:color w:val="000000"/>
          <w:sz w:val="20"/>
        </w:rPr>
        <w:t xml:space="preserve"> </w:t>
      </w:r>
    </w:p>
    <w:p>
      <w:pPr>
        <w:pStyle w:val="TextBody"/>
        <w:bidi w:val="0"/>
        <w:spacing w:before="160" w:after="160"/>
        <w:jc w:val="both"/>
        <w:rPr>
          <w:rFonts w:ascii="Times New Roman" w:hAnsi="Times New Roman"/>
          <w:i/>
          <w:color w:val="000000"/>
          <w:sz w:val="16"/>
        </w:rPr>
      </w:pPr>
      <w:r>
        <w:rPr>
          <w:rFonts w:ascii="Times New Roman" w:hAnsi="Times New Roman"/>
          <w:i/>
          <w:color w:val="000000"/>
          <w:sz w:val="16"/>
        </w:rPr>
        <w:t>Valuation Risk</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have invested, and plan to continue to invest, primarily in illiquid debt and equity securities of private companies. Most of our investments do not have a readily available market price, and we value these investments at fair value as determined in good faith by our Adviser as valuation designee subject to the oversight of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160" w:after="160"/>
        <w:jc w:val="both"/>
        <w:rPr>
          <w:rFonts w:ascii="Times New Roman" w:hAnsi="Times New Roman"/>
          <w:i/>
          <w:color w:val="000000"/>
          <w:sz w:val="16"/>
        </w:rPr>
      </w:pPr>
      <w:r>
        <w:rPr>
          <w:rFonts w:ascii="Times New Roman" w:hAnsi="Times New Roman"/>
          <w:i/>
          <w:color w:val="000000"/>
          <w:sz w:val="16"/>
        </w:rPr>
        <w:t>Interest Rate Risk</w:t>
      </w:r>
    </w:p>
    <w:p>
      <w:pPr>
        <w:pStyle w:val="TextBody"/>
        <w:bidi w:val="0"/>
        <w:spacing w:before="160" w:after="283"/>
        <w:jc w:val="both"/>
        <w:rPr>
          <w:rFonts w:ascii="Times New Roman" w:hAnsi="Times New Roman"/>
          <w:sz w:val="20"/>
        </w:rPr>
      </w:pPr>
      <w:r>
        <w:rPr>
          <w:rFonts w:ascii="Times New Roman" w:hAnsi="Times New Roman"/>
          <w:color w:val="000000"/>
          <w:sz w:val="16"/>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During the year ended December 31, 2023, we did not engage in hedging activities.</w:t>
        <w:br/>
      </w:r>
      <w:r>
        <w:rPr>
          <w:rFonts w:ascii="Times New Roman" w:hAnsi="Times New Roman"/>
          <w:color w:val="000000"/>
          <w:sz w:val="20"/>
        </w:rPr>
        <w:t>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we held 48 securities bearing a variable rate of interest. Our variable rate investments represent approximately 86.4% of the fair value of our total debt investments. As of December 31, 2023, none of our variable rate securities were yielding interest at a rate equal to the established interest rate floor. As of December 31, 2023, we had $39.6 million outstanding on our KeyBank Credit Facility, which has a variable rate of interest at one-month SOFR + 2.90%, subject to an interest rate floor of 0.40%. As of December 31, 2023, all of our other interest paying liabilities, consisting of $15.0 million in 2032 Convertible Notes and $50.0 million in 2026 Notes, were bearing interest at a fixed rate.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br/>
        <w:br/>
        <w:t>Based on our December 31, 2023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tbl>
      <w:tblPr>
        <w:tblW w:w="6709" w:type="dxa"/>
        <w:jc w:val="left"/>
        <w:tblInd w:w="0" w:type="dxa"/>
        <w:tblLayout w:type="fixed"/>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w:t>
              <w:b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xml:space="preserve">(decrease) in </w:t>
              <w:br/>
              <w:t>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300 basis points</w:t>
            </w:r>
          </w:p>
        </w:tc>
        <w:tc>
          <w:tcPr>
            <w:tcW w:w="5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3,032</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200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w:t>
            </w:r>
          </w:p>
        </w:tc>
        <w:tc>
          <w:tcPr>
            <w:tcW w:w="21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100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100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200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300 basis points</w:t>
            </w:r>
          </w:p>
        </w:tc>
        <w:tc>
          <w:tcPr>
            <w:tcW w:w="5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(2,973</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item8_consolidated_financial_stmt_sd"/>
      <w:bookmarkEnd w:id="16"/>
      <w:r>
        <w:rPr>
          <w:rFonts w:ascii="Times New Roman" w:hAnsi="Times New Roman"/>
          <w:b/>
          <w:color w:val="000000"/>
          <w:sz w:val="16"/>
        </w:rPr>
        <w:t>ITEM 8. CONSOLIDATED 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6"/>
        </w:rPr>
        <w:t>INDEX TO CONSOLIDATED FINANCIAL STATEMENTS</w:t>
      </w:r>
      <w:r>
        <w:rPr>
          <w:rFonts w:ascii="Times New Roman" w:hAnsi="Times New Roman"/>
          <w:color w:val="000000"/>
          <w:sz w:val="20"/>
        </w:rPr>
        <w:t xml:space="preserve"> </w:t>
      </w:r>
    </w:p>
    <w:p>
      <w:pPr>
        <w:pStyle w:val="TextBody"/>
        <w:bidi w:val="0"/>
        <w:jc w:val="center"/>
        <w:rPr/>
      </w:pPr>
      <w:r>
        <w:rPr/>
        <w:t> </w:t>
      </w:r>
    </w:p>
    <w:tbl>
      <w:tblPr>
        <w:tblW w:w="8308" w:type="dxa"/>
        <w:jc w:val="left"/>
        <w:tblInd w:w="0" w:type="dxa"/>
        <w:tblLayout w:type="fixed"/>
        <w:tblCellMar>
          <w:top w:w="28" w:type="dxa"/>
          <w:left w:w="28" w:type="dxa"/>
          <w:bottom w:w="28" w:type="dxa"/>
          <w:right w:w="28" w:type="dxa"/>
        </w:tblCellMar>
      </w:tblPr>
      <w:tblGrid>
        <w:gridCol w:w="7606"/>
        <w:gridCol w:w="146"/>
        <w:gridCol w:w="556"/>
      </w:tblGrid>
      <w:tr>
        <w:trPr/>
        <w:tc>
          <w:tcPr>
            <w:tcW w:w="7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7606" w:type="dxa"/>
            <w:tcBorders>
              <w:bottom w:val="single" w:sz="6" w:space="0" w:color="FFFFFF"/>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FFFFFF"/>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6" w:space="0" w:color="000000"/>
            </w:tcBorders>
            <w:tcMar>
              <w:top w:w="0" w:type="dxa"/>
              <w:left w:w="0" w:type="dxa"/>
              <w:bottom w:w="43"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report_of_ind_audi_cy">
              <w:r>
                <w:rPr>
                  <w:rStyle w:val="InternetLink"/>
                  <w:rFonts w:ascii="Times New Roman" w:hAnsi="Times New Roman"/>
                  <w:color w:val="0000FF"/>
                  <w:sz w:val="16"/>
                  <w:u w:val="single"/>
                </w:rPr>
                <w:t>Report of Independent Registered Public Accounting Firm (PCAOB ID No 34)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F-2</w:t>
            </w:r>
          </w:p>
        </w:tc>
      </w:tr>
      <w:tr>
        <w:trPr/>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Audited Financial Statements:</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assets_and_li">
              <w:r>
                <w:rPr>
                  <w:rStyle w:val="InternetLink"/>
                  <w:rFonts w:ascii="Times New Roman" w:hAnsi="Times New Roman"/>
                  <w:color w:val="0000FF"/>
                  <w:sz w:val="16"/>
                  <w:u w:val="single"/>
                </w:rPr>
                <w:t>Consolidated Statements of Assets and Liabilities as of December 31, 2023 and 2022</w:t>
              </w:r>
            </w:hyperlink>
            <w:hyperlink w:anchor="consolidated_statements_of_assets_and_li">
              <w:r>
                <w:rPr>
                  <w:rStyle w:val="InternetLink"/>
                  <w:rFonts w:ascii="Times New Roman" w:hAnsi="Times New Roman"/>
                  <w:color w:val="0000FF"/>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F-4</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16"/>
                  <w:u w:val="single"/>
                </w:rPr>
                <w:t>Consolidated Statements of Operations for the years ended December 31, 2023, 2022, and 2021</w:t>
              </w:r>
            </w:hyperlink>
            <w:hyperlink w:anchor="consolidated_statements_of_operations">
              <w:r>
                <w:rPr>
                  <w:rStyle w:val="InternetLink"/>
                  <w:rFonts w:ascii="Times New Roman" w:hAnsi="Times New Roman"/>
                  <w:color w:val="0000FF"/>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F-5</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_">
              <w:r>
                <w:rPr>
                  <w:rStyle w:val="InternetLink"/>
                  <w:rFonts w:ascii="Times New Roman" w:hAnsi="Times New Roman"/>
                  <w:color w:val="0000FF"/>
                  <w:sz w:val="16"/>
                  <w:u w:val="single"/>
                </w:rPr>
                <w:t>Consolidated Statements of Changes in Net Assets for the years ended December 31, 2023, 2022, and 2021</w:t>
              </w:r>
            </w:hyperlink>
            <w:hyperlink w:anchor="consolidated_statements_of_changes_in_">
              <w:r>
                <w:rPr>
                  <w:rStyle w:val="InternetLink"/>
                  <w:rFonts w:ascii="Times New Roman" w:hAnsi="Times New Roman"/>
                  <w:color w:val="0000FF"/>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F-6</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16"/>
                  <w:u w:val="single"/>
                </w:rPr>
                <w:t>Consolidated Statements of Cash Flows for the years ended December 31, 2023, 2022, and 2021</w:t>
              </w:r>
            </w:hyperlink>
            <w:hyperlink w:anchor="consolidated_statements_of_cash_flows">
              <w:r>
                <w:rPr>
                  <w:rStyle w:val="InternetLink"/>
                  <w:rFonts w:ascii="Times New Roman" w:hAnsi="Times New Roman"/>
                  <w:color w:val="0000FF"/>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F-7</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consolidated_schedule_invest_12312021">
              <w:r>
                <w:rPr>
                  <w:rStyle w:val="InternetLink"/>
                  <w:rFonts w:ascii="Times New Roman" w:hAnsi="Times New Roman"/>
                  <w:color w:val="0000FF"/>
                  <w:sz w:val="16"/>
                  <w:u w:val="single"/>
                </w:rPr>
                <w:t>Consolidated Schedules of Investments as of December 31, 2023</w:t>
              </w:r>
            </w:hyperlink>
            <w:hyperlink w:anchor="consolidated_schedule_invest_12312021">
              <w:r>
                <w:rPr>
                  <w:rStyle w:val="InternetLink"/>
                  <w:rFonts w:ascii="Times New Roman" w:hAnsi="Times New Roman"/>
                  <w:color w:val="0000FF"/>
                  <w:sz w:val="16"/>
                </w:rPr>
                <w:t xml:space="preserve"> </w:t>
              </w:r>
            </w:hyperlink>
            <w:hyperlink w:anchor="consolidated_schedule_invest_12312020">
              <w:r>
                <w:rPr>
                  <w:rStyle w:val="InternetLink"/>
                  <w:rFonts w:ascii="Times New Roman" w:hAnsi="Times New Roman"/>
                  <w:color w:val="0000FF"/>
                  <w:sz w:val="16"/>
                  <w:u w:val="single"/>
                </w:rPr>
                <w:t>and 2022</w:t>
              </w:r>
            </w:hyperlink>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F-8</w:t>
            </w:r>
          </w:p>
        </w:tc>
      </w:tr>
      <w:tr>
        <w:trPr/>
        <w:tc>
          <w:tcPr>
            <w:tcW w:w="760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mts">
              <w:r>
                <w:rPr>
                  <w:rStyle w:val="InternetLink"/>
                  <w:rFonts w:ascii="Times New Roman" w:hAnsi="Times New Roman"/>
                  <w:color w:val="0000FF"/>
                  <w:sz w:val="16"/>
                  <w:u w:val="single"/>
                </w:rPr>
                <w:t>Notes to Consolidated Financial Statements</w:t>
              </w:r>
            </w:hyperlink>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F-12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16"/>
        </w:rPr>
      </w:pPr>
      <w:bookmarkStart w:id="17" w:name="report_of_ind_audi_cy"/>
      <w:bookmarkEnd w:id="17"/>
      <w:r>
        <w:rPr>
          <w:rFonts w:ascii="Calibri;sans-serif" w:hAnsi="Calibri;sans-serif"/>
          <w:b/>
          <w:color w:val="000000"/>
          <w:sz w:val="16"/>
        </w:rPr>
        <w:t>REPORT OF INDEPENDENT REGISTERED PUBLIC ACCOUNTING FIRM</w:t>
      </w:r>
    </w:p>
    <w:p>
      <w:pPr>
        <w:pStyle w:val="TextBody"/>
        <w:bidi w:val="0"/>
        <w:spacing w:before="160" w:after="283"/>
        <w:jc w:val="left"/>
        <w:rPr>
          <w:rFonts w:ascii="Calibri;sans-serif" w:hAnsi="Calibri;sans-serif"/>
          <w:color w:val="000000"/>
          <w:sz w:val="16"/>
        </w:rPr>
      </w:pPr>
      <w:r>
        <w:rPr>
          <w:rFonts w:ascii="Calibri;sans-serif" w:hAnsi="Calibri;sans-serif"/>
          <w:color w:val="000000"/>
          <w:sz w:val="16"/>
        </w:rPr>
        <w:t>To the shareholders and the Board of Directors of Logan Ridge Finance Corporation</w:t>
      </w:r>
    </w:p>
    <w:p>
      <w:pPr>
        <w:pStyle w:val="TextBody"/>
        <w:bidi w:val="0"/>
        <w:spacing w:before="160" w:after="283"/>
        <w:jc w:val="left"/>
        <w:rPr>
          <w:rFonts w:ascii="Calibri;sans-serif" w:hAnsi="Calibri;sans-serif"/>
          <w:b/>
          <w:color w:val="000000"/>
          <w:sz w:val="16"/>
        </w:rPr>
      </w:pPr>
      <w:r>
        <w:rPr>
          <w:rFonts w:ascii="Calibri;sans-serif" w:hAnsi="Calibri;sans-serif"/>
          <w:b/>
          <w:color w:val="000000"/>
          <w:sz w:val="16"/>
        </w:rPr>
        <w:t>Opinion on the Consolidated Financial Statements and Financial Highlights</w:t>
      </w:r>
    </w:p>
    <w:p>
      <w:pPr>
        <w:pStyle w:val="TextBody"/>
        <w:bidi w:val="0"/>
        <w:spacing w:before="160" w:after="283"/>
        <w:jc w:val="left"/>
        <w:rPr>
          <w:rFonts w:ascii="Calibri;sans-serif" w:hAnsi="Calibri;sans-serif"/>
          <w:color w:val="000000"/>
          <w:sz w:val="16"/>
        </w:rPr>
      </w:pPr>
      <w:r>
        <w:rPr>
          <w:rFonts w:ascii="Calibri;sans-serif" w:hAnsi="Calibri;sans-serif"/>
          <w:color w:val="000000"/>
          <w:sz w:val="16"/>
        </w:rPr>
        <w:t>We have audited the accompanying consolidated statements of assets and liabilities of Logan Ridge Finance Corporation and subsidiaries (the "Company"), including the consolidated schedules of investments, as of December 31, 2023 and 2022, the related consolidated statements of operations, cash flows, changes in net assets, and the consolidated financial highlights for each of the three years in the period then ended, and the related notes (collectively referred to as “financial statements and financial highlights”). In our opinion, the financial statements and financial highlights present fairly, in all material respects, the financial position of the Company as of December 31, 2023 and 2022, and the results of its operations, changes in net assets, cash flows, and financial highlights for each of the three years in the period then ended in conformity with accounting principles generally accepted in the United States of America. The financial highlights for the years ended December 31, 2020 and 2019 were audited by other auditors whose report dated March 8, 2021, expressed an unqualified opinion on such financial highlights.</w:t>
      </w:r>
    </w:p>
    <w:p>
      <w:pPr>
        <w:pStyle w:val="TextBody"/>
        <w:bidi w:val="0"/>
        <w:spacing w:before="160" w:after="283"/>
        <w:jc w:val="left"/>
        <w:rPr>
          <w:rFonts w:ascii="Calibri;sans-serif" w:hAnsi="Calibri;sans-serif"/>
          <w:b/>
          <w:color w:val="000000"/>
          <w:sz w:val="16"/>
        </w:rPr>
      </w:pPr>
      <w:r>
        <w:rPr>
          <w:rFonts w:ascii="Calibri;sans-serif" w:hAnsi="Calibri;sans-serif"/>
          <w:b/>
          <w:color w:val="000000"/>
          <w:sz w:val="16"/>
        </w:rPr>
        <w:t>Basis for Opinion</w:t>
      </w:r>
    </w:p>
    <w:p>
      <w:pPr>
        <w:pStyle w:val="TextBody"/>
        <w:bidi w:val="0"/>
        <w:spacing w:before="160" w:after="283"/>
        <w:jc w:val="left"/>
        <w:rPr>
          <w:rFonts w:ascii="Times New Roman" w:hAnsi="Times New Roman"/>
          <w:sz w:val="20"/>
        </w:rPr>
      </w:pPr>
      <w:r>
        <w:rPr>
          <w:rFonts w:ascii="Calibri;sans-serif" w:hAnsi="Calibri;sans-serif"/>
          <w:color w:val="000000"/>
          <w:sz w:val="16"/>
        </w:rPr>
        <w:t>These financial statements and financial highlights are the responsibility of the Company's management. Our responsibility is to express an opinion on the Company's financial statements and financial highlights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Calibri;sans-serif" w:hAnsi="Calibri;sans-serif"/>
          <w:color w:val="000000"/>
          <w:sz w:val="16"/>
        </w:rPr>
        <w:t>We conducted our audits in accordance with the standards of the PCAOB. Those standards require that we plan and perform the audit to obtain reasonable assurance about whether the financial statements and financial highlights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w:t>
      </w:r>
      <w:r>
        <w:rPr>
          <w:rFonts w:ascii="Times New Roman" w:hAnsi="Times New Roman"/>
          <w:color w:val="000000"/>
          <w:sz w:val="20"/>
        </w:rPr>
        <w:t xml:space="preserve"> </w:t>
      </w:r>
    </w:p>
    <w:p>
      <w:pPr>
        <w:pStyle w:val="TextBody"/>
        <w:bidi w:val="0"/>
        <w:spacing w:before="160" w:after="283"/>
        <w:jc w:val="left"/>
        <w:rPr>
          <w:rFonts w:ascii="Calibri;sans-serif" w:hAnsi="Calibri;sans-serif"/>
          <w:color w:val="000000"/>
          <w:sz w:val="16"/>
        </w:rPr>
      </w:pPr>
      <w:r>
        <w:rPr>
          <w:rFonts w:ascii="Calibri;sans-serif" w:hAnsi="Calibri;sans-serif"/>
          <w:color w:val="000000"/>
          <w:sz w:val="16"/>
        </w:rPr>
        <w:t>Our audits also included evaluating the accounting principles used and significant estimates made by the Company, as well as evaluating the overall presentation of the financial statements and financial highlights. Our procedures included confirmation of investments owned as of December 31, 2023 and 2022, by correspondence with the custodian, loan agents, and borrowers; when replies were not received, we performed other auditing procedures. We believe that our audits provide a reasonable basis for our opinion.</w:t>
      </w:r>
    </w:p>
    <w:p>
      <w:pPr>
        <w:pStyle w:val="TextBody"/>
        <w:bidi w:val="0"/>
        <w:spacing w:before="160" w:after="283"/>
        <w:jc w:val="left"/>
        <w:rPr>
          <w:rFonts w:ascii="Calibri;sans-serif" w:hAnsi="Calibri;sans-serif"/>
          <w:b/>
          <w:color w:val="000000"/>
          <w:sz w:val="16"/>
        </w:rPr>
      </w:pPr>
      <w:r>
        <w:rPr>
          <w:rFonts w:ascii="Calibri;sans-serif" w:hAnsi="Calibri;sans-serif"/>
          <w:b/>
          <w:color w:val="000000"/>
          <w:sz w:val="16"/>
        </w:rPr>
        <w:t>Critical Audit Matters</w:t>
      </w:r>
    </w:p>
    <w:p>
      <w:pPr>
        <w:pStyle w:val="TextBody"/>
        <w:bidi w:val="0"/>
        <w:spacing w:before="160" w:after="283"/>
        <w:jc w:val="left"/>
        <w:rPr>
          <w:rFonts w:ascii="Calibri;sans-serif" w:hAnsi="Calibri;sans-serif"/>
          <w:color w:val="000000"/>
          <w:sz w:val="16"/>
        </w:rPr>
      </w:pPr>
      <w:r>
        <w:rPr>
          <w:rFonts w:ascii="Calibri;sans-serif" w:hAnsi="Calibri;sans-serif"/>
          <w:color w:val="000000"/>
          <w:sz w:val="16"/>
        </w:rPr>
        <w:t>The critical audit matter communicated below is a matter arising from the current-period audit of the financial statements and financial highlights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60" w:after="283"/>
        <w:jc w:val="left"/>
        <w:rPr>
          <w:rFonts w:ascii="Calibri;sans-serif" w:hAnsi="Calibri;sans-serif"/>
          <w:color w:val="000000"/>
          <w:sz w:val="16"/>
        </w:rPr>
      </w:pPr>
      <w:r>
        <w:rPr>
          <w:rFonts w:ascii="Calibri;sans-serif" w:hAnsi="Calibri;sans-serif"/>
          <w:color w:val="000000"/>
          <w:sz w:val="16"/>
        </w:rPr>
        <w:t>Fair Value of Level 3 Investments — Refer to Notes 2 and 4 to the financial statements</w:t>
      </w:r>
    </w:p>
    <w:p>
      <w:pPr>
        <w:pStyle w:val="TextBody"/>
        <w:bidi w:val="0"/>
        <w:spacing w:before="160" w:after="283"/>
        <w:jc w:val="left"/>
        <w:rPr>
          <w:rFonts w:ascii="Calibri;sans-serif" w:hAnsi="Calibri;sans-serif"/>
          <w:i/>
          <w:color w:val="000000"/>
          <w:sz w:val="16"/>
        </w:rPr>
      </w:pPr>
      <w:r>
        <w:rPr>
          <w:rFonts w:ascii="Calibri;sans-serif" w:hAnsi="Calibri;sans-serif"/>
          <w:i/>
          <w:color w:val="000000"/>
          <w:sz w:val="16"/>
        </w:rPr>
        <w:t>Critical Audit Matter Description</w:t>
      </w:r>
    </w:p>
    <w:p>
      <w:pPr>
        <w:pStyle w:val="TextBody"/>
        <w:bidi w:val="0"/>
        <w:spacing w:before="160" w:after="283"/>
        <w:jc w:val="left"/>
        <w:rPr>
          <w:rFonts w:ascii="Times New Roman" w:hAnsi="Times New Roman"/>
          <w:sz w:val="20"/>
        </w:rPr>
      </w:pPr>
      <w:r>
        <w:rPr>
          <w:rFonts w:ascii="Calibri;sans-serif" w:hAnsi="Calibri;sans-serif"/>
          <w:color w:val="000000"/>
          <w:sz w:val="16"/>
        </w:rPr>
        <w:t>The Company held investments classified as Level 3 investments under accounting principles generally accepted in the United States of America. These investments included debt and equity securities with unique contract terms and conditions and/or complexity that considers a combination of multiple levels of market and asset specific inputs. The valuation techniques used in estimating the fair value of these investments vary and certain significant inputs used were unobservable.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Calibri;sans-serif" w:hAnsi="Calibri;sans-serif"/>
          <w:color w:val="000000"/>
          <w:sz w:val="16"/>
        </w:rPr>
        <w:t>We identified the valuation of Level 3 investments as a critical audit matter because of the judgments necessary for management to select valuation techniques and to use significant unobservable inputs to estimate the fair value, including discount rates utilized. This required a high degree of auditor judgement and extensive audit effort to audit management’s estimate of fair value of Level 3 investments, including the need to involve fair value specialists possessing relevant valuation experience to evaluate the appropriateness of the valuation techniques and the significant unobservable inputs used in the valuation of certain investments.</w:t>
        <w:br/>
      </w:r>
      <w:r>
        <w:rPr>
          <w:rFonts w:ascii="Times New Roman" w:hAnsi="Times New Roman"/>
          <w:color w:val="000000"/>
          <w:sz w:val="20"/>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Calibri;sans-serif" w:hAnsi="Calibri;sans-serif"/>
          <w:i/>
          <w:color w:val="000000"/>
          <w:sz w:val="16"/>
        </w:rPr>
      </w:pPr>
      <w:r>
        <w:rPr>
          <w:rFonts w:ascii="Calibri;sans-serif" w:hAnsi="Calibri;sans-serif"/>
          <w:i/>
          <w:color w:val="000000"/>
          <w:sz w:val="16"/>
        </w:rPr>
        <w:t>How the Critical Audit Matter Was Addressed in the Audit</w:t>
      </w:r>
    </w:p>
    <w:p>
      <w:pPr>
        <w:pStyle w:val="TextBody"/>
        <w:bidi w:val="0"/>
        <w:spacing w:before="160" w:after="283"/>
        <w:jc w:val="left"/>
        <w:rPr>
          <w:rFonts w:ascii="Times New Roman" w:hAnsi="Times New Roman"/>
          <w:sz w:val="20"/>
        </w:rPr>
      </w:pPr>
      <w:r>
        <w:rPr>
          <w:rFonts w:ascii="Calibri;sans-serif" w:hAnsi="Calibri;sans-serif"/>
          <w:color w:val="000000"/>
          <w:sz w:val="16"/>
        </w:rPr>
        <w:t>Our audit procedures related to the valuation of certain Level 3 investments included the following, among other factors:</w:t>
        <w:br/>
      </w:r>
      <w:r>
        <w:rPr>
          <w:rFonts w:ascii="Times New Roman" w:hAnsi="Times New Roman"/>
          <w:color w:val="000000"/>
          <w:sz w:val="20"/>
        </w:rPr>
        <w:t> </w:t>
      </w:r>
    </w:p>
    <w:p>
      <w:pPr>
        <w:pStyle w:val="TextBody"/>
        <w:bidi w:val="0"/>
        <w:spacing w:before="120" w:after="283"/>
        <w:jc w:val="left"/>
        <w:rPr>
          <w:rFonts w:ascii="Calibri" w:hAnsi="Calibri"/>
          <w:color w:val="000000"/>
          <w:sz w:val="16"/>
        </w:rPr>
      </w:pPr>
      <w:r>
        <w:rPr>
          <w:rFonts w:ascii="Calibri" w:hAnsi="Calibri"/>
          <w:color w:val="000000"/>
          <w:sz w:val="16"/>
        </w:rPr>
        <w:t>1.</w:t>
      </w:r>
    </w:p>
    <w:p>
      <w:pPr>
        <w:pStyle w:val="TextBody"/>
        <w:bidi w:val="0"/>
        <w:spacing w:before="120" w:after="283"/>
        <w:jc w:val="left"/>
        <w:rPr>
          <w:rFonts w:ascii="Calibri;sans-serif" w:hAnsi="Calibri;sans-serif"/>
          <w:color w:val="000000"/>
          <w:sz w:val="16"/>
        </w:rPr>
      </w:pPr>
      <w:r>
        <w:rPr>
          <w:rFonts w:ascii="Calibri;sans-serif" w:hAnsi="Calibri;sans-serif"/>
          <w:color w:val="000000"/>
          <w:sz w:val="16"/>
        </w:rPr>
        <w:t>We evaluated the design and implementation of controls over the Company’s valuation of Level 3 investments, including those related to valuation techniques and significant unobservable inputs.</w:t>
      </w:r>
    </w:p>
    <w:p>
      <w:pPr>
        <w:pStyle w:val="TextBody"/>
        <w:bidi w:val="0"/>
        <w:spacing w:before="120" w:after="283"/>
        <w:jc w:val="left"/>
        <w:rPr>
          <w:rFonts w:ascii="Calibri" w:hAnsi="Calibri"/>
          <w:color w:val="000000"/>
          <w:sz w:val="16"/>
        </w:rPr>
      </w:pPr>
      <w:r>
        <w:rPr>
          <w:rFonts w:ascii="Calibri" w:hAnsi="Calibri"/>
          <w:color w:val="000000"/>
          <w:sz w:val="16"/>
        </w:rPr>
        <w:t>2.</w:t>
      </w:r>
    </w:p>
    <w:p>
      <w:pPr>
        <w:pStyle w:val="TextBody"/>
        <w:bidi w:val="0"/>
        <w:spacing w:before="120" w:after="283"/>
        <w:jc w:val="left"/>
        <w:rPr>
          <w:rFonts w:ascii="Calibri;sans-serif" w:hAnsi="Calibri;sans-serif"/>
          <w:color w:val="000000"/>
          <w:sz w:val="16"/>
        </w:rPr>
      </w:pPr>
      <w:r>
        <w:rPr>
          <w:rFonts w:ascii="Calibri;sans-serif" w:hAnsi="Calibri;sans-serif"/>
          <w:color w:val="000000"/>
          <w:sz w:val="16"/>
        </w:rPr>
        <w:t>We evaluated the appropriateness of the valuation techniques used for Level 3 investments and tested the related significant unobservable inputs by comparing these inputs to external sources.</w:t>
      </w:r>
    </w:p>
    <w:p>
      <w:pPr>
        <w:pStyle w:val="TextBody"/>
        <w:bidi w:val="0"/>
        <w:spacing w:before="120" w:after="283"/>
        <w:jc w:val="left"/>
        <w:rPr>
          <w:rFonts w:ascii="Calibri" w:hAnsi="Calibri"/>
          <w:color w:val="000000"/>
          <w:sz w:val="16"/>
        </w:rPr>
      </w:pPr>
      <w:r>
        <w:rPr>
          <w:rFonts w:ascii="Calibri" w:hAnsi="Calibri"/>
          <w:color w:val="000000"/>
          <w:sz w:val="16"/>
        </w:rPr>
        <w:t>3.</w:t>
      </w:r>
    </w:p>
    <w:p>
      <w:pPr>
        <w:pStyle w:val="TextBody"/>
        <w:bidi w:val="0"/>
        <w:spacing w:before="120" w:after="283"/>
        <w:jc w:val="left"/>
        <w:rPr>
          <w:rFonts w:ascii="Calibri;sans-serif" w:hAnsi="Calibri;sans-serif"/>
          <w:color w:val="000000"/>
          <w:sz w:val="16"/>
        </w:rPr>
      </w:pPr>
      <w:r>
        <w:rPr>
          <w:rFonts w:ascii="Calibri;sans-serif" w:hAnsi="Calibri;sans-serif"/>
          <w:color w:val="000000"/>
          <w:sz w:val="16"/>
        </w:rPr>
        <w:t>For certain Level 3 investments, we performed procedures with the assistance of internal fair value specialists to evaluate the valuation techniques and significant unobservable inputs and assumptions utilized.</w:t>
      </w:r>
    </w:p>
    <w:p>
      <w:pPr>
        <w:pStyle w:val="TextBody"/>
        <w:bidi w:val="0"/>
        <w:spacing w:before="120" w:after="283"/>
        <w:jc w:val="left"/>
        <w:rPr>
          <w:rFonts w:ascii="Calibri" w:hAnsi="Calibri"/>
          <w:color w:val="000000"/>
          <w:sz w:val="16"/>
        </w:rPr>
      </w:pPr>
      <w:r>
        <w:rPr>
          <w:rFonts w:ascii="Calibri" w:hAnsi="Calibri"/>
          <w:color w:val="000000"/>
          <w:sz w:val="16"/>
        </w:rPr>
        <w:t>4.</w:t>
      </w:r>
    </w:p>
    <w:p>
      <w:pPr>
        <w:pStyle w:val="TextBody"/>
        <w:bidi w:val="0"/>
        <w:spacing w:before="120" w:after="283"/>
        <w:jc w:val="left"/>
        <w:rPr>
          <w:rFonts w:ascii="Calibri;sans-serif" w:hAnsi="Calibri;sans-serif"/>
          <w:color w:val="000000"/>
          <w:sz w:val="16"/>
        </w:rPr>
      </w:pPr>
      <w:r>
        <w:rPr>
          <w:rFonts w:ascii="Calibri;sans-serif" w:hAnsi="Calibri;sans-serif"/>
          <w:color w:val="000000"/>
          <w:sz w:val="16"/>
        </w:rPr>
        <w:t>We evaluated management’s ability to estimate fair value by comparing management’s historical estimates to subsequent transactions, taking into account changes in market or investment specific conditions, and performing back testing, where applicable.</w:t>
      </w:r>
    </w:p>
    <w:p>
      <w:pPr>
        <w:pStyle w:val="TextBody"/>
        <w:bidi w:val="0"/>
        <w:jc w:val="left"/>
        <w:rPr/>
      </w:pPr>
      <w:r>
        <w:rPr/>
        <w:t> </w:t>
      </w:r>
    </w:p>
    <w:p>
      <w:pPr>
        <w:pStyle w:val="TextBody"/>
        <w:bidi w:val="0"/>
        <w:jc w:val="left"/>
        <w:rPr>
          <w:rFonts w:ascii="Calibri;sans-serif" w:hAnsi="Calibri;sans-serif"/>
          <w:color w:val="000000"/>
          <w:sz w:val="16"/>
        </w:rPr>
      </w:pPr>
      <w:r>
        <w:rPr>
          <w:rFonts w:ascii="Calibri;sans-serif" w:hAnsi="Calibri;sans-serif"/>
          <w:color w:val="000000"/>
          <w:sz w:val="16"/>
        </w:rPr>
        <w:t>/s/ Deloitte &amp; Touche LLP</w:t>
      </w:r>
    </w:p>
    <w:p>
      <w:pPr>
        <w:pStyle w:val="TextBody"/>
        <w:bidi w:val="0"/>
        <w:jc w:val="left"/>
        <w:rPr/>
      </w:pPr>
      <w:r>
        <w:rPr/>
        <w:t> </w:t>
      </w:r>
    </w:p>
    <w:p>
      <w:pPr>
        <w:pStyle w:val="TextBody"/>
        <w:bidi w:val="0"/>
        <w:jc w:val="left"/>
        <w:rPr>
          <w:rFonts w:ascii="Calibri;sans-serif" w:hAnsi="Calibri;sans-serif"/>
          <w:color w:val="000000"/>
          <w:sz w:val="16"/>
        </w:rPr>
      </w:pPr>
      <w:r>
        <w:rPr>
          <w:rFonts w:ascii="Calibri;sans-serif" w:hAnsi="Calibri;sans-serif"/>
          <w:color w:val="000000"/>
          <w:sz w:val="16"/>
        </w:rPr>
        <w:t>New York, New York</w:t>
      </w:r>
    </w:p>
    <w:p>
      <w:pPr>
        <w:pStyle w:val="TextBody"/>
        <w:bidi w:val="0"/>
        <w:jc w:val="left"/>
        <w:rPr>
          <w:rFonts w:ascii="Calibri;sans-serif" w:hAnsi="Calibri;sans-serif"/>
          <w:color w:val="000000"/>
          <w:sz w:val="16"/>
        </w:rPr>
      </w:pPr>
      <w:r>
        <w:rPr>
          <w:rFonts w:ascii="Calibri;sans-serif" w:hAnsi="Calibri;sans-serif"/>
          <w:color w:val="000000"/>
          <w:sz w:val="16"/>
        </w:rPr>
        <w:t>March 26, 2024</w:t>
      </w:r>
    </w:p>
    <w:p>
      <w:pPr>
        <w:pStyle w:val="TextBody"/>
        <w:bidi w:val="0"/>
        <w:jc w:val="left"/>
        <w:rPr/>
      </w:pPr>
      <w:r>
        <w:rPr/>
        <w:t> </w:t>
      </w:r>
    </w:p>
    <w:p>
      <w:pPr>
        <w:pStyle w:val="TextBody"/>
        <w:bidi w:val="0"/>
        <w:jc w:val="left"/>
        <w:rPr>
          <w:rFonts w:ascii="Calibri;sans-serif" w:hAnsi="Calibri;sans-serif"/>
          <w:color w:val="000000"/>
          <w:sz w:val="16"/>
        </w:rPr>
      </w:pPr>
      <w:r>
        <w:rPr>
          <w:rFonts w:ascii="Calibri;sans-serif" w:hAnsi="Calibri;sans-serif"/>
          <w:color w:val="000000"/>
          <w:sz w:val="16"/>
        </w:rPr>
        <w:t>We have served as the Company’s auditor since 2021.</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LOGAN RIDGE FINANCE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bookmarkStart w:id="18" w:name="consolidated_statements_of_assets_and_li"/>
      <w:bookmarkEnd w:id="18"/>
      <w:r>
        <w:rPr>
          <w:rFonts w:ascii="Times New Roman" w:hAnsi="Times New Roman"/>
          <w:b/>
          <w:color w:val="000000"/>
          <w:sz w:val="16"/>
        </w:rPr>
        <w:t>CONSOLIDATED STATEMENTS OF ASSETS AND LIABILITIES</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39"/>
        <w:gridCol w:w="146"/>
        <w:gridCol w:w="275"/>
        <w:gridCol w:w="972"/>
        <w:gridCol w:w="166"/>
        <w:gridCol w:w="146"/>
        <w:gridCol w:w="275"/>
        <w:gridCol w:w="972"/>
        <w:gridCol w:w="414"/>
      </w:tblGrid>
      <w:tr>
        <w:trPr/>
        <w:tc>
          <w:tcPr>
            <w:tcW w:w="6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center"/>
              <w:rPr/>
            </w:pPr>
            <w:r>
              <w:rPr/>
              <w:t> </w:t>
            </w:r>
          </w:p>
        </w:tc>
        <w:tc>
          <w:tcPr>
            <w:tcW w:w="414" w:type="dxa"/>
            <w:tcBorders/>
            <w:shd w:fill="CFF0FC" w:val="clear"/>
            <w:vAlign w:val="center"/>
          </w:tcPr>
          <w:p>
            <w:pPr>
              <w:pStyle w:val="TableContents"/>
              <w:bidi w:val="0"/>
              <w:spacing w:before="0" w:after="283"/>
              <w:jc w:val="center"/>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83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Non-control/non-affiliate investments (amortized cost of $170,972</w:t>
            </w:r>
            <w:r>
              <w:rPr>
                <w:rFonts w:ascii="Times New Roman" w:hAnsi="Times New Roman"/>
                <w:color w:val="000000"/>
                <w:sz w:val="20"/>
              </w:rPr>
              <w:t> </w:t>
            </w:r>
            <w:r>
              <w:rPr>
                <w:rFonts w:ascii="Times New Roman" w:hAnsi="Times New Roman"/>
                <w:color w:val="000000"/>
                <w:sz w:val="16"/>
              </w:rPr>
              <w:t>and $191,435, respectively)</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177,268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83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Affiliate investments (amortized cost of $25,546</w:t>
            </w:r>
            <w:r>
              <w:rPr>
                <w:rFonts w:ascii="Times New Roman" w:hAnsi="Times New Roman"/>
                <w:color w:val="000000"/>
                <w:sz w:val="20"/>
              </w:rPr>
              <w:t> </w:t>
            </w:r>
            <w:r>
              <w:rPr>
                <w:rFonts w:ascii="Times New Roman" w:hAnsi="Times New Roman"/>
                <w:color w:val="000000"/>
                <w:sz w:val="16"/>
              </w:rPr>
              <w:t>and $29,081, respectively)</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at fair value (amortized cost of $196,518</w:t>
            </w:r>
            <w:r>
              <w:rPr>
                <w:rFonts w:ascii="Times New Roman" w:hAnsi="Times New Roman"/>
                <w:color w:val="000000"/>
                <w:sz w:val="20"/>
              </w:rPr>
              <w:t> </w:t>
            </w:r>
            <w:r>
              <w:rPr>
                <w:rFonts w:ascii="Times New Roman" w:hAnsi="Times New Roman"/>
                <w:color w:val="000000"/>
                <w:sz w:val="16"/>
              </w:rPr>
              <w:t>and $220,516, respectively)</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214,710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2026 Notes (net of deferred financing costs and original issue discount of $1,057</w:t>
            </w:r>
            <w:r>
              <w:rPr>
                <w:rFonts w:ascii="Times New Roman" w:hAnsi="Times New Roman"/>
                <w:color w:val="000000"/>
                <w:sz w:val="20"/>
              </w:rPr>
              <w:t> </w:t>
            </w:r>
            <w:r>
              <w:rPr>
                <w:rFonts w:ascii="Times New Roman" w:hAnsi="Times New Roman"/>
                <w:color w:val="000000"/>
                <w:sz w:val="16"/>
              </w:rPr>
              <w:t>and $1,421, respectively)</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48,579</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2032 Convertible Notes (net of deferred financing costs and original issue discount of $999</w:t>
            </w:r>
            <w:r>
              <w:rPr>
                <w:rFonts w:ascii="Times New Roman" w:hAnsi="Times New Roman"/>
                <w:color w:val="000000"/>
                <w:sz w:val="20"/>
              </w:rPr>
              <w:t> </w:t>
            </w:r>
            <w:r>
              <w:rPr>
                <w:rFonts w:ascii="Times New Roman" w:hAnsi="Times New Roman"/>
                <w:color w:val="000000"/>
                <w:sz w:val="16"/>
              </w:rPr>
              <w:t>and $1,117, respectively)</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13,883</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KeyBank Credit Facility (net of deferred financing costs of $982</w:t>
            </w:r>
            <w:r>
              <w:rPr>
                <w:rFonts w:ascii="Times New Roman" w:hAnsi="Times New Roman"/>
                <w:color w:val="000000"/>
                <w:sz w:val="20"/>
              </w:rPr>
              <w:t> </w:t>
            </w:r>
            <w:r>
              <w:rPr>
                <w:rFonts w:ascii="Times New Roman" w:hAnsi="Times New Roman"/>
                <w:color w:val="000000"/>
                <w:sz w:val="16"/>
              </w:rPr>
              <w:t>and $1,322, respectively)</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54,615</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119,705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2)</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par value $0.01, 100,000,000</w:t>
            </w:r>
            <w:r>
              <w:rPr>
                <w:rFonts w:ascii="Times New Roman" w:hAnsi="Times New Roman"/>
                <w:color w:val="000000"/>
                <w:sz w:val="20"/>
              </w:rPr>
              <w:t> </w:t>
            </w:r>
            <w:r>
              <w:rPr>
                <w:rFonts w:ascii="Times New Roman" w:hAnsi="Times New Roman"/>
                <w:color w:val="000000"/>
                <w:sz w:val="16"/>
              </w:rPr>
              <w:t>common shares authorized, 2,674,698</w:t>
            </w:r>
            <w:r>
              <w:rPr>
                <w:rFonts w:ascii="Times New Roman" w:hAnsi="Times New Roman"/>
                <w:color w:val="000000"/>
                <w:sz w:val="20"/>
              </w:rPr>
              <w:t> </w:t>
            </w:r>
            <w:r>
              <w:rPr>
                <w:rFonts w:ascii="Times New Roman" w:hAnsi="Times New Roman"/>
                <w:color w:val="000000"/>
                <w:sz w:val="16"/>
              </w:rPr>
              <w:t>and 2,711,068</w:t>
            </w:r>
            <w:r>
              <w:rPr>
                <w:rFonts w:ascii="Times New Roman" w:hAnsi="Times New Roman"/>
                <w:color w:val="000000"/>
                <w:sz w:val="20"/>
              </w:rPr>
              <w:t> </w:t>
            </w:r>
            <w:r>
              <w:rPr>
                <w:rFonts w:ascii="Times New Roman" w:hAnsi="Times New Roman"/>
                <w:color w:val="000000"/>
                <w:sz w:val="16"/>
              </w:rPr>
              <w:t>common shares issued and outstanding, respectively</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4" w:type="dxa"/>
            <w:tcBorders/>
            <w:shd w:fill="FFFFFF" w:val="cle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in excess of par value</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191,038</w:t>
            </w:r>
          </w:p>
        </w:tc>
        <w:tc>
          <w:tcPr>
            <w:tcW w:w="414" w:type="dxa"/>
            <w:tcBorders/>
            <w:shd w:fill="CFF0FC" w:val="cle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loss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3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assets</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net assets</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214,710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414"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16"/>
        </w:rPr>
        <w:t>LOGAN RIDGE FINANCE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bookmarkStart w:id="19" w:name="consolidated_statements_of_operations"/>
      <w:bookmarkEnd w:id="19"/>
      <w:r>
        <w:rPr>
          <w:rFonts w:ascii="Times New Roman" w:hAnsi="Times New Roman"/>
          <w:b/>
          <w:color w:val="000000"/>
          <w:sz w:val="16"/>
        </w:rPr>
        <w:t>CONSOLIDATED STATEMENTS OF OPERATIONS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center"/>
        <w:rPr/>
      </w:pPr>
      <w:r>
        <w:rPr/>
        <w:t> </w:t>
      </w:r>
    </w:p>
    <w:tbl>
      <w:tblPr>
        <w:tblW w:w="9488" w:type="dxa"/>
        <w:jc w:val="left"/>
        <w:tblInd w:w="0" w:type="dxa"/>
        <w:tblLayout w:type="fixed"/>
        <w:tblCellMar>
          <w:top w:w="28" w:type="dxa"/>
          <w:left w:w="28" w:type="dxa"/>
          <w:bottom w:w="28" w:type="dxa"/>
          <w:right w:w="28" w:type="dxa"/>
        </w:tblCellMar>
      </w:tblPr>
      <w:tblGrid>
        <w:gridCol w:w="5161"/>
        <w:gridCol w:w="146"/>
        <w:gridCol w:w="196"/>
        <w:gridCol w:w="826"/>
        <w:gridCol w:w="166"/>
        <w:gridCol w:w="226"/>
        <w:gridCol w:w="196"/>
        <w:gridCol w:w="826"/>
        <w:gridCol w:w="166"/>
        <w:gridCol w:w="146"/>
        <w:gridCol w:w="196"/>
        <w:gridCol w:w="826"/>
        <w:gridCol w:w="4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18,536</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 income:</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payment-in-kind interest and dividend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EXPENSES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8,329</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10,569</w:t>
            </w:r>
          </w:p>
        </w:tc>
        <w:tc>
          <w:tcPr>
            <w:tcW w:w="4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4,846</w:t>
            </w:r>
          </w:p>
        </w:tc>
        <w:tc>
          <w:tcPr>
            <w:tcW w:w="4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4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4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(LOSS) GAIN ON INVESTMENTS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5,075</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13,058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4,989</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realized and change in unrealized (loss) gain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w:t>
            </w:r>
          </w:p>
        </w:tc>
        <w:tc>
          <w:tcPr>
            <w:tcW w:w="411" w:type="dxa"/>
            <w:tcBorders/>
            <w:shd w:fill="CFF0FC" w:val="cle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federal tax provision (benefit), net (Note 7)</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DECREASE IN NET ASSETS PER SHARE RESULTING </w:t>
              <w:br/>
              <w:t>   FROM OPERATIONS – BASIC &amp; DILUTED (SEE NOTE 10)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4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STOCK OUTSTANDING </w:t>
              <w:br/>
              <w:t>   – BASIC &amp; DILUTED (SEE NOTE 10)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2,694,857</w:t>
            </w:r>
          </w:p>
        </w:tc>
        <w:tc>
          <w:tcPr>
            <w:tcW w:w="16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411" w:type="dxa"/>
            <w:tcBorders/>
            <w:shd w:fill="FFFFFF" w:val="clear"/>
            <w:vAlign w:val="center"/>
          </w:tcPr>
          <w:p>
            <w:pPr>
              <w:pStyle w:val="TableContents"/>
              <w:bidi w:val="0"/>
              <w:spacing w:before="0" w:after="283"/>
              <w:jc w:val="left"/>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 PER SHARE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6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jc w:val="both"/>
        <w:rPr/>
      </w:pPr>
      <w:r>
        <w:rPr>
          <w:rFonts w:ascii="Times New Roman" w:hAnsi="Times New Roman"/>
          <w:color w:val="000000"/>
          <w:sz w:val="13"/>
        </w:rPr>
        <w:t>During the year ended December 31, 2023, the Company received $0.2</w:t>
      </w:r>
      <w:r>
        <w:rPr>
          <w:color w:val="000000"/>
        </w:rPr>
        <w:t xml:space="preserve"> </w:t>
      </w:r>
      <w:r>
        <w:rPr>
          <w:rFonts w:ascii="Times New Roman" w:hAnsi="Times New Roman"/>
          <w:color w:val="000000"/>
          <w:sz w:val="13"/>
        </w:rPr>
        <w:t xml:space="preserve">million of non-recurring income that was paid-in-kind and included in this financial statement line item.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LOGAN RIDGE FINANCE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consolidated_statements_of_changes_in_"/>
      <w:bookmarkEnd w:id="20"/>
      <w:r>
        <w:rPr>
          <w:rFonts w:ascii="Times New Roman" w:hAnsi="Times New Roman"/>
          <w:b/>
          <w:color w:val="000000"/>
          <w:sz w:val="16"/>
        </w:rPr>
        <w:t>CONSOLIDATED STATEMENTS OF CHANGES IN NET ASSETS</w:t>
        <w:b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47"/>
        <w:gridCol w:w="146"/>
        <w:gridCol w:w="826"/>
        <w:gridCol w:w="166"/>
        <w:gridCol w:w="146"/>
        <w:gridCol w:w="297"/>
        <w:gridCol w:w="524"/>
        <w:gridCol w:w="146"/>
        <w:gridCol w:w="146"/>
        <w:gridCol w:w="196"/>
        <w:gridCol w:w="691"/>
        <w:gridCol w:w="166"/>
        <w:gridCol w:w="146"/>
        <w:gridCol w:w="217"/>
        <w:gridCol w:w="834"/>
        <w:gridCol w:w="166"/>
        <w:gridCol w:w="146"/>
        <w:gridCol w:w="196"/>
        <w:gridCol w:w="691"/>
        <w:gridCol w:w="312"/>
      </w:tblGrid>
      <w:tr>
        <w:trPr/>
        <w:tc>
          <w:tcPr>
            <w:tcW w:w="4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047" w:type="dxa"/>
            <w:tcBorders/>
            <w:shd w:fill="FFFFFF" w:val="cle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2" w:type="dxa"/>
            <w:tcBorders/>
            <w:shd w:fill="FFFFFF" w:val="clear"/>
            <w:vAlign w:val="center"/>
          </w:tcPr>
          <w:p>
            <w:pPr>
              <w:pStyle w:val="TableContents"/>
              <w:bidi w:val="0"/>
              <w:spacing w:before="0" w:after="283"/>
              <w:jc w:val="center"/>
              <w:rPr/>
            </w:pPr>
            <w:r>
              <w:rPr/>
              <w:t> </w:t>
            </w:r>
          </w:p>
        </w:tc>
      </w:tr>
      <w:tr>
        <w:trPr/>
        <w:tc>
          <w:tcPr>
            <w:tcW w:w="4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Years Ended December 31, 2021, 2022 and 2023</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br/>
              <w:t>Excess of</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Distributable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2020</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(120,561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108,947</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loss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10,667</w:t>
            </w:r>
          </w:p>
        </w:tc>
        <w:tc>
          <w:tcPr>
            <w:tcW w:w="312" w:type="dxa"/>
            <w:tcBorders/>
            <w:shd w:fill="FFFFFF" w:val="clear"/>
            <w:vAlign w:val="center"/>
          </w:tcPr>
          <w:p>
            <w:pPr>
              <w:pStyle w:val="TableContents"/>
              <w:bidi w:val="0"/>
              <w:spacing w:before="0" w:after="283"/>
              <w:ind w:left="0" w:right="0" w:firstLine="100"/>
              <w:jc w:val="left"/>
              <w:rPr/>
            </w:pPr>
            <w:r>
              <w:rPr/>
              <w:t> </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312"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BALANCE, December 31, 2021</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(81,844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107,029</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loss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BALANCE,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95,005</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12" w:type="dxa"/>
            <w:tcBorders/>
            <w:shd w:fill="CFF0FC" w:val="clear"/>
            <w:vAlign w:val="center"/>
          </w:tcPr>
          <w:p>
            <w:pPr>
              <w:pStyle w:val="TableContents"/>
              <w:bidi w:val="0"/>
              <w:spacing w:before="0" w:after="283"/>
              <w:ind w:left="0" w:right="0" w:firstLine="100"/>
              <w:jc w:val="left"/>
              <w:rPr/>
            </w:pPr>
            <w:r>
              <w:rPr/>
              <w:t> </w:t>
            </w:r>
          </w:p>
        </w:tc>
      </w:tr>
      <w:tr>
        <w:trPr/>
        <w:tc>
          <w:tcPr>
            <w:tcW w:w="404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312"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04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Tax reclassification of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4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BALANCE,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LOGAN RIDGE FINANCE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_statements_of_cash_flows"/>
      <w:bookmarkEnd w:id="21"/>
      <w:r>
        <w:rPr>
          <w:rFonts w:ascii="Times New Roman" w:hAnsi="Times New Roman"/>
          <w:b/>
          <w:color w:val="000000"/>
          <w:sz w:val="16"/>
        </w:rPr>
        <w:t xml:space="preserve">CONSOLIDATED STATEMENTS OF CASH FLOWS </w:t>
        <w:b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33"/>
        <w:gridCol w:w="146"/>
        <w:gridCol w:w="196"/>
        <w:gridCol w:w="661"/>
        <w:gridCol w:w="166"/>
        <w:gridCol w:w="146"/>
        <w:gridCol w:w="196"/>
        <w:gridCol w:w="751"/>
        <w:gridCol w:w="166"/>
        <w:gridCol w:w="146"/>
        <w:gridCol w:w="196"/>
        <w:gridCol w:w="691"/>
        <w:gridCol w:w="511"/>
      </w:tblGrid>
      <w:tr>
        <w:trPr/>
        <w:tc>
          <w:tcPr>
            <w:tcW w:w="6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2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3"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Adjustments to reconcile net decrease in net assets resulting from operations to 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62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(89,432</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Repayments and sales of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169,616</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2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2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(10,667</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2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and dividends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original issue discount on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deferred financing fees and original issue discount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w:t>
            </w:r>
          </w:p>
        </w:tc>
        <w:tc>
          <w:tcPr>
            <w:tcW w:w="511" w:type="dxa"/>
            <w:tcBorders/>
            <w:shd w:fill="CFF0FC" w:val="clear"/>
            <w:vAlign w:val="center"/>
          </w:tcPr>
          <w:p>
            <w:pPr>
              <w:pStyle w:val="TableContents"/>
              <w:bidi w:val="0"/>
              <w:spacing w:before="0" w:after="283"/>
              <w:ind w:left="0" w:right="0" w:firstLine="200"/>
              <w:jc w:val="left"/>
              <w:rPr/>
            </w:pPr>
            <w:r>
              <w:rPr/>
              <w:t> </w:t>
            </w:r>
          </w:p>
        </w:tc>
      </w:tr>
      <w:tr>
        <w:trPr/>
        <w:tc>
          <w:tcPr>
            <w:tcW w:w="62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300"/>
              <w:jc w:val="right"/>
              <w:rPr/>
            </w:pPr>
            <w:r>
              <w:rPr/>
              <w:t> </w:t>
            </w:r>
          </w:p>
        </w:tc>
      </w:tr>
      <w:tr>
        <w:trPr/>
        <w:tc>
          <w:tcPr>
            <w:tcW w:w="623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23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(2,281</w:t>
            </w:r>
          </w:p>
        </w:tc>
        <w:tc>
          <w:tcPr>
            <w:tcW w:w="511" w:type="dxa"/>
            <w:tcBorders/>
            <w:shd w:fill="FFFFFF"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Receivable for unsettled trades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300"/>
              <w:jc w:val="left"/>
              <w:rPr/>
            </w:pPr>
            <w:r>
              <w:rPr/>
              <w:t> </w:t>
            </w:r>
          </w:p>
        </w:tc>
      </w:tr>
      <w:tr>
        <w:trPr/>
        <w:tc>
          <w:tcPr>
            <w:tcW w:w="623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w:t>
            </w:r>
          </w:p>
        </w:tc>
        <w:tc>
          <w:tcPr>
            <w:tcW w:w="511" w:type="dxa"/>
            <w:tcBorders/>
            <w:shd w:fill="CFF0FC"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w:t>
            </w:r>
          </w:p>
        </w:tc>
        <w:tc>
          <w:tcPr>
            <w:tcW w:w="511" w:type="dxa"/>
            <w:tcBorders/>
            <w:shd w:fill="FFFFFF"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9,265</w:t>
            </w:r>
          </w:p>
        </w:tc>
        <w:tc>
          <w:tcPr>
            <w:tcW w:w="511" w:type="dxa"/>
            <w:tcBorders/>
            <w:shd w:fill="CFF0FC" w:val="clear"/>
            <w:vAlign w:val="center"/>
          </w:tcPr>
          <w:p>
            <w:pPr>
              <w:pStyle w:val="TableContents"/>
              <w:bidi w:val="0"/>
              <w:spacing w:before="0" w:after="283"/>
              <w:ind w:left="0" w:right="0" w:firstLine="300"/>
              <w:jc w:val="left"/>
              <w:rPr/>
            </w:pPr>
            <w:r>
              <w:rPr/>
              <w:t> </w:t>
            </w:r>
          </w:p>
        </w:tc>
      </w:tr>
      <w:tr>
        <w:trPr/>
        <w:tc>
          <w:tcPr>
            <w:tcW w:w="6233"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 of SBA-guaranteed debentures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(91,000</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Prepayment penalty on SBA-guaranteed debentures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issuance of 2026 Notes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49,000</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Proceeds from issuance of 2032 Convertible Notes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 of 2022 Notes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 of 2022 Convertible Notes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Borrowings under KeyBank Credit Facility</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under KeyBank Credit Facility</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5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to shareholders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6233"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Deferred financing fees paid</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FINANCING ACTIVITIES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(10,886</w:t>
            </w:r>
          </w:p>
        </w:tc>
        <w:tc>
          <w:tcPr>
            <w:tcW w:w="5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CASH FLOW INFORMATION</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10,604</w:t>
            </w:r>
          </w:p>
        </w:tc>
        <w:tc>
          <w:tcPr>
            <w:tcW w:w="511" w:type="dxa"/>
            <w:tcBorders/>
            <w:shd w:fill="CFF0FC" w:val="clear"/>
            <w:vAlign w:val="center"/>
          </w:tcPr>
          <w:p>
            <w:pPr>
              <w:pStyle w:val="TableContents"/>
              <w:bidi w:val="0"/>
              <w:spacing w:before="0" w:after="283"/>
              <w:jc w:val="left"/>
              <w:rPr/>
            </w:pPr>
            <w:r>
              <w:rPr/>
              <w:t> </w:t>
            </w:r>
          </w:p>
        </w:tc>
      </w:tr>
      <w:tr>
        <w:trPr/>
        <w:tc>
          <w:tcPr>
            <w:tcW w:w="623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NON-CASH INVESTING AND</w:t>
              <w:br/>
              <w:t>   FINANCING TRANSACTIONS</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623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through dividend reinvestment plan share issuances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22" w:name="consolidated_schedule_invest_12312021"/>
      <w:bookmarkEnd w:id="22"/>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3"/>
        <w:gridCol w:w="146"/>
        <w:gridCol w:w="1203"/>
        <w:gridCol w:w="146"/>
        <w:gridCol w:w="706"/>
        <w:gridCol w:w="146"/>
        <w:gridCol w:w="976"/>
        <w:gridCol w:w="146"/>
        <w:gridCol w:w="464"/>
        <w:gridCol w:w="146"/>
        <w:gridCol w:w="608"/>
        <w:gridCol w:w="146"/>
        <w:gridCol w:w="171"/>
        <w:gridCol w:w="583"/>
        <w:gridCol w:w="146"/>
        <w:gridCol w:w="146"/>
        <w:gridCol w:w="166"/>
        <w:gridCol w:w="496"/>
        <w:gridCol w:w="151"/>
        <w:gridCol w:w="146"/>
        <w:gridCol w:w="166"/>
        <w:gridCol w:w="496"/>
        <w:gridCol w:w="151"/>
        <w:gridCol w:w="146"/>
        <w:gridCol w:w="665"/>
      </w:tblGrid>
      <w:tr>
        <w:trPr/>
        <w:tc>
          <w:tcPr>
            <w:tcW w:w="1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676"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- 181.5%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- 136.2%</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16.47%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 5.25%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01/01/2025</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5.50%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9.60%</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+ 4.25%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12.39%</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18.38%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First Out)</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Second Out)</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10.89%</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13.71%</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13.53%</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Symplr Software,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9.98%</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+ 7.16%</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TransNetwork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11/20/2030</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- 7.9%</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 12.96%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- 26.4%</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14.14%</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- 1.8%</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22.05%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27.86%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- 1.5%</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79"/>
        <w:gridCol w:w="146"/>
        <w:gridCol w:w="1450"/>
        <w:gridCol w:w="146"/>
        <w:gridCol w:w="718"/>
        <w:gridCol w:w="146"/>
        <w:gridCol w:w="787"/>
        <w:gridCol w:w="146"/>
        <w:gridCol w:w="469"/>
        <w:gridCol w:w="146"/>
        <w:gridCol w:w="610"/>
        <w:gridCol w:w="146"/>
        <w:gridCol w:w="157"/>
        <w:gridCol w:w="696"/>
        <w:gridCol w:w="146"/>
        <w:gridCol w:w="146"/>
        <w:gridCol w:w="166"/>
        <w:gridCol w:w="496"/>
        <w:gridCol w:w="146"/>
        <w:gridCol w:w="146"/>
        <w:gridCol w:w="166"/>
        <w:gridCol w:w="496"/>
        <w:gridCol w:w="146"/>
        <w:gridCol w:w="146"/>
        <w:gridCol w:w="663"/>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- 7.7%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 Warrants</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4039" w:type="dxa"/>
            <w:gridSpan w:val="5"/>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- 31.2%^</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- 2.8%</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- 0.5%</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- 7.6%</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- 19.3%</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- 212.7%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 xml:space="preserve">^ As defined in the Investment Company Act, the investment is deemed to be an </w:t>
      </w:r>
      <w:r>
        <w:rPr>
          <w:rFonts w:ascii="Times New Roman" w:hAnsi="Times New Roman"/>
          <w:color w:val="000000"/>
          <w:sz w:val="20"/>
        </w:rPr>
        <w:t>“</w:t>
      </w:r>
      <w:r>
        <w:rPr>
          <w:rFonts w:ascii="Times New Roman" w:hAnsi="Times New Roman"/>
          <w:color w:val="000000"/>
          <w:sz w:val="13"/>
        </w:rPr>
        <w:t>affiliated person”</w:t>
      </w:r>
      <w:r>
        <w:rPr>
          <w:rFonts w:ascii="Times New Roman" w:hAnsi="Times New Roman"/>
          <w:color w:val="000000"/>
          <w:sz w:val="20"/>
        </w:rPr>
        <w:t xml:space="preserve"> </w:t>
      </w:r>
      <w:r>
        <w:rPr>
          <w:rFonts w:ascii="Times New Roman" w:hAnsi="Times New Roman"/>
          <w:color w:val="000000"/>
          <w:sz w:val="13"/>
        </w:rPr>
        <w:t>of the Company because the Company owns, either directly or indirectly, 5% or more of the portfolio company’s outstanding voting securities.</w:t>
      </w:r>
    </w:p>
    <w:p>
      <w:pPr>
        <w:pStyle w:val="TextBody"/>
        <w:bidi w:val="0"/>
        <w:jc w:val="both"/>
        <w:rPr>
          <w:rFonts w:ascii="Times New Roman" w:hAnsi="Times New Roman"/>
          <w:sz w:val="20"/>
        </w:rPr>
      </w:pPr>
      <w:r>
        <w:rPr>
          <w:rFonts w:ascii="Times New Roman" w:hAnsi="Times New Roman"/>
          <w:color w:val="000000"/>
          <w:sz w:val="13"/>
        </w:rPr>
        <w:t>^^ As defined in the Investment Company Act, the investment is deemed to be a “controlled affiliated person”</w:t>
      </w:r>
      <w:r>
        <w:rPr>
          <w:rFonts w:ascii="Times New Roman" w:hAnsi="Times New Roman"/>
          <w:color w:val="000000"/>
          <w:sz w:val="20"/>
        </w:rPr>
        <w:t xml:space="preserve"> </w:t>
      </w:r>
      <w:r>
        <w:rPr>
          <w:rFonts w:ascii="Times New Roman" w:hAnsi="Times New Roman"/>
          <w:color w:val="000000"/>
          <w:sz w:val="13"/>
        </w:rPr>
        <w:t>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color w:val="000000"/>
          <w:sz w:val="13"/>
        </w:rPr>
      </w:pPr>
      <w:r>
        <w:rPr>
          <w:rFonts w:ascii="Times New Roman" w:hAnsi="Times New Roman"/>
          <w:color w:val="000000"/>
          <w:sz w:val="13"/>
        </w:rPr>
        <w:t>(+) Represents the actual interest rate for partially or fully funded debt in effect as of the reporting date. Variable rate loans bear interest at a rate that may be determined by the larger of the floor of the reference to SOFR, or alternate base rate at the borrower’s option, which reset periodically based on the terms of the credit agreement. SOFR loans are typically indexed to 6 month, 3 month, or 1 month SOFR rates. As of December 31, 2023, rates for the 6 month, 3 month, and 1 month SOFR are 5.16%, 5.33%, and 5.35%, respectively. For investments with multiple reference rates or alternate base rates, the interest rate shown is the weighted average interest rate in effect at December 31, 2023.</w:t>
      </w:r>
    </w:p>
    <w:p>
      <w:pPr>
        <w:pStyle w:val="TextBody"/>
        <w:bidi w:val="0"/>
        <w:jc w:val="both"/>
        <w:rPr>
          <w:rFonts w:ascii="Times New Roman" w:hAnsi="Times New Roman"/>
          <w:sz w:val="20"/>
        </w:rPr>
      </w:pPr>
      <w:r>
        <w:rPr>
          <w:rFonts w:ascii="Times New Roman" w:hAnsi="Times New Roman"/>
          <w:color w:val="000000"/>
          <w:sz w:val="13"/>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All investments valued using unobservable inputs (Level 3), unless otherwise noted.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pPr>
      <w:r>
        <w:rPr>
          <w:rFonts w:ascii="Times New Roman" w:hAnsi="Times New Roman"/>
          <w:color w:val="000000"/>
          <w:sz w:val="13"/>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pPr>
      <w:r>
        <w:rPr>
          <w:rFonts w:ascii="Times New Roman" w:hAnsi="Times New Roman"/>
          <w:color w:val="000000"/>
          <w:sz w:val="13"/>
        </w:rPr>
        <w:t>All debt investments are income producing, unless otherwise noted. Equity and warrant investments are non-income producing, unless otherwise noted.</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pPr>
      <w:r>
        <w:rPr>
          <w:rFonts w:ascii="Times New Roman" w:hAnsi="Times New Roman"/>
          <w:color w:val="000000"/>
          <w:sz w:val="13"/>
        </w:rPr>
        <w:t>Percentages are based on net assets as of December 31, 2023.</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spacing w:before="0" w:after="0"/>
        <w:jc w:val="both"/>
        <w:rPr/>
      </w:pPr>
      <w:r>
        <w:rPr>
          <w:rFonts w:ascii="Times New Roman" w:hAnsi="Times New Roman"/>
          <w:color w:val="000000"/>
          <w:sz w:val="13"/>
        </w:rPr>
        <w:t>Investment is held through our Taxable Subsidiary (See Note 1).</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(7)</w:t>
      </w:r>
    </w:p>
    <w:p>
      <w:pPr>
        <w:pStyle w:val="TextBody"/>
        <w:bidi w:val="0"/>
        <w:spacing w:before="0" w:after="0"/>
        <w:jc w:val="both"/>
        <w:rPr/>
      </w:pPr>
      <w:r>
        <w:rPr>
          <w:rFonts w:ascii="Times New Roman" w:hAnsi="Times New Roman"/>
          <w:color w:val="000000"/>
          <w:sz w:val="13"/>
        </w:rPr>
        <w:t>Non-accrual investment.</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(8)</w:t>
      </w:r>
    </w:p>
    <w:p>
      <w:pPr>
        <w:pStyle w:val="TextBody"/>
        <w:bidi w:val="0"/>
        <w:spacing w:before="0" w:after="0"/>
        <w:jc w:val="both"/>
        <w:rPr/>
      </w:pPr>
      <w:r>
        <w:rPr>
          <w:rFonts w:ascii="Times New Roman" w:hAnsi="Times New Roman"/>
          <w:color w:val="000000"/>
          <w:sz w:val="13"/>
        </w:rPr>
        <w:t>1.0% of interest rate payable in cash. The remainder of interest rate payable in cash or paid-in-kind at borrower’s election.</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(9)</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Not used.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(10)</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Not used.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(12)</w:t>
      </w:r>
    </w:p>
    <w:p>
      <w:pPr>
        <w:pStyle w:val="TextBody"/>
        <w:bidi w:val="0"/>
        <w:spacing w:before="0" w:after="0"/>
        <w:jc w:val="both"/>
        <w:rPr/>
      </w:pPr>
      <w:r>
        <w:rPr>
          <w:rFonts w:ascii="Times New Roman" w:hAnsi="Times New Roman"/>
          <w:color w:val="000000"/>
          <w:sz w:val="13"/>
        </w:rPr>
        <w:t>The Company has an unfunded loan or investment commitment to the portfolio company at December 31, 2023</w:t>
      </w:r>
      <w:r>
        <w:rPr>
          <w:color w:val="000000"/>
        </w:rPr>
        <w:t xml:space="preserve"> </w:t>
      </w:r>
      <w:r>
        <w:rPr>
          <w:rFonts w:ascii="Times New Roman" w:hAnsi="Times New Roman"/>
          <w:color w:val="000000"/>
          <w:sz w:val="13"/>
        </w:rPr>
        <w:t xml:space="preserve">(See Note 2).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(13)</w:t>
      </w:r>
    </w:p>
    <w:p>
      <w:pPr>
        <w:pStyle w:val="TextBody"/>
        <w:bidi w:val="0"/>
        <w:spacing w:before="0" w:after="0"/>
        <w:jc w:val="both"/>
        <w:rPr/>
      </w:pPr>
      <w:r>
        <w:rPr>
          <w:rFonts w:ascii="Times New Roman" w:hAnsi="Times New Roman"/>
          <w:color w:val="000000"/>
          <w:sz w:val="13"/>
        </w:rPr>
        <w:t>Collateralized loan obligations (</w:t>
      </w:r>
      <w:r>
        <w:rPr>
          <w:color w:val="000000"/>
        </w:rPr>
        <w:t>“</w:t>
      </w:r>
      <w:r>
        <w:rPr>
          <w:rFonts w:ascii="Times New Roman" w:hAnsi="Times New Roman"/>
          <w:color w:val="000000"/>
          <w:sz w:val="13"/>
        </w:rPr>
        <w:t>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(14)</w:t>
      </w:r>
    </w:p>
    <w:p>
      <w:pPr>
        <w:pStyle w:val="TextBody"/>
        <w:bidi w:val="0"/>
        <w:spacing w:before="0" w:after="0"/>
        <w:jc w:val="both"/>
        <w:rPr/>
      </w:pPr>
      <w:r>
        <w:rPr>
          <w:rFonts w:ascii="Times New Roman" w:hAnsi="Times New Roman"/>
          <w:color w:val="000000"/>
          <w:sz w:val="13"/>
        </w:rPr>
        <w:t>The equity investment is income producing, based on rate disclosed.</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(15)</w:t>
      </w:r>
    </w:p>
    <w:p>
      <w:pPr>
        <w:pStyle w:val="TextBody"/>
        <w:bidi w:val="0"/>
        <w:spacing w:before="0" w:after="0"/>
        <w:jc w:val="both"/>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99%</w:t>
      </w:r>
      <w:r>
        <w:rPr>
          <w:color w:val="000000"/>
        </w:rPr>
        <w:t xml:space="preserve"> </w:t>
      </w:r>
      <w:r>
        <w:rPr>
          <w:rFonts w:ascii="Times New Roman" w:hAnsi="Times New Roman"/>
          <w:color w:val="000000"/>
          <w:sz w:val="13"/>
        </w:rPr>
        <w:t>of the Company’s total assets and non-qualifying assets represent 1%</w:t>
      </w:r>
      <w:r>
        <w:rPr>
          <w:color w:val="000000"/>
        </w:rPr>
        <w:t xml:space="preserve"> </w:t>
      </w:r>
      <w:r>
        <w:rPr>
          <w:rFonts w:ascii="Times New Roman" w:hAnsi="Times New Roman"/>
          <w:color w:val="000000"/>
          <w:sz w:val="13"/>
        </w:rPr>
        <w:t>of the Company’s total assets.</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(16)</w:t>
      </w:r>
    </w:p>
    <w:p>
      <w:pPr>
        <w:pStyle w:val="TextBody"/>
        <w:bidi w:val="0"/>
        <w:spacing w:before="0" w:after="0"/>
        <w:jc w:val="both"/>
        <w:rPr/>
      </w:pPr>
      <w:r>
        <w:rPr>
          <w:rFonts w:ascii="Times New Roman" w:hAnsi="Times New Roman"/>
          <w:color w:val="000000"/>
          <w:sz w:val="13"/>
        </w:rPr>
        <w:t>All or a portion of this security is pledged as collateral under the KeyBank Credit Facility and held through the Company</w:t>
      </w:r>
      <w:r>
        <w:rPr>
          <w:color w:val="000000"/>
        </w:rPr>
        <w:t>’</w:t>
      </w:r>
      <w:r>
        <w:rPr>
          <w:rFonts w:ascii="Times New Roman" w:hAnsi="Times New Roman"/>
          <w:color w:val="000000"/>
          <w:sz w:val="13"/>
        </w:rPr>
        <w:t xml:space="preserve">s wholly-owned subsidiary, Capitala Business Lending, LLC.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(17)</w:t>
      </w:r>
    </w:p>
    <w:p>
      <w:pPr>
        <w:pStyle w:val="TextBody"/>
        <w:bidi w:val="0"/>
        <w:jc w:val="both"/>
        <w:rPr>
          <w:rFonts w:ascii="Times New Roman" w:hAnsi="Times New Roman"/>
          <w:color w:val="000000"/>
          <w:sz w:val="13"/>
        </w:rPr>
      </w:pPr>
      <w:r>
        <w:rPr>
          <w:rFonts w:ascii="Times New Roman" w:hAnsi="Times New Roman"/>
          <w:color w:val="000000"/>
          <w:sz w:val="13"/>
        </w:rPr>
        <w:t>The negative cost is the result of the capitalized discount being greater than the principal amount outstanding on the loan.</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23" w:name="consolidated_schedule_invest_12312020"/>
      <w:bookmarkEnd w:id="23"/>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DECEMBER 31, 2022</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30"/>
        <w:gridCol w:w="146"/>
        <w:gridCol w:w="1153"/>
        <w:gridCol w:w="146"/>
        <w:gridCol w:w="679"/>
        <w:gridCol w:w="146"/>
        <w:gridCol w:w="909"/>
        <w:gridCol w:w="146"/>
        <w:gridCol w:w="453"/>
        <w:gridCol w:w="146"/>
        <w:gridCol w:w="605"/>
        <w:gridCol w:w="146"/>
        <w:gridCol w:w="188"/>
        <w:gridCol w:w="563"/>
        <w:gridCol w:w="146"/>
        <w:gridCol w:w="146"/>
        <w:gridCol w:w="166"/>
        <w:gridCol w:w="496"/>
        <w:gridCol w:w="386"/>
        <w:gridCol w:w="386"/>
        <w:gridCol w:w="166"/>
        <w:gridCol w:w="496"/>
        <w:gridCol w:w="151"/>
        <w:gridCol w:w="146"/>
        <w:gridCol w:w="664"/>
      </w:tblGrid>
      <w:tr>
        <w:trPr/>
        <w:tc>
          <w:tcPr>
            <w:tcW w:w="1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208"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- 186.6%</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- 137.7%</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10.44%</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12/18/2022</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15.38%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+ 4.75%, 6.25% PIK</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+ 7.00%, 4.27% PIK</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9.88%</w:t>
            </w:r>
          </w:p>
        </w:tc>
        <w:tc>
          <w:tcPr>
            <w:tcW w:w="146" w:type="dxa"/>
            <w:tcBorders/>
            <w:shd w:fill="CFF0FC" w:val="clear"/>
            <w:vAlign w:val="center"/>
          </w:tcPr>
          <w:p>
            <w:pPr>
              <w:pStyle w:val="TableContents"/>
              <w:bidi w:val="0"/>
              <w:spacing w:before="0" w:after="283"/>
              <w:jc w:val="righ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+ 5.50%</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righ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8.87%</w:t>
            </w:r>
          </w:p>
        </w:tc>
        <w:tc>
          <w:tcPr>
            <w:tcW w:w="146" w:type="dxa"/>
            <w:tcBorders/>
            <w:shd w:fill="FFFFFF" w:val="clear"/>
            <w:vAlign w:val="center"/>
          </w:tcPr>
          <w:p>
            <w:pPr>
              <w:pStyle w:val="TableContents"/>
              <w:bidi w:val="0"/>
              <w:spacing w:before="0" w:after="283"/>
              <w:jc w:val="righ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FFFFFF" w:val="clear"/>
            <w:vAlign w:val="center"/>
          </w:tcPr>
          <w:p>
            <w:pPr>
              <w:pStyle w:val="TableContents"/>
              <w:bidi w:val="0"/>
              <w:spacing w:before="0" w:after="283"/>
              <w:jc w:val="righ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 Plus Technologies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+ 4.25%</w:t>
            </w:r>
          </w:p>
        </w:tc>
        <w:tc>
          <w:tcPr>
            <w:tcW w:w="146" w:type="dxa"/>
            <w:tcBorders/>
            <w:shd w:fill="CFF0FC" w:val="clear"/>
            <w:vAlign w:val="center"/>
          </w:tcPr>
          <w:p>
            <w:pPr>
              <w:pStyle w:val="TableContents"/>
              <w:bidi w:val="0"/>
              <w:spacing w:before="0" w:after="283"/>
              <w:jc w:val="righ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+ 5.75%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w:t>
            </w:r>
          </w:p>
        </w:tc>
        <w:tc>
          <w:tcPr>
            <w:tcW w:w="3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CIMSense</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12/17/2026</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+ 6.75%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3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Fortis Payment Solutions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02/13/2026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Grindr Capital,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11/14/2027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Heads Up Technologies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10.14%</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08/10/2028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17.53%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Jurassic Quest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Entertainment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+ 7.50%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05/01/2024</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7,855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Marble Point Credit Management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10.75%</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08/11/2028</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Marble Point Credit Management LLC (Revolver)</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08/11/2028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38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10.08%</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8.82%</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Patriot Pickle,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10.16%</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+ 5.43%</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04/13/2027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10.13%</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+ 5.75%</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10.78%</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9,695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Shock Doctor,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9.37%</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05/14/2024</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10.32%</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Symplr Software,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8.69%</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136,961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130,810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- 5.9%</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12.94%</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+ 8.50%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+ 7.25%</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5,551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- 27.2%</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13.17%</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 PIK</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- 5.2%</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24.43%</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2.16%</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4,462</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6,185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72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- 2.3%</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 - Series A</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 - Series B</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 - Series 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Jurassic Quest Holdings, LLC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Entertainment</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43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15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67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72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67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7,752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DECEMBER 31, 2022</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33"/>
        <w:gridCol w:w="146"/>
        <w:gridCol w:w="1039"/>
        <w:gridCol w:w="146"/>
        <w:gridCol w:w="597"/>
        <w:gridCol w:w="146"/>
        <w:gridCol w:w="707"/>
        <w:gridCol w:w="146"/>
        <w:gridCol w:w="420"/>
        <w:gridCol w:w="146"/>
        <w:gridCol w:w="594"/>
        <w:gridCol w:w="146"/>
        <w:gridCol w:w="150"/>
        <w:gridCol w:w="664"/>
        <w:gridCol w:w="386"/>
        <w:gridCol w:w="386"/>
        <w:gridCol w:w="166"/>
        <w:gridCol w:w="496"/>
        <w:gridCol w:w="386"/>
        <w:gridCol w:w="386"/>
        <w:gridCol w:w="166"/>
        <w:gridCol w:w="496"/>
        <w:gridCol w:w="146"/>
        <w:gridCol w:w="146"/>
        <w:gridCol w:w="665"/>
      </w:tblGrid>
      <w:tr>
        <w:trPr/>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- 8.3%</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ind w:left="0" w:right="0" w:firstLine="240"/>
              <w:jc w:val="righ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20,092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Alternative Biomedical Solutions, LLC - Membership Unit Warrants</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49,295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2,033,247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261" w:type="dxa"/>
            <w:gridSpan w:val="5"/>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191,435</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- 27.7%^</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- 6.4%</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12.00%</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04/01/2022</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 (First Out)</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9.12%</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L + 5.00%</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01/04/2024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 (Last Out)</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12.45%</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01/04/2024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04/01/2022</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15.00% PIK</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09/12/2023</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- 0.4%</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- 8.7%</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8.00% PIK</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1,135</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- 11.2%</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33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03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33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15,068,000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2518"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4"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29,081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2518"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- 214.3%</w:t>
            </w:r>
          </w:p>
        </w:tc>
        <w:tc>
          <w:tcPr>
            <w:tcW w:w="146"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4"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220,516</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both"/>
        <w:rPr>
          <w:rFonts w:ascii="Times New Roman" w:hAnsi="Times New Roman"/>
          <w:color w:val="000000"/>
          <w:sz w:val="13"/>
        </w:rPr>
      </w:pPr>
      <w:r>
        <w:rPr>
          <w:rFonts w:ascii="Times New Roman" w:hAnsi="Times New Roman"/>
          <w:color w:val="000000"/>
          <w:sz w:val="13"/>
        </w:rPr>
        <w:t>^ As defined in the Investment Company Act, the investment is deemed to be an “affiliated person” of the Company because the Company owns, either directly or indirectly, 5% or more of the portfolio company’s outstanding voting securities.</w:t>
      </w:r>
    </w:p>
    <w:p>
      <w:pPr>
        <w:pStyle w:val="TextBody"/>
        <w:bidi w:val="0"/>
        <w:jc w:val="both"/>
        <w:rPr>
          <w:rFonts w:ascii="Times New Roman" w:hAnsi="Times New Roman"/>
          <w:color w:val="000000"/>
          <w:sz w:val="13"/>
        </w:rPr>
      </w:pPr>
      <w:r>
        <w:rPr>
          <w:rFonts w:ascii="Times New Roman" w:hAnsi="Times New Roman"/>
          <w:color w:val="000000"/>
          <w:sz w:val="13"/>
        </w:rPr>
        <w:t>^^ 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sz w:val="20"/>
        </w:rPr>
      </w:pPr>
      <w:r>
        <w:rPr>
          <w:rFonts w:ascii="Times New Roman" w:hAnsi="Times New Roman"/>
          <w:color w:val="000000"/>
          <w:sz w:val="13"/>
        </w:rPr>
        <w:t>(+) Represents the actual interest rate for partially or fully funded debt in effect as of the reporting date. Variable rate loans bear interest at a rate that may be determined by the larger of the floor of the reference to either LIBOR (</w:t>
      </w:r>
      <w:r>
        <w:rPr>
          <w:rFonts w:ascii="Times New Roman" w:hAnsi="Times New Roman"/>
          <w:color w:val="000000"/>
          <w:sz w:val="20"/>
        </w:rPr>
        <w:t>“</w:t>
      </w:r>
      <w:r>
        <w:rPr>
          <w:rFonts w:ascii="Times New Roman" w:hAnsi="Times New Roman"/>
          <w:color w:val="000000"/>
          <w:sz w:val="13"/>
        </w:rPr>
        <w:t>L”), SOFR or alternate base rate (unless otherwise noted) at the borrower’s option, which reset periodically based on the terms of the credit agreement. L loans are typically indexed to 6 month, 3 month, or 1 month L rates. SOFR loans are typically indexed to 6 month, 3 month, or 1 month SOFR rates. As of December 31, 2022, rates for the 6 month, 3 month, and 1 month L are 5.14%, 4.77%, and 4.39%, respectively. As of December 31, 2022, rates for the 6 month, 3 month, and 1 month SOFR are 4.78%, 4.59%, and 4.36%, respectively. For investments with multiple reference rates or alternate base rates, the interest rate shown is the weighted average interest rate in effect at December 31, 2022.</w:t>
      </w:r>
    </w:p>
    <w:p>
      <w:pPr>
        <w:pStyle w:val="TextBody"/>
        <w:bidi w:val="0"/>
        <w:jc w:val="both"/>
        <w:rPr>
          <w:rFonts w:ascii="Times New Roman" w:hAnsi="Times New Roman"/>
          <w:sz w:val="20"/>
        </w:rPr>
      </w:pPr>
      <w:r>
        <w:rPr>
          <w:rFonts w:ascii="Times New Roman" w:hAnsi="Times New Roman"/>
          <w:color w:val="000000"/>
          <w:sz w:val="13"/>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All investments valued using unobservable inputs (Level 3), unless otherwise noted.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pPr>
      <w:r>
        <w:rPr>
          <w:rFonts w:ascii="Times New Roman" w:hAnsi="Times New Roman"/>
          <w:color w:val="000000"/>
          <w:sz w:val="13"/>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pPr>
      <w:r>
        <w:rPr>
          <w:rFonts w:ascii="Times New Roman" w:hAnsi="Times New Roman"/>
          <w:color w:val="000000"/>
          <w:sz w:val="13"/>
        </w:rPr>
        <w:t>All debt investments are income producing, unless otherwise noted. Equity and warrant investments are non-income producing, unless otherwise noted.</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Percentages are based on net assets as of December 31, 2022.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spacing w:before="0" w:after="0"/>
        <w:jc w:val="both"/>
        <w:rPr/>
      </w:pPr>
      <w:r>
        <w:rPr>
          <w:rFonts w:ascii="Times New Roman" w:hAnsi="Times New Roman"/>
          <w:color w:val="000000"/>
          <w:sz w:val="13"/>
        </w:rPr>
        <w:t>Investment is held through our Taxable Subsidiary (See Note 1).</w:t>
      </w:r>
      <w:r>
        <w:rPr>
          <w:color w:val="000000"/>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(7)</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Non-accrual investment.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(8)</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1.0% interest rate payable in cash. 9.0% interest rate payable in cash or paid-in-kind at borrower’s election.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(9)</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15.0% interest payable in cash or paid-in-kind at borrower’s election.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(10)</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cash rate equals the approximate current yield on our last-out portion of the unitranche facility.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(12)</w:t>
      </w:r>
    </w:p>
    <w:p>
      <w:pPr>
        <w:pStyle w:val="TextBody"/>
        <w:bidi w:val="0"/>
        <w:spacing w:before="0" w:after="0"/>
        <w:jc w:val="both"/>
        <w:rPr/>
      </w:pPr>
      <w:r>
        <w:rPr>
          <w:rFonts w:ascii="Times New Roman" w:hAnsi="Times New Roman"/>
          <w:color w:val="000000"/>
          <w:sz w:val="13"/>
        </w:rPr>
        <w:t>The Company has an unfunded loan or investment commitment to the portfolio company at December 31, 2022</w:t>
      </w:r>
      <w:r>
        <w:rPr>
          <w:color w:val="000000"/>
        </w:rPr>
        <w:t xml:space="preserve"> </w:t>
      </w:r>
      <w:r>
        <w:rPr>
          <w:rFonts w:ascii="Times New Roman" w:hAnsi="Times New Roman"/>
          <w:color w:val="000000"/>
          <w:sz w:val="13"/>
        </w:rPr>
        <w:t>(See Note 2).</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(13)</w:t>
      </w:r>
    </w:p>
    <w:p>
      <w:pPr>
        <w:pStyle w:val="TextBody"/>
        <w:bidi w:val="0"/>
        <w:spacing w:before="0" w:after="0"/>
        <w:jc w:val="both"/>
        <w:rPr/>
      </w:pPr>
      <w:r>
        <w:rPr>
          <w:rFonts w:ascii="Times New Roman" w:hAnsi="Times New Roman"/>
          <w:color w:val="000000"/>
          <w:sz w:val="13"/>
        </w:rPr>
        <w:t>Collateralized loan obligations (</w:t>
      </w:r>
      <w:r>
        <w:rPr>
          <w:color w:val="000000"/>
        </w:rPr>
        <w:t>“</w:t>
      </w:r>
      <w:r>
        <w:rPr>
          <w:rFonts w:ascii="Times New Roman" w:hAnsi="Times New Roman"/>
          <w:color w:val="000000"/>
          <w:sz w:val="13"/>
        </w:rPr>
        <w:t>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 xml:space="preserve">The equity investment is income producing, based on rate disclosed.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(15)</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97.5% of the Company’s total assets and non-qualifying assets represent 2.5% of the Company’s total assets.</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(16)</w:t>
      </w:r>
    </w:p>
    <w:p>
      <w:pPr>
        <w:pStyle w:val="TextBody"/>
        <w:bidi w:val="0"/>
        <w:jc w:val="both"/>
        <w:rPr/>
      </w:pPr>
      <w:r>
        <w:rPr>
          <w:rFonts w:ascii="Times New Roman" w:hAnsi="Times New Roman"/>
          <w:color w:val="000000"/>
          <w:sz w:val="13"/>
        </w:rPr>
        <w:t>All or a portion of this security is pledged as collateral under the KeyBank Credit Facility and held through the Company</w:t>
      </w:r>
      <w:r>
        <w:rPr>
          <w:color w:val="000000"/>
        </w:rPr>
        <w:t>’</w:t>
      </w:r>
      <w:r>
        <w:rPr>
          <w:rFonts w:ascii="Times New Roman" w:hAnsi="Times New Roman"/>
          <w:color w:val="000000"/>
          <w:sz w:val="13"/>
        </w:rPr>
        <w:t>s wholly-owned subsidiary, Capitala Business Lending, LLC.</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24" w:name="notes_to_consolidated_financial_stmts"/>
      <w:bookmarkEnd w:id="24"/>
      <w:r>
        <w:rPr>
          <w:rFonts w:ascii="Times New Roman" w:hAnsi="Times New Roman"/>
          <w:b/>
          <w:color w:val="000000"/>
          <w:sz w:val="16"/>
        </w:rPr>
        <w:t>NOTES TO CONSOLIDATED FINANCIAL STATEMENTS</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spacing w:before="240" w:after="283"/>
        <w:jc w:val="left"/>
        <w:rPr>
          <w:rFonts w:ascii="Times New Roman" w:hAnsi="Times New Roman"/>
          <w:sz w:val="20"/>
        </w:rPr>
      </w:pPr>
      <w:r>
        <w:rPr>
          <w:rFonts w:ascii="Times New Roman" w:hAnsi="Times New Roman"/>
          <w:b/>
          <w:color w:val="000000"/>
          <w:sz w:val="16"/>
        </w:rPr>
        <w:t>Note 1. Organization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231F20"/>
          <w:sz w:val="16"/>
        </w:rPr>
        <w:t>Logan Ridge Finance Corporation</w:t>
      </w:r>
      <w:r>
        <w:rPr>
          <w:rFonts w:ascii="Times New Roman" w:hAnsi="Times New Roman"/>
          <w:color w:val="000000"/>
          <w:sz w:val="20"/>
        </w:rPr>
        <w:t xml:space="preserve"> </w:t>
      </w:r>
      <w:r>
        <w:rPr>
          <w:rFonts w:ascii="Times New Roman" w:hAnsi="Times New Roman"/>
          <w:color w:val="000000"/>
          <w:sz w:val="16"/>
        </w:rPr>
        <w:t xml:space="preserve">(“Logan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w:t>
      </w:r>
      <w:r>
        <w:rPr>
          <w:rFonts w:ascii="Times New Roman" w:hAnsi="Times New Roman"/>
          <w:color w:val="231F20"/>
          <w:sz w:val="16"/>
        </w:rPr>
        <w:t>Mount Logan Management LLC</w:t>
      </w:r>
      <w:r>
        <w:rPr>
          <w:rFonts w:ascii="Times New Roman" w:hAnsi="Times New Roman"/>
          <w:color w:val="000000"/>
          <w:sz w:val="20"/>
        </w:rPr>
        <w:t xml:space="preserve"> </w:t>
      </w:r>
      <w:r>
        <w:rPr>
          <w:rFonts w:ascii="Times New Roman" w:hAnsi="Times New Roman"/>
          <w:color w:val="000000"/>
          <w:sz w:val="16"/>
        </w:rPr>
        <w:t>(the “Investment Adviser”), an investment adviser that is registered as an investment adviser under the Investment Advisers Act of 1940, as amended, and BC Partners Management LLC (the “Administrator”) provides administrative services necessary for the Company to operate. For United States ("U.S.") federal income tax purposes, the Company has elected to be treated as a regulated investment company (“RIC”) under subchapter M of the Internal Revenue Code of 1986, as amended (the “Code”). The Company believes it qualified as a RIC under the Code for the fiscal year ended December 31, 2023, and the Company intends to comply with the requirements to continue to qualify annually as a RIC under the Code. As further discussed below, for the fiscal years ended December 31, 2022, 2021 and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“Note 2. – Summary of Significant Accounting Policies,” and “Note 7. – Income Taxes” for additional information.</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color w:val="000000"/>
          <w:sz w:val="20"/>
        </w:rPr>
        <w:t xml:space="preserve"> </w:t>
      </w:r>
      <w:r>
        <w:rPr>
          <w:rFonts w:ascii="Times New Roman" w:hAnsi="Times New Roman"/>
          <w:color w:val="000000"/>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color w:val="000000"/>
          <w:sz w:val="20"/>
        </w:rPr>
        <w:t xml:space="preserve"> </w:t>
      </w:r>
      <w:r>
        <w:rPr>
          <w:rFonts w:ascii="Times New Roman" w:hAnsi="Times New Roman"/>
          <w:color w:val="000000"/>
          <w:sz w:val="16"/>
        </w:rPr>
        <w:t>shares of the Company’s common stock at a price of $20.00</w:t>
      </w:r>
      <w:r>
        <w:rPr>
          <w:rFonts w:ascii="Times New Roman" w:hAnsi="Times New Roman"/>
          <w:color w:val="000000"/>
          <w:sz w:val="20"/>
        </w:rPr>
        <w:t xml:space="preserve"> </w:t>
      </w:r>
      <w:r>
        <w:rPr>
          <w:rFonts w:ascii="Times New Roman" w:hAnsi="Times New Roman"/>
          <w:color w:val="000000"/>
          <w:sz w:val="16"/>
        </w:rPr>
        <w:t>per share, resulting in net proceeds to the Company of $74.25</w:t>
      </w:r>
      <w:r>
        <w:rPr>
          <w:rFonts w:ascii="Times New Roman" w:hAnsi="Times New Roman"/>
          <w:color w:val="000000"/>
          <w:sz w:val="20"/>
        </w:rPr>
        <w:t xml:space="preserve"> </w:t>
      </w:r>
      <w:r>
        <w:rPr>
          <w:rFonts w:ascii="Times New Roman" w:hAnsi="Times New Roman"/>
          <w:color w:val="000000"/>
          <w:sz w:val="16"/>
        </w:rPr>
        <w:t>million, after deducting underwriting fees and commissions totaling $4.0</w:t>
      </w:r>
      <w:r>
        <w:rPr>
          <w:rFonts w:ascii="Times New Roman" w:hAnsi="Times New Roman"/>
          <w:color w:val="000000"/>
          <w:sz w:val="20"/>
        </w:rPr>
        <w:t xml:space="preserve"> </w:t>
      </w:r>
      <w:r>
        <w:rPr>
          <w:rFonts w:ascii="Times New Roman" w:hAnsi="Times New Roman"/>
          <w:color w:val="000000"/>
          <w:sz w:val="16"/>
        </w:rPr>
        <w:t>million and offering expenses totaling $1.75</w:t>
      </w:r>
      <w:r>
        <w:rPr>
          <w:rFonts w:ascii="Times New Roman" w:hAnsi="Times New Roman"/>
          <w:color w:val="000000"/>
          <w:sz w:val="20"/>
        </w:rPr>
        <w:t xml:space="preserve"> </w:t>
      </w:r>
      <w:r>
        <w:rPr>
          <w:rFonts w:ascii="Times New Roman" w:hAnsi="Times New Roman"/>
          <w:color w:val="000000"/>
          <w:sz w:val="16"/>
        </w:rPr>
        <w:t xml:space="preserve">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w:t>
      </w:r>
      <w:r>
        <w:rPr>
          <w:rFonts w:ascii="Times New Roman" w:hAnsi="Times New Roman"/>
          <w:color w:val="231F20"/>
          <w:sz w:val="16"/>
        </w:rPr>
        <w:t>On June 10, 2021, Fund III repaid its SBA-guaranteed debentures and relinquished its SBIC license. Accordingly, as of December 31, 2023 and 2022, there were no</w:t>
      </w:r>
      <w:r>
        <w:rPr>
          <w:rFonts w:ascii="Times New Roman" w:hAnsi="Times New Roman"/>
          <w:color w:val="231F20"/>
          <w:sz w:val="20"/>
        </w:rPr>
        <w:t xml:space="preserve"> </w:t>
      </w:r>
      <w:r>
        <w:rPr>
          <w:rFonts w:ascii="Times New Roman" w:hAnsi="Times New Roman"/>
          <w:color w:val="231F20"/>
          <w:sz w:val="16"/>
        </w:rPr>
        <w:t>SBA-guaranteed debentures outstanding.</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w:t>
      </w:r>
      <w:r>
        <w:rPr>
          <w:rFonts w:ascii="Times New Roman" w:hAnsi="Times New Roman"/>
          <w:color w:val="231F20"/>
          <w:sz w:val="16"/>
        </w:rPr>
        <w:t>Logan Ridge Finance Corporation.</w:t>
      </w:r>
    </w:p>
    <w:p>
      <w:pPr>
        <w:pStyle w:val="TextBody"/>
        <w:bidi w:val="0"/>
        <w:spacing w:before="240" w:after="283"/>
        <w:jc w:val="left"/>
        <w:rPr>
          <w:rFonts w:ascii="Times New Roman" w:hAnsi="Times New Roman"/>
          <w:sz w:val="20"/>
        </w:rPr>
      </w:pPr>
      <w:r>
        <w:rPr>
          <w:rFonts w:ascii="Times New Roman" w:hAnsi="Times New Roman"/>
          <w:b/>
          <w:color w:val="000000"/>
          <w:sz w:val="16"/>
        </w:rPr>
        <w:t>Reverse Stock Split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 Unless earlier terminated in accordance with its terms, the Investment Advisory Agreement will remain in effect from year to year if approved annually by the Board or by a majority of our outstanding voting securities, including, in either case, by a majority of our directors who are not “interest persons” as such term is defined in Section 2(a)(19) of the 1940 Act (“Independent Directors”). The Board most recently approved the renewal of the Investment Advisory Agreement at a meeting on May 9,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Transaction, beginning on July 1, 2021,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pStyle w:val="TextBody"/>
        <w:bidi w:val="0"/>
        <w:spacing w:before="240" w:after="283"/>
        <w:jc w:val="left"/>
        <w:rPr>
          <w:rFonts w:ascii="Times New Roman" w:hAnsi="Times New Roman"/>
          <w:sz w:val="20"/>
        </w:rPr>
      </w:pPr>
      <w:r>
        <w:rPr>
          <w:rFonts w:ascii="Times New Roman" w:hAnsi="Times New Roman"/>
          <w:b/>
          <w:color w:val="000000"/>
          <w:sz w:val="16"/>
        </w:rPr>
        <w:t>Note 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Basis of Presentation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accompanying consolidated financial statements have been prepared in accordance with U.S. generally accepted accounting principles (“U.S. GAAP”) pursuant to the requirements for reporting on Form 10-K and Regulation S-X, as appropriate. These consolidated financial statements reflect adjustments that in the opinion of the Company are necessary for the fair presentation of the financial position and results of operations as of and for the periods presented herein. The Company is considered an investment company as defined in Accounting Standards Codification (“ASC”) Topic 946 — Financial Services — Investment Companies (“ASC 946”) and therefore applies the accounting and reporting guidance applicable to investment companies. The Company has evaluated subsequent events through the date of issuance of the consolidated financial statements.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Company’s financial statements as of December 31, 2023 and 2022 and for the years ended December 31, 2023, 2022 and 2021 are presented on a consolidated basis. The consolidated financial statements of the Company include the accounts of the Company and its wholly owned subsidiaries, including Fund II, Fund III, CBL, and the Taxable Subsidiaries.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240" w:after="283"/>
        <w:jc w:val="left"/>
        <w:rPr>
          <w:rFonts w:ascii="Times New Roman" w:hAnsi="Times New Roman"/>
          <w:sz w:val="20"/>
        </w:rPr>
      </w:pPr>
      <w:r>
        <w:rPr>
          <w:rFonts w:ascii="Times New Roman" w:hAnsi="Times New Roman"/>
          <w:b/>
          <w:color w:val="000000"/>
          <w:sz w:val="16"/>
        </w:rPr>
        <w:t>Use of Estimates in the Preparation of Financial Statements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Consolidation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16"/>
        </w:rPr>
        <w:t>Cash and Cash Equivalents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Investment Classification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or more of the voting securities of such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Valuation of Investments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pStyle w:val="TextBody"/>
        <w:bidi w:val="0"/>
        <w:spacing w:before="160" w:after="283"/>
        <w:jc w:val="both"/>
        <w:rPr>
          <w:rFonts w:ascii="Times New Roman" w:hAnsi="Times New Roman"/>
          <w:sz w:val="20"/>
        </w:rPr>
      </w:pPr>
      <w:r>
        <w:rPr>
          <w:rFonts w:ascii="Times New Roman" w:hAnsi="Times New Roman"/>
          <w:color w:val="000000"/>
          <w:sz w:val="16"/>
        </w:rPr>
        <w:t>The Adviser undertakes a multi-step valuation process, which includes, among other procedures, the following:</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Adviser and investment professionals; and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valuation process, the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240" w:after="283"/>
        <w:jc w:val="left"/>
        <w:rPr>
          <w:rFonts w:ascii="Times New Roman" w:hAnsi="Times New Roman"/>
          <w:sz w:val="20"/>
        </w:rPr>
      </w:pPr>
      <w:r>
        <w:rPr>
          <w:rFonts w:ascii="Times New Roman" w:hAnsi="Times New Roman"/>
          <w:i/>
          <w:color w:val="000000"/>
          <w:sz w:val="16"/>
        </w:rPr>
        <w:t>Enterprise Value Waterfall Approach</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6"/>
        </w:rPr>
        <w:t>Asset Approach</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asset approach values an investment based on the value of the underlying collateral securing the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Revenue Recognition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revenue recognition policies are as follows: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Interest income and payment-in-kind ("PIK") interest income:</w:t>
      </w:r>
      <w:r>
        <w:rPr>
          <w:rFonts w:ascii="Times New Roman" w:hAnsi="Times New Roman"/>
          <w:color w:val="000000"/>
          <w:sz w:val="20"/>
        </w:rPr>
        <w:t xml:space="preserv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Non-accrual investments:</w:t>
      </w:r>
      <w:r>
        <w:rPr>
          <w:rFonts w:ascii="Times New Roman" w:hAnsi="Times New Roman"/>
          <w:color w:val="000000"/>
          <w:sz w:val="20"/>
        </w:rPr>
        <w:t xml:space="preserve">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December 31, 2023, we had debt investments in three</w:t>
      </w:r>
      <w:r>
        <w:rPr>
          <w:rFonts w:ascii="Times New Roman" w:hAnsi="Times New Roman"/>
          <w:color w:val="000000"/>
          <w:sz w:val="20"/>
        </w:rPr>
        <w:t xml:space="preserve"> </w:t>
      </w:r>
      <w:r>
        <w:rPr>
          <w:rFonts w:ascii="Times New Roman" w:hAnsi="Times New Roman"/>
          <w:color w:val="000000"/>
          <w:sz w:val="16"/>
        </w:rPr>
        <w:t>portfolio companies on non-accrual status with an aggregate amortized cost</w:t>
      </w:r>
      <w:r>
        <w:rPr>
          <w:rFonts w:ascii="Times New Roman" w:hAnsi="Times New Roman"/>
          <w:color w:val="000000"/>
          <w:sz w:val="20"/>
        </w:rPr>
        <w:t xml:space="preserve"> </w:t>
      </w:r>
      <w:r>
        <w:rPr>
          <w:rFonts w:ascii="Times New Roman" w:hAnsi="Times New Roman"/>
          <w:color w:val="000000"/>
          <w:sz w:val="16"/>
        </w:rPr>
        <w:t>of $17.2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an aggregate fair value</w:t>
      </w:r>
      <w:r>
        <w:rPr>
          <w:rFonts w:ascii="Times New Roman" w:hAnsi="Times New Roman"/>
          <w:color w:val="000000"/>
          <w:sz w:val="20"/>
        </w:rPr>
        <w:t xml:space="preserve"> </w:t>
      </w:r>
      <w:r>
        <w:rPr>
          <w:rFonts w:ascii="Times New Roman" w:hAnsi="Times New Roman"/>
          <w:color w:val="000000"/>
          <w:sz w:val="16"/>
        </w:rPr>
        <w:t>of $12.8</w:t>
      </w:r>
      <w:r>
        <w:rPr>
          <w:rFonts w:ascii="Times New Roman" w:hAnsi="Times New Roman"/>
          <w:color w:val="000000"/>
          <w:sz w:val="20"/>
        </w:rPr>
        <w:t xml:space="preserve"> </w:t>
      </w:r>
      <w:r>
        <w:rPr>
          <w:rFonts w:ascii="Times New Roman" w:hAnsi="Times New Roman"/>
          <w:color w:val="000000"/>
          <w:sz w:val="16"/>
        </w:rPr>
        <w:t>million, which represented 8.7%</w:t>
      </w:r>
      <w:r>
        <w:rPr>
          <w:rFonts w:ascii="Times New Roman" w:hAnsi="Times New Roman"/>
          <w:color w:val="000000"/>
          <w:sz w:val="20"/>
        </w:rPr>
        <w:t xml:space="preserve"> </w:t>
      </w:r>
      <w:r>
        <w:rPr>
          <w:rFonts w:ascii="Times New Roman" w:hAnsi="Times New Roman"/>
          <w:color w:val="000000"/>
          <w:sz w:val="16"/>
        </w:rPr>
        <w:t>and 6.8%</w:t>
      </w:r>
      <w:r>
        <w:rPr>
          <w:rFonts w:ascii="Times New Roman" w:hAnsi="Times New Roman"/>
          <w:color w:val="000000"/>
          <w:sz w:val="20"/>
        </w:rPr>
        <w:t xml:space="preserve"> </w:t>
      </w:r>
      <w:r>
        <w:rPr>
          <w:rFonts w:ascii="Times New Roman" w:hAnsi="Times New Roman"/>
          <w:color w:val="000000"/>
          <w:sz w:val="16"/>
        </w:rPr>
        <w:t>of the investment portfolio, respectively. As of December 31, 2022, we had a debt investment in one portfolio company on non-accrual status with aggregate amortized cost of $11.9</w:t>
      </w:r>
      <w:r>
        <w:rPr>
          <w:rFonts w:ascii="Times New Roman" w:hAnsi="Times New Roman"/>
          <w:color w:val="000000"/>
          <w:sz w:val="20"/>
        </w:rPr>
        <w:t xml:space="preserve"> </w:t>
      </w:r>
      <w:r>
        <w:rPr>
          <w:rFonts w:ascii="Times New Roman" w:hAnsi="Times New Roman"/>
          <w:color w:val="000000"/>
          <w:sz w:val="16"/>
        </w:rPr>
        <w:t>million and an aggregate fair value of $9.7</w:t>
      </w:r>
      <w:r>
        <w:rPr>
          <w:rFonts w:ascii="Times New Roman" w:hAnsi="Times New Roman"/>
          <w:color w:val="000000"/>
          <w:sz w:val="20"/>
        </w:rPr>
        <w:t xml:space="preserve"> </w:t>
      </w:r>
      <w:r>
        <w:rPr>
          <w:rFonts w:ascii="Times New Roman" w:hAnsi="Times New Roman"/>
          <w:color w:val="000000"/>
          <w:sz w:val="16"/>
        </w:rPr>
        <w:t>million, which represented 5.4% and 4.8% of the investment portfolio, respectively.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Gains and losses on investment sales:</w:t>
      </w:r>
      <w:r>
        <w:rPr>
          <w:rFonts w:ascii="Times New Roman" w:hAnsi="Times New Roman"/>
          <w:color w:val="000000"/>
          <w:sz w:val="20"/>
        </w:rPr>
        <w:t xml:space="preserve"> </w:t>
      </w:r>
      <w:r>
        <w:rPr>
          <w:rFonts w:ascii="Times New Roman" w:hAnsi="Times New Roman"/>
          <w:color w:val="000000"/>
          <w:sz w:val="16"/>
        </w:rPr>
        <w:t>Realized gains and losses on investments are recognized using the specific identification method.</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Dividend income and paid-in-kind dividends:</w:t>
      </w:r>
      <w:r>
        <w:rPr>
          <w:rFonts w:ascii="Times New Roman" w:hAnsi="Times New Roman"/>
          <w:color w:val="000000"/>
          <w:sz w:val="20"/>
        </w:rPr>
        <w:t xml:space="preserve">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Original issue discount:</w:t>
      </w:r>
      <w:r>
        <w:rPr>
          <w:rFonts w:ascii="Times New Roman" w:hAnsi="Times New Roman"/>
          <w:color w:val="000000"/>
          <w:sz w:val="20"/>
        </w:rPr>
        <w:t xml:space="preserve">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i/>
          <w:color w:val="000000"/>
          <w:sz w:val="16"/>
        </w:rPr>
        <w:t>Other income:</w:t>
      </w:r>
      <w:r>
        <w:rPr>
          <w:rFonts w:ascii="Times New Roman" w:hAnsi="Times New Roman"/>
          <w:color w:val="000000"/>
          <w:sz w:val="20"/>
        </w:rPr>
        <w:t xml:space="preserve"> </w:t>
      </w:r>
      <w:r>
        <w:rPr>
          <w:rFonts w:ascii="Times New Roman" w:hAnsi="Times New Roman"/>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General and Administrative Expenses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Deferred Financing Fees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 xml:space="preserve">Costs incurred to issue the Company’s debt obligations are capitalized and are amortized over the term of the debt agreements under the effective interest method. </w:t>
      </w:r>
      <w:r>
        <w:rPr>
          <w:rFonts w:ascii="Times New Roman" w:hAnsi="Times New Roman"/>
          <w:color w:val="231F20"/>
          <w:sz w:val="16"/>
        </w:rPr>
        <w:t>Deferred financing fees are presented as a direct deduction from the carrying amount of the corresponding debt liability in the Statement of Assets and Liabilities.</w:t>
      </w:r>
    </w:p>
    <w:p>
      <w:pPr>
        <w:pStyle w:val="TextBody"/>
        <w:bidi w:val="0"/>
        <w:spacing w:before="240" w:after="283"/>
        <w:jc w:val="left"/>
        <w:rPr>
          <w:rFonts w:ascii="Times New Roman" w:hAnsi="Times New Roman"/>
          <w:sz w:val="20"/>
        </w:rPr>
      </w:pPr>
      <w:r>
        <w:rPr>
          <w:rFonts w:ascii="Times New Roman" w:hAnsi="Times New Roman"/>
          <w:b/>
          <w:color w:val="000000"/>
          <w:sz w:val="16"/>
        </w:rPr>
        <w:t>Earnings per share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Retroactive Adjustments for Reverse Stock Split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sz w:val="20"/>
        </w:rPr>
      </w:pPr>
      <w:r>
        <w:rPr>
          <w:rFonts w:ascii="Times New Roman" w:hAnsi="Times New Roman"/>
          <w:color w:val="000000"/>
          <w:sz w:val="16"/>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December 31, 2023 and 2022, the Company had the following unfunded commitments to existing portfolio companies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51"/>
        <w:gridCol w:w="2719"/>
        <w:gridCol w:w="332"/>
        <w:gridCol w:w="247"/>
        <w:gridCol w:w="868"/>
        <w:gridCol w:w="146"/>
        <w:gridCol w:w="355"/>
        <w:gridCol w:w="1092"/>
        <w:gridCol w:w="195"/>
      </w:tblGrid>
      <w:tr>
        <w:trPr/>
        <w:tc>
          <w:tcPr>
            <w:tcW w:w="425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2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w:t>
            </w:r>
          </w:p>
        </w:tc>
        <w:tc>
          <w:tcPr>
            <w:tcW w:w="14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Accordion Partners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11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Critical Nurse Staffing,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Epic Staffing Group</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Keg Logistics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Marble Point Credit Management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1115"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95" w:type="dxa"/>
            <w:tcBorders/>
            <w:shd w:fill="CFF0FC" w:val="clear"/>
            <w:vAlign w:val="center"/>
          </w:tcPr>
          <w:p>
            <w:pPr>
              <w:pStyle w:val="TableContents"/>
              <w:bidi w:val="0"/>
              <w:spacing w:before="0" w:after="283"/>
              <w:jc w:val="lef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Premier Imaging,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1115"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3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95" w:type="dxa"/>
            <w:tcBorders/>
            <w:shd w:fill="FFFFFF" w:val="cle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144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FFFFFF" w:val="clear"/>
            <w:vAlign w:val="center"/>
          </w:tcPr>
          <w:p>
            <w:pPr>
              <w:pStyle w:val="TableContents"/>
              <w:bidi w:val="0"/>
              <w:spacing w:before="0" w:after="283"/>
              <w:jc w:val="righ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71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shd w:fill="CFF0FC" w:val="clear"/>
            <w:vAlign w:val="center"/>
          </w:tcPr>
          <w:p>
            <w:pPr>
              <w:pStyle w:val="TableContents"/>
              <w:bidi w:val="0"/>
              <w:spacing w:before="0" w:after="283"/>
              <w:jc w:val="right"/>
              <w:rPr/>
            </w:pPr>
            <w:r>
              <w:rPr/>
              <w:t> </w:t>
            </w:r>
          </w:p>
        </w:tc>
        <w:tc>
          <w:tcPr>
            <w:tcW w:w="247"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CFF0FC" w:val="clear"/>
            <w:vAlign w:val="center"/>
          </w:tcPr>
          <w:p>
            <w:pPr>
              <w:pStyle w:val="TableContents"/>
              <w:bidi w:val="0"/>
              <w:spacing w:before="0" w:after="283"/>
              <w:jc w:val="left"/>
              <w:rPr/>
            </w:pPr>
            <w:r>
              <w:rPr/>
              <w:t> </w:t>
            </w:r>
          </w:p>
        </w:tc>
        <w:tc>
          <w:tcPr>
            <w:tcW w:w="144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5" w:type="dxa"/>
            <w:tcBorders/>
            <w:shd w:fill="CFF0FC" w:val="clear"/>
            <w:vAlign w:val="center"/>
          </w:tcPr>
          <w:p>
            <w:pPr>
              <w:pStyle w:val="TableContents"/>
              <w:bidi w:val="0"/>
              <w:spacing w:before="0" w:after="283"/>
              <w:jc w:val="right"/>
              <w:rPr/>
            </w:pPr>
            <w:r>
              <w:rPr/>
              <w:t> </w:t>
            </w:r>
          </w:p>
        </w:tc>
      </w:tr>
      <w:tr>
        <w:trPr/>
        <w:tc>
          <w:tcPr>
            <w:tcW w:w="42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719"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719"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13,787</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(1)</w:t>
      </w:r>
    </w:p>
    <w:p>
      <w:pPr>
        <w:pStyle w:val="TextBody"/>
        <w:bidi w:val="0"/>
        <w:jc w:val="both"/>
        <w:rPr>
          <w:rFonts w:ascii="Times New Roman" w:hAnsi="Times New Roman"/>
          <w:color w:val="000000"/>
          <w:sz w:val="13"/>
        </w:rPr>
      </w:pPr>
      <w:r>
        <w:rPr>
          <w:rFonts w:ascii="Times New Roman" w:hAnsi="Times New Roman"/>
          <w:color w:val="000000"/>
          <w:sz w:val="13"/>
        </w:rPr>
        <w:t>Delayed-draw term loan.</w:t>
      </w:r>
    </w:p>
    <w:p>
      <w:pPr>
        <w:pStyle w:val="TextBody"/>
        <w:bidi w:val="0"/>
        <w:spacing w:before="160" w:after="283"/>
        <w:jc w:val="both"/>
        <w:rPr>
          <w:rFonts w:ascii="Times New Roman" w:hAnsi="Times New Roman"/>
          <w:sz w:val="20"/>
        </w:rPr>
      </w:pPr>
      <w:r>
        <w:rPr>
          <w:rFonts w:ascii="Times New Roman" w:hAnsi="Times New Roman"/>
          <w:color w:val="000000"/>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management’s opinion, no</w:t>
      </w:r>
      <w:r>
        <w:rPr>
          <w:rFonts w:ascii="Times New Roman" w:hAnsi="Times New Roman"/>
          <w:color w:val="000000"/>
          <w:sz w:val="20"/>
        </w:rPr>
        <w:t xml:space="preserve"> </w:t>
      </w:r>
      <w:r>
        <w:rPr>
          <w:rFonts w:ascii="Times New Roman" w:hAnsi="Times New Roman"/>
          <w:color w:val="000000"/>
          <w:sz w:val="16"/>
        </w:rPr>
        <w:t>direct losses with respect to litigation contingencies were probable as of December 31, 2023 and 2022.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Income Taxes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elected to be treated as a RIC under subchapter M of the Code. The Company believes it qualified as a RIC under the Code for the fiscal year ended December 31, 2023, and the Company intends to comply with the requirements to continue to qualify annually as a RIC under the Code. As further discussed below, for the fiscal years ended December 31, 2022, December 31, 2021 and December 31,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“Note 7. – Income Taxes” for additional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order to qualify for tax treatment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an amount at least equal to the sum of (i) 98.0% of its ordinary income for the calendar year, (ii) 98.2% of its capital gains in excess of capital losses for the one-year period ending on October 31 of the calendar year, and (iii) any ordinary income and capital gain net income that it recognized for preceding years, but were not distributed during such years, and on which it paid no U.S. federal income tax.</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sz w:val="20"/>
        </w:rPr>
      </w:pPr>
      <w:r>
        <w:rPr>
          <w:rFonts w:ascii="Times New Roman" w:hAnsi="Times New Roman"/>
          <w:color w:val="000000"/>
          <w:sz w:val="16"/>
        </w:rPr>
        <w:t>The tax years ended December 31, 2023, 2022, 2021</w:t>
      </w:r>
      <w:r>
        <w:rPr>
          <w:rFonts w:ascii="Times New Roman" w:hAnsi="Times New Roman"/>
          <w:color w:val="000000"/>
          <w:sz w:val="20"/>
        </w:rPr>
        <w:t xml:space="preserve"> </w:t>
      </w:r>
      <w:r>
        <w:rPr>
          <w:rFonts w:ascii="Times New Roman" w:hAnsi="Times New Roman"/>
          <w:color w:val="000000"/>
          <w:sz w:val="16"/>
        </w:rPr>
        <w:t>and 2020 remain subject to examination by U.S. federal, state, and local tax authorities. No</w:t>
      </w:r>
      <w:r>
        <w:rPr>
          <w:rFonts w:ascii="Times New Roman" w:hAnsi="Times New Roman"/>
          <w:color w:val="000000"/>
          <w:sz w:val="20"/>
        </w:rPr>
        <w:t xml:space="preserve"> </w:t>
      </w:r>
      <w:r>
        <w:rPr>
          <w:rFonts w:ascii="Times New Roman" w:hAnsi="Times New Roman"/>
          <w:color w:val="000000"/>
          <w:sz w:val="16"/>
        </w:rPr>
        <w:t>material interest expense or penalties have been assessed for the years ended December 31, 2023, 2022, 2021 and 2020. If the Company were required to recognize interest and penalties, if any, related to unrecognized tax benefits, this would be recognized as income tax expense in the consolidated statements of operations.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records deferred tax assets or liabilities related to temporary book versus tax differences on taxable income or loss generated by the underlying equity investments held by the Company’s Taxable Subsidiaries as well as temporary book versus tax differences generated by the Company during the years the Company did not qualify as a RIC (see “Note 7. – Income Taxes”).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and 2022, the Company recorded a net deferred tax asset of zero, respectively. For the years ended December 31, 2023, 2022 and 2021, the Company recorded a tax provision of zero, $0.1</w:t>
      </w:r>
      <w:r>
        <w:rPr>
          <w:rFonts w:ascii="Times New Roman" w:hAnsi="Times New Roman"/>
          <w:color w:val="000000"/>
          <w:sz w:val="20"/>
        </w:rPr>
        <w:t xml:space="preserve"> </w:t>
      </w:r>
      <w:r>
        <w:rPr>
          <w:rFonts w:ascii="Times New Roman" w:hAnsi="Times New Roman"/>
          <w:color w:val="000000"/>
          <w:sz w:val="16"/>
        </w:rPr>
        <w:t>million and zero, respectively.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and 2022, the valuation allowance on the Company’s Taxable Subsidiaries’ net deferred tax asset was $3.9</w:t>
      </w:r>
      <w:r>
        <w:rPr>
          <w:rFonts w:ascii="Times New Roman" w:hAnsi="Times New Roman"/>
          <w:color w:val="000000"/>
          <w:sz w:val="20"/>
        </w:rPr>
        <w:t xml:space="preserve"> </w:t>
      </w:r>
      <w:r>
        <w:rPr>
          <w:rFonts w:ascii="Times New Roman" w:hAnsi="Times New Roman"/>
          <w:color w:val="000000"/>
          <w:sz w:val="16"/>
        </w:rPr>
        <w:t>million and $4.0</w:t>
      </w:r>
      <w:r>
        <w:rPr>
          <w:rFonts w:ascii="Times New Roman" w:hAnsi="Times New Roman"/>
          <w:color w:val="000000"/>
          <w:sz w:val="20"/>
        </w:rPr>
        <w:t xml:space="preserve"> </w:t>
      </w:r>
      <w:r>
        <w:rPr>
          <w:rFonts w:ascii="Times New Roman" w:hAnsi="Times New Roman"/>
          <w:color w:val="000000"/>
          <w:sz w:val="16"/>
        </w:rPr>
        <w:t>million, respectively. For the years ended December 31, 2023, 2022 and 2021, the Company’s Taxable Subsidiaries recognized a (decrease) increase in the valuation allowance of $(0.1) million, $1.5</w:t>
      </w:r>
      <w:r>
        <w:rPr>
          <w:rFonts w:ascii="Times New Roman" w:hAnsi="Times New Roman"/>
          <w:color w:val="000000"/>
          <w:sz w:val="20"/>
        </w:rPr>
        <w:t xml:space="preserve"> </w:t>
      </w:r>
      <w:r>
        <w:rPr>
          <w:rFonts w:ascii="Times New Roman" w:hAnsi="Times New Roman"/>
          <w:color w:val="000000"/>
          <w:sz w:val="16"/>
        </w:rPr>
        <w:t>million, and $(2.1) million, respectively.</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2022, 2021 and 2020, the years the Company did not qualify as RIC, the valuation allowance on the Company’s net deferred tax asset was $31.9</w:t>
      </w:r>
      <w:r>
        <w:rPr>
          <w:rFonts w:ascii="Times New Roman" w:hAnsi="Times New Roman"/>
          <w:color w:val="000000"/>
          <w:sz w:val="20"/>
        </w:rPr>
        <w:t xml:space="preserve"> </w:t>
      </w:r>
      <w:r>
        <w:rPr>
          <w:rFonts w:ascii="Times New Roman" w:hAnsi="Times New Roman"/>
          <w:color w:val="000000"/>
          <w:sz w:val="16"/>
        </w:rPr>
        <w:t>million, $29.2</w:t>
      </w:r>
      <w:r>
        <w:rPr>
          <w:rFonts w:ascii="Times New Roman" w:hAnsi="Times New Roman"/>
          <w:color w:val="000000"/>
          <w:sz w:val="20"/>
        </w:rPr>
        <w:t xml:space="preserve"> </w:t>
      </w:r>
      <w:r>
        <w:rPr>
          <w:rFonts w:ascii="Times New Roman" w:hAnsi="Times New Roman"/>
          <w:color w:val="000000"/>
          <w:sz w:val="16"/>
        </w:rPr>
        <w:t>million and $33.3</w:t>
      </w:r>
      <w:r>
        <w:rPr>
          <w:rFonts w:ascii="Times New Roman" w:hAnsi="Times New Roman"/>
          <w:color w:val="000000"/>
          <w:sz w:val="20"/>
        </w:rPr>
        <w:t xml:space="preserve"> </w:t>
      </w:r>
      <w:r>
        <w:rPr>
          <w:rFonts w:ascii="Times New Roman" w:hAnsi="Times New Roman"/>
          <w:color w:val="000000"/>
          <w:sz w:val="16"/>
        </w:rPr>
        <w:t>million, respectively, excluding the Taxable Subsidiaries. For the years ended December 31, 2022, 2021 and 2020, the Company, excluding its Taxable Subsidiaries, recognized an increase (decrease) in the valuation allowance of $2.7</w:t>
      </w:r>
      <w:r>
        <w:rPr>
          <w:rFonts w:ascii="Times New Roman" w:hAnsi="Times New Roman"/>
          <w:color w:val="000000"/>
          <w:sz w:val="20"/>
        </w:rPr>
        <w:t xml:space="preserve"> </w:t>
      </w:r>
      <w:r>
        <w:rPr>
          <w:rFonts w:ascii="Times New Roman" w:hAnsi="Times New Roman"/>
          <w:color w:val="000000"/>
          <w:sz w:val="16"/>
        </w:rPr>
        <w:t>million, $(4.1) million, and $33.3</w:t>
      </w:r>
      <w:r>
        <w:rPr>
          <w:rFonts w:ascii="Times New Roman" w:hAnsi="Times New Roman"/>
          <w:color w:val="000000"/>
          <w:sz w:val="20"/>
        </w:rPr>
        <w:t xml:space="preserve"> </w:t>
      </w:r>
      <w:r>
        <w:rPr>
          <w:rFonts w:ascii="Times New Roman" w:hAnsi="Times New Roman"/>
          <w:color w:val="000000"/>
          <w:sz w:val="16"/>
        </w:rPr>
        <w:t>million, respectively. See “Note 7. – Income Taxes” for further details.</w:t>
      </w:r>
    </w:p>
    <w:p>
      <w:pPr>
        <w:pStyle w:val="TextBody"/>
        <w:bidi w:val="0"/>
        <w:spacing w:before="160" w:after="283"/>
        <w:jc w:val="both"/>
        <w:rPr>
          <w:rFonts w:ascii="Times New Roman" w:hAnsi="Times New Roman"/>
          <w:sz w:val="20"/>
        </w:rPr>
      </w:pPr>
      <w:r>
        <w:rPr>
          <w:rFonts w:ascii="Times New Roman" w:hAnsi="Times New Roman"/>
          <w:color w:val="000000"/>
          <w:sz w:val="16"/>
        </w:rPr>
        <w:t>In accordance with certain applicable U.S. Treasury regulations and guidance issued by the Internal Revenue Service, a publicly offered RIC may treat a distribution of its own stock as fulfilling its RIC distribution requirements if each stockholder may elect to receive its entire distribution in either cash or stock of the RIC, subject to a limitation on the aggregate amount of cash available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income tax purposes, the Company has paid distributions on its shares of common stock from ordinary income in the amount of $2.6</w:t>
      </w:r>
      <w:r>
        <w:rPr>
          <w:rFonts w:ascii="Times New Roman" w:hAnsi="Times New Roman"/>
          <w:color w:val="000000"/>
          <w:sz w:val="20"/>
        </w:rPr>
        <w:t xml:space="preserve"> </w:t>
      </w:r>
      <w:r>
        <w:rPr>
          <w:rFonts w:ascii="Times New Roman" w:hAnsi="Times New Roman"/>
          <w:color w:val="000000"/>
          <w:sz w:val="16"/>
        </w:rPr>
        <w:t>million, zero, and zero</w:t>
      </w:r>
      <w:r>
        <w:rPr>
          <w:rFonts w:ascii="Times New Roman" w:hAnsi="Times New Roman"/>
          <w:color w:val="000000"/>
          <w:sz w:val="20"/>
        </w:rPr>
        <w:t xml:space="preserve"> </w:t>
      </w:r>
      <w:r>
        <w:rPr>
          <w:rFonts w:ascii="Times New Roman" w:hAnsi="Times New Roman"/>
          <w:color w:val="000000"/>
          <w:sz w:val="16"/>
        </w:rPr>
        <w:t>during the tax years ended December 31, 2023, 2022 and 2021, respectively. For income tax purposes, none of the Company's distributions paid on its shares of common stock were accounted for as a return of capital for the tax years ended December 31, 2023, 2022 and 2021.</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ASC Topic 740 —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2023 and 2022, there were no</w:t>
      </w:r>
      <w:r>
        <w:rPr>
          <w:rFonts w:ascii="Times New Roman" w:hAnsi="Times New Roman"/>
          <w:color w:val="000000"/>
          <w:sz w:val="20"/>
        </w:rPr>
        <w:t xml:space="preserve"> </w:t>
      </w:r>
      <w:r>
        <w:rPr>
          <w:rFonts w:ascii="Times New Roman" w:hAnsi="Times New Roman"/>
          <w:color w:val="000000"/>
          <w:sz w:val="16"/>
        </w:rPr>
        <w:t>uncertain tax positions.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Company Investment Risk, Concentration of Credit Risk and Liquidity Risk</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Investment Adviser may attempt to minimize this risk by maintaining low debt-to-liquidation values with each debt investment and the collateral underlying the debt investment.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b/>
          <w:color w:val="000000"/>
          <w:sz w:val="16"/>
        </w:rPr>
        <w:t>Note 3. Investments and Fair Value Measurements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r>
        <w:rPr>
          <w:rFonts w:ascii="Times New Roman" w:hAnsi="Times New Roman"/>
          <w:color w:val="000000"/>
          <w:sz w:val="16"/>
        </w:rPr>
        <w:t>As of December 31, 2023, our portfolio consisted of investments in 60</w:t>
      </w:r>
      <w:r>
        <w:rPr>
          <w:rFonts w:ascii="Times New Roman" w:hAnsi="Times New Roman"/>
          <w:color w:val="000000"/>
          <w:sz w:val="20"/>
        </w:rPr>
        <w:t xml:space="preserve"> </w:t>
      </w:r>
      <w:r>
        <w:rPr>
          <w:rFonts w:ascii="Times New Roman" w:hAnsi="Times New Roman"/>
          <w:color w:val="000000"/>
          <w:sz w:val="16"/>
        </w:rPr>
        <w:t>portfolio companies with a fair value of approximately $189.7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2023, none</w:t>
      </w:r>
      <w:r>
        <w:rPr>
          <w:rFonts w:ascii="Times New Roman" w:hAnsi="Times New Roman"/>
          <w:color w:val="000000"/>
          <w:sz w:val="20"/>
        </w:rPr>
        <w:t xml:space="preserve"> </w:t>
      </w:r>
      <w:r>
        <w:rPr>
          <w:rFonts w:ascii="Times New Roman" w:hAnsi="Times New Roman"/>
          <w:color w:val="000000"/>
          <w:sz w:val="16"/>
        </w:rPr>
        <w:t>of the fair value of our first lien loans consisted of last-out loans. As of December 31, 2022, 1.9% of the fair value of our first lien loans consisted of last-out loans. In some cases, first lien loans may be subordinated, solely with respect to the payment of cash interest, to an asset based revolving credit facility.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During the year ended December 31, 2023, the Company made approximately $33.2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of investments and had approximately $43.7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repayments and sales, resulting in net repayments and sales of approximately $10.5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for the year. During the year ended December 31, 2022, the Company made approximately $107.7</w:t>
      </w:r>
      <w:r>
        <w:rPr>
          <w:rFonts w:ascii="Times New Roman" w:hAnsi="Times New Roman"/>
          <w:color w:val="000000"/>
          <w:sz w:val="20"/>
        </w:rPr>
        <w:t xml:space="preserve"> </w:t>
      </w:r>
      <w:r>
        <w:rPr>
          <w:rFonts w:ascii="Times New Roman" w:hAnsi="Times New Roman"/>
          <w:color w:val="000000"/>
          <w:sz w:val="16"/>
        </w:rPr>
        <w:t>million of investments and had approximately $94.0</w:t>
      </w:r>
      <w:r>
        <w:rPr>
          <w:rFonts w:ascii="Times New Roman" w:hAnsi="Times New Roman"/>
          <w:color w:val="000000"/>
          <w:sz w:val="20"/>
        </w:rPr>
        <w:t xml:space="preserve"> </w:t>
      </w:r>
      <w:r>
        <w:rPr>
          <w:rFonts w:ascii="Times New Roman" w:hAnsi="Times New Roman"/>
          <w:color w:val="000000"/>
          <w:sz w:val="16"/>
        </w:rPr>
        <w:t>million in repayments and sales, resulting in net deployment of approximately $13.7</w:t>
      </w:r>
      <w:r>
        <w:rPr>
          <w:rFonts w:ascii="Times New Roman" w:hAnsi="Times New Roman"/>
          <w:color w:val="000000"/>
          <w:sz w:val="20"/>
        </w:rPr>
        <w:t xml:space="preserve"> </w:t>
      </w:r>
      <w:r>
        <w:rPr>
          <w:rFonts w:ascii="Times New Roman" w:hAnsi="Times New Roman"/>
          <w:color w:val="000000"/>
          <w:sz w:val="16"/>
        </w:rPr>
        <w:t>million for the year. During the year ended December 31, 2021, the Company made approximately $89.4</w:t>
      </w:r>
      <w:r>
        <w:rPr>
          <w:rFonts w:ascii="Times New Roman" w:hAnsi="Times New Roman"/>
          <w:color w:val="000000"/>
          <w:sz w:val="20"/>
        </w:rPr>
        <w:t xml:space="preserve"> </w:t>
      </w:r>
      <w:r>
        <w:rPr>
          <w:rFonts w:ascii="Times New Roman" w:hAnsi="Times New Roman"/>
          <w:color w:val="000000"/>
          <w:sz w:val="16"/>
        </w:rPr>
        <w:t>million of investments and had approximately $169.6</w:t>
      </w:r>
      <w:r>
        <w:rPr>
          <w:rFonts w:ascii="Times New Roman" w:hAnsi="Times New Roman"/>
          <w:color w:val="000000"/>
          <w:sz w:val="20"/>
        </w:rPr>
        <w:t xml:space="preserve"> </w:t>
      </w:r>
      <w:r>
        <w:rPr>
          <w:rFonts w:ascii="Times New Roman" w:hAnsi="Times New Roman"/>
          <w:color w:val="000000"/>
          <w:sz w:val="16"/>
        </w:rPr>
        <w:t>million in repayments and sales, resulting in net repayments and sales of approximately $80.2</w:t>
      </w:r>
      <w:r>
        <w:rPr>
          <w:rFonts w:ascii="Times New Roman" w:hAnsi="Times New Roman"/>
          <w:color w:val="000000"/>
          <w:sz w:val="20"/>
        </w:rPr>
        <w:t xml:space="preserve"> </w:t>
      </w:r>
      <w:r>
        <w:rPr>
          <w:rFonts w:ascii="Times New Roman" w:hAnsi="Times New Roman"/>
          <w:color w:val="000000"/>
          <w:sz w:val="16"/>
        </w:rPr>
        <w:t>million for the year.</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the Company’s Adviser approved the fair value of the Company’s investment portfolio of approximately $189.7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good faith in accordance with the Company’s valuation procedures. The Company’s Adviser approved the fair value of the Company’s investment portfolio as of December 31, 2023 with input from third-party valuation firms and the Investment Adviser, as valuation designee, based on information known or knowable as of the valuation date, including trailing and forward looking data.</w:t>
      </w:r>
      <w:r>
        <w:rPr>
          <w:rFonts w:ascii="Times New Roman" w:hAnsi="Times New Roman"/>
          <w:color w:val="000000"/>
          <w:sz w:val="20"/>
        </w:rPr>
        <w:t xml:space="preserve"> </w:t>
      </w:r>
    </w:p>
    <w:p>
      <w:pPr>
        <w:pStyle w:val="TextBody"/>
        <w:bidi w:val="0"/>
        <w:spacing w:before="160" w:after="240"/>
        <w:jc w:val="both"/>
        <w:rPr>
          <w:rFonts w:ascii="Times New Roman" w:hAnsi="Times New Roman"/>
          <w:color w:val="000000"/>
          <w:sz w:val="16"/>
        </w:rPr>
      </w:pPr>
      <w:r>
        <w:rPr>
          <w:rFonts w:ascii="Times New Roman" w:hAnsi="Times New Roman"/>
          <w:color w:val="000000"/>
          <w:sz w:val="16"/>
        </w:rPr>
        <w:t>The composition of our investments as of December 31, 2023,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composition of our investments as of December 31, 2022,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143,047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160"/>
        <w:jc w:val="both"/>
        <w:rPr>
          <w:rFonts w:ascii="Times New Roman" w:hAnsi="Times New Roman"/>
          <w:sz w:val="20"/>
        </w:rPr>
      </w:pPr>
      <w:r>
        <w:rPr>
          <w:rFonts w:ascii="Times New Roman" w:hAnsi="Times New Roman"/>
          <w:color w:val="000000"/>
          <w:sz w:val="16"/>
        </w:rPr>
        <w:t>The following table shows the portfolio composition by industry grouping at fair value as of December 31, 2023 and 2022 (dollars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Entertainment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All investments by the Company as of December 31, 2023 and 2022 were made in portfolio companies located in the U.S.</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r>
        <w:rPr>
          <w:rFonts w:ascii="Times New Roman" w:hAnsi="Times New Roman"/>
          <w:color w:val="000000"/>
          <w:sz w:val="20"/>
        </w:rPr>
        <w:t xml:space="preserv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Level 1 — Valuations based on quoted prices in active markets for identical assets or liabilities that the Company has the ability to access.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Level 2 — Valuations based on inputs other than quoted prices in active markets, which are either directly or indirectly observable.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xml:space="preserve">Level 3 — Valuations based on inputs that are unobservable and significant to the overall fair value measurement. </w:t>
      </w:r>
    </w:p>
    <w:p>
      <w:pPr>
        <w:pStyle w:val="TextBody"/>
        <w:bidi w:val="0"/>
        <w:spacing w:before="160" w:after="283"/>
        <w:jc w:val="both"/>
        <w:rPr>
          <w:rFonts w:ascii="Times New Roman" w:hAnsi="Times New Roman"/>
          <w:sz w:val="20"/>
        </w:rPr>
      </w:pPr>
      <w:r>
        <w:rPr>
          <w:rFonts w:ascii="Times New Roman" w:hAnsi="Times New Roman"/>
          <w:color w:val="000000"/>
          <w:sz w:val="16"/>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following table presents the fair value measurements of investments, by major class, as of December 31, 2023 (dollars in thousands), according to the fair value hierarchy:</w:t>
      </w:r>
      <w:r>
        <w:rPr>
          <w:rFonts w:ascii="Times New Roman" w:hAnsi="Times New Roman"/>
          <w:color w:val="000000"/>
          <w:sz w:val="20"/>
        </w:rPr>
        <w:t xml:space="preserve"> </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presents the fair value measurements of investments, by major class, as of December 31, 2022 (dollars in thousands), according to the fair value hierarchy:</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4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year ended December 31, 2023 (dollars in thousands):</w:t>
      </w:r>
    </w:p>
    <w:tbl>
      <w:tblPr>
        <w:tblW w:w="10205" w:type="dxa"/>
        <w:jc w:val="left"/>
        <w:tblInd w:w="0" w:type="dxa"/>
        <w:tblLayout w:type="fixed"/>
        <w:tblCellMar>
          <w:top w:w="28" w:type="dxa"/>
          <w:left w:w="28" w:type="dxa"/>
          <w:bottom w:w="28" w:type="dxa"/>
          <w:right w:w="28" w:type="dxa"/>
        </w:tblCellMar>
      </w:tblPr>
      <w:tblGrid>
        <w:gridCol w:w="2339"/>
        <w:gridCol w:w="146"/>
        <w:gridCol w:w="196"/>
        <w:gridCol w:w="691"/>
        <w:gridCol w:w="166"/>
        <w:gridCol w:w="146"/>
        <w:gridCol w:w="217"/>
        <w:gridCol w:w="568"/>
        <w:gridCol w:w="166"/>
        <w:gridCol w:w="146"/>
        <w:gridCol w:w="265"/>
        <w:gridCol w:w="816"/>
        <w:gridCol w:w="166"/>
        <w:gridCol w:w="146"/>
        <w:gridCol w:w="384"/>
        <w:gridCol w:w="1125"/>
        <w:gridCol w:w="166"/>
        <w:gridCol w:w="146"/>
        <w:gridCol w:w="196"/>
        <w:gridCol w:w="601"/>
        <w:gridCol w:w="166"/>
        <w:gridCol w:w="146"/>
        <w:gridCol w:w="196"/>
        <w:gridCol w:w="691"/>
        <w:gridCol w:w="214"/>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203,189</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(43,621</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33,138</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w:t>
            </w:r>
          </w:p>
        </w:tc>
        <w:tc>
          <w:tcPr>
            <w:tcW w:w="214" w:type="dxa"/>
            <w:tcBorders/>
            <w:shd w:fill="FFFFFF" w:val="cle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(16,393</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84"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10,043</w:t>
            </w:r>
          </w:p>
        </w:tc>
        <w:tc>
          <w:tcPr>
            <w:tcW w:w="214" w:type="dxa"/>
            <w:tcBorders/>
            <w:shd w:fill="CFF0FC" w:val="clear"/>
            <w:vAlign w:val="center"/>
          </w:tcPr>
          <w:p>
            <w:pPr>
              <w:pStyle w:val="TableContents"/>
              <w:bidi w:val="0"/>
              <w:spacing w:before="0" w:after="283"/>
              <w:jc w:val="left"/>
              <w:rPr/>
            </w:pPr>
            <w:r>
              <w:rPr/>
              <w:t> </w:t>
            </w:r>
          </w:p>
        </w:tc>
      </w:tr>
      <w:tr>
        <w:trPr/>
        <w:tc>
          <w:tcPr>
            <w:tcW w:w="233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out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year ended December 31, 2022 (dollars in thousands):</w:t>
      </w:r>
    </w:p>
    <w:tbl>
      <w:tblPr>
        <w:tblW w:w="10205" w:type="dxa"/>
        <w:jc w:val="left"/>
        <w:tblInd w:w="0" w:type="dxa"/>
        <w:tblLayout w:type="fixed"/>
        <w:tblCellMar>
          <w:top w:w="28" w:type="dxa"/>
          <w:left w:w="28" w:type="dxa"/>
          <w:bottom w:w="28" w:type="dxa"/>
          <w:right w:w="28" w:type="dxa"/>
        </w:tblCellMar>
      </w:tblPr>
      <w:tblGrid>
        <w:gridCol w:w="2221"/>
        <w:gridCol w:w="146"/>
        <w:gridCol w:w="196"/>
        <w:gridCol w:w="691"/>
        <w:gridCol w:w="166"/>
        <w:gridCol w:w="146"/>
        <w:gridCol w:w="203"/>
        <w:gridCol w:w="684"/>
        <w:gridCol w:w="166"/>
        <w:gridCol w:w="146"/>
        <w:gridCol w:w="265"/>
        <w:gridCol w:w="816"/>
        <w:gridCol w:w="166"/>
        <w:gridCol w:w="146"/>
        <w:gridCol w:w="373"/>
        <w:gridCol w:w="1093"/>
        <w:gridCol w:w="166"/>
        <w:gridCol w:w="146"/>
        <w:gridCol w:w="196"/>
        <w:gridCol w:w="661"/>
        <w:gridCol w:w="166"/>
        <w:gridCol w:w="146"/>
        <w:gridCol w:w="196"/>
        <w:gridCol w:w="691"/>
        <w:gridCol w:w="213"/>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198,189</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(41,915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3"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(25,903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(93,931</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3"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107,181</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3"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w:t>
            </w:r>
          </w:p>
        </w:tc>
        <w:tc>
          <w:tcPr>
            <w:tcW w:w="213"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3" w:type="dxa"/>
            <w:tcBorders/>
            <w:shd w:fill="CFF0FC" w:val="clear"/>
            <w:vAlign w:val="center"/>
          </w:tcPr>
          <w:p>
            <w:pPr>
              <w:pStyle w:val="TableContents"/>
              <w:bidi w:val="0"/>
              <w:spacing w:before="0" w:after="283"/>
              <w:jc w:val="left"/>
              <w:rPr/>
            </w:pPr>
            <w:r>
              <w:rPr/>
              <w:t> </w:t>
            </w:r>
          </w:p>
        </w:tc>
        <w:tc>
          <w:tcPr>
            <w:tcW w:w="10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1,495</w:t>
            </w:r>
          </w:p>
        </w:tc>
        <w:tc>
          <w:tcPr>
            <w:tcW w:w="213"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3"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13,769</w:t>
            </w:r>
          </w:p>
        </w:tc>
        <w:tc>
          <w:tcPr>
            <w:tcW w:w="213"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203,189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The net change in unrealized appreciation (depreciation) on Level 3 investments held as of December 31, 2023 and 2022, was $1.0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$(4.3) million, respectively, and is included in net change in unrealized</w:t>
      </w:r>
      <w:r>
        <w:rPr>
          <w:rFonts w:ascii="Times New Roman" w:hAnsi="Times New Roman"/>
          <w:color w:val="000000"/>
          <w:sz w:val="20"/>
        </w:rPr>
        <w:t xml:space="preserve"> </w:t>
      </w:r>
      <w:r>
        <w:rPr>
          <w:rFonts w:ascii="Times New Roman" w:hAnsi="Times New Roman"/>
          <w:color w:val="000000"/>
          <w:sz w:val="16"/>
        </w:rPr>
        <w:t>appreciation (depreciation) on investments on the consolidated statements of operations.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and (liabilities) as of December 31, 2023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7.8% – 30.0% (13.5%)</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 – 17.9% (15.7%)</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0.5x</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22.4% – 24.1% (23.8%)</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$102.49</w:t>
              <w:br/>
              <w:t>2.0</w:t>
              <w:br/>
              <w:t>35.0%</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2.3x – 18.0x (6.6x)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1.2x (0.9x)</w:t>
            </w:r>
          </w:p>
        </w:tc>
      </w:tr>
      <w:tr>
        <w:trPr/>
        <w:tc>
          <w:tcPr>
            <w:tcW w:w="22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left"/>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left"/>
        <w:rPr>
          <w:rFonts w:ascii="Times New Roman" w:hAnsi="Times New Roman"/>
          <w:sz w:val="20"/>
        </w:rPr>
      </w:pPr>
      <w:r>
        <w:rPr>
          <w:rFonts w:ascii="Times New Roman" w:hAnsi="Times New Roman"/>
          <w:color w:val="000000"/>
          <w:sz w:val="13"/>
        </w:rPr>
        <w:t>$1.0</w:t>
      </w:r>
      <w:r>
        <w:rPr>
          <w:rFonts w:ascii="Times New Roman" w:hAnsi="Times New Roman"/>
          <w:color w:val="000000"/>
          <w:sz w:val="20"/>
        </w:rPr>
        <w:t xml:space="preserve"> </w:t>
      </w:r>
      <w:r>
        <w:rPr>
          <w:rFonts w:ascii="Times New Roman" w:hAnsi="Times New Roman"/>
          <w:color w:val="000000"/>
          <w:sz w:val="13"/>
        </w:rPr>
        <w:t>million in equity</w:t>
      </w:r>
      <w:r>
        <w:rPr>
          <w:rFonts w:ascii="Times New Roman" w:hAnsi="Times New Roman"/>
          <w:color w:val="000000"/>
          <w:sz w:val="20"/>
        </w:rPr>
        <w:t xml:space="preserve"> </w:t>
      </w:r>
      <w:r>
        <w:rPr>
          <w:rFonts w:ascii="Times New Roman" w:hAnsi="Times New Roman"/>
          <w:color w:val="000000"/>
          <w:sz w:val="13"/>
        </w:rPr>
        <w:t>was valued using the asset approach.</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jc w:val="both"/>
        <w:rPr>
          <w:rFonts w:ascii="Times New Roman" w:hAnsi="Times New Roman"/>
          <w:color w:val="000000"/>
          <w:sz w:val="13"/>
        </w:rPr>
      </w:pPr>
      <w:r>
        <w:rPr>
          <w:rFonts w:ascii="Times New Roman" w:hAnsi="Times New Roman"/>
          <w:color w:val="000000"/>
          <w:sz w:val="13"/>
        </w:rPr>
        <w:t>The weighted averages disclosed in the table above were weighted by their relative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4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as of December 31, 2022 were as follows:</w:t>
      </w:r>
    </w:p>
    <w:tbl>
      <w:tblPr>
        <w:tblW w:w="10169" w:type="dxa"/>
        <w:jc w:val="left"/>
        <w:tblInd w:w="0" w:type="dxa"/>
        <w:tblLayout w:type="fixed"/>
        <w:tblCellMar>
          <w:top w:w="28" w:type="dxa"/>
          <w:left w:w="28" w:type="dxa"/>
          <w:bottom w:w="28" w:type="dxa"/>
          <w:right w:w="28" w:type="dxa"/>
        </w:tblCellMar>
      </w:tblPr>
      <w:tblGrid>
        <w:gridCol w:w="2221"/>
        <w:gridCol w:w="146"/>
        <w:gridCol w:w="266"/>
        <w:gridCol w:w="694"/>
        <w:gridCol w:w="146"/>
        <w:gridCol w:w="146"/>
        <w:gridCol w:w="2626"/>
        <w:gridCol w:w="146"/>
        <w:gridCol w:w="1786"/>
        <w:gridCol w:w="146"/>
        <w:gridCol w:w="184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 – 30.0% (12.2%)</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0.4x</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1.6% – 18.7% (16.1%)</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4.7x</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5.9% – 18.9% (10.4%)</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21.5% – 24.8% (23.6%)</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$115.8</w:t>
              <w:br/>
              <w:t>2.0</w:t>
              <w:br/>
              <w:t>35.0%</w:t>
            </w:r>
          </w:p>
        </w:tc>
      </w:tr>
      <w:tr>
        <w:trPr/>
        <w:tc>
          <w:tcPr>
            <w:tcW w:w="22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3.3x – 15.8x (6.4x)</w:t>
            </w:r>
          </w:p>
        </w:tc>
      </w:tr>
      <w:tr>
        <w:trPr/>
        <w:tc>
          <w:tcPr>
            <w:tcW w:w="22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FFFFFF" w:val="clear"/>
            <w:vAlign w:val="center"/>
          </w:tcPr>
          <w:p>
            <w:pPr>
              <w:pStyle w:val="TableContents"/>
              <w:bidi w:val="0"/>
              <w:spacing w:before="0" w:after="283"/>
              <w:jc w:val="left"/>
              <w:rPr/>
            </w:pPr>
            <w:r>
              <w:rPr/>
              <w:t> </w:t>
            </w:r>
          </w:p>
        </w:tc>
        <w:tc>
          <w:tcPr>
            <w:tcW w:w="1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1.0x (0.9x)</w:t>
            </w:r>
          </w:p>
        </w:tc>
      </w:tr>
      <w:tr>
        <w:trPr/>
        <w:tc>
          <w:tcPr>
            <w:tcW w:w="222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left"/>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left"/>
        <w:rPr>
          <w:rFonts w:ascii="Times New Roman" w:hAnsi="Times New Roman"/>
          <w:sz w:val="20"/>
        </w:rPr>
      </w:pPr>
      <w:r>
        <w:rPr>
          <w:rFonts w:ascii="Times New Roman" w:hAnsi="Times New Roman"/>
          <w:color w:val="000000"/>
          <w:sz w:val="13"/>
        </w:rPr>
        <w:t>$1.0</w:t>
      </w:r>
      <w:r>
        <w:rPr>
          <w:rFonts w:ascii="Times New Roman" w:hAnsi="Times New Roman"/>
          <w:color w:val="000000"/>
          <w:sz w:val="20"/>
        </w:rPr>
        <w:t xml:space="preserve"> </w:t>
      </w:r>
      <w:r>
        <w:rPr>
          <w:rFonts w:ascii="Times New Roman" w:hAnsi="Times New Roman"/>
          <w:color w:val="000000"/>
          <w:sz w:val="13"/>
        </w:rPr>
        <w:t>million in equity</w:t>
      </w:r>
      <w:r>
        <w:rPr>
          <w:rFonts w:ascii="Times New Roman" w:hAnsi="Times New Roman"/>
          <w:color w:val="000000"/>
          <w:sz w:val="20"/>
        </w:rPr>
        <w:t xml:space="preserve"> </w:t>
      </w:r>
      <w:r>
        <w:rPr>
          <w:rFonts w:ascii="Times New Roman" w:hAnsi="Times New Roman"/>
          <w:color w:val="000000"/>
          <w:sz w:val="13"/>
        </w:rPr>
        <w:t>and warrants were valued using the asset approach.</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jc w:val="both"/>
        <w:rPr>
          <w:rFonts w:ascii="Times New Roman" w:hAnsi="Times New Roman"/>
          <w:color w:val="000000"/>
          <w:sz w:val="13"/>
        </w:rPr>
      </w:pPr>
      <w:r>
        <w:rPr>
          <w:rFonts w:ascii="Times New Roman" w:hAnsi="Times New Roman"/>
          <w:color w:val="000000"/>
          <w:sz w:val="13"/>
        </w:rPr>
        <w:t>The weighted averages disclosed in the table above were weighted by their relative fair value.</w:t>
      </w:r>
    </w:p>
    <w:p>
      <w:pPr>
        <w:pStyle w:val="TextBody"/>
        <w:bidi w:val="0"/>
        <w:spacing w:before="160" w:after="283"/>
        <w:jc w:val="both"/>
        <w:rPr>
          <w:rFonts w:ascii="Times New Roman" w:hAnsi="Times New Roman"/>
          <w:sz w:val="20"/>
        </w:rPr>
      </w:pPr>
      <w:r>
        <w:rPr>
          <w:rFonts w:ascii="Times New Roman" w:hAnsi="Times New Roman"/>
          <w:color w:val="000000"/>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Great Lakes Funding II LLC</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August 2022,the Company invested in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fair value of the Company’s investment in the Great Lakes II Joint Venture at December 31, 2023 and December 31, 2022 was $0.5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$0.4</w:t>
      </w:r>
      <w:r>
        <w:rPr>
          <w:rFonts w:ascii="Times New Roman" w:hAnsi="Times New Roman"/>
          <w:color w:val="000000"/>
          <w:sz w:val="20"/>
        </w:rPr>
        <w:t xml:space="preserve"> </w:t>
      </w:r>
      <w:r>
        <w:rPr>
          <w:rFonts w:ascii="Times New Roman" w:hAnsi="Times New Roman"/>
          <w:color w:val="000000"/>
          <w:sz w:val="16"/>
        </w:rPr>
        <w:t>million, respectively.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the Company has an unfunded commitment to the Great Lakes II Joint Venture of $0.1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Note 4. Transactions With Affiliated Companies</w:t>
      </w:r>
    </w:p>
    <w:p>
      <w:pPr>
        <w:pStyle w:val="TextBody"/>
        <w:bidi w:val="0"/>
        <w:spacing w:before="80" w:after="240"/>
        <w:jc w:val="both"/>
        <w:rPr>
          <w:rFonts w:ascii="Times New Roman" w:hAnsi="Times New Roman"/>
          <w:color w:val="000000"/>
          <w:sz w:val="16"/>
        </w:rPr>
      </w:pPr>
      <w:r>
        <w:rPr>
          <w:rFonts w:ascii="Times New Roman" w:hAnsi="Times New Roman"/>
          <w:color w:val="000000"/>
          <w:sz w:val="16"/>
        </w:rPr>
        <w:t>During the year ended December 31, 2023,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19"/>
        <w:gridCol w:w="146"/>
        <w:gridCol w:w="1234"/>
        <w:gridCol w:w="181"/>
        <w:gridCol w:w="414"/>
        <w:gridCol w:w="146"/>
        <w:gridCol w:w="146"/>
        <w:gridCol w:w="242"/>
        <w:gridCol w:w="509"/>
        <w:gridCol w:w="151"/>
        <w:gridCol w:w="146"/>
        <w:gridCol w:w="185"/>
        <w:gridCol w:w="487"/>
        <w:gridCol w:w="146"/>
        <w:gridCol w:w="146"/>
        <w:gridCol w:w="206"/>
        <w:gridCol w:w="432"/>
        <w:gridCol w:w="146"/>
        <w:gridCol w:w="146"/>
        <w:gridCol w:w="205"/>
        <w:gridCol w:w="523"/>
        <w:gridCol w:w="151"/>
        <w:gridCol w:w="146"/>
        <w:gridCol w:w="191"/>
        <w:gridCol w:w="399"/>
        <w:gridCol w:w="146"/>
        <w:gridCol w:w="146"/>
        <w:gridCol w:w="254"/>
        <w:gridCol w:w="648"/>
        <w:gridCol w:w="151"/>
        <w:gridCol w:w="146"/>
        <w:gridCol w:w="184"/>
        <w:gridCol w:w="486"/>
        <w:gridCol w:w="201"/>
      </w:tblGrid>
      <w:tr>
        <w:trPr/>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2023</w:t>
              <w:br/>
              <w:t>Fair Value</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9"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8"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0" w:type="dxa"/>
            <w:gridSpan w:val="2"/>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8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201" w:type="dxa"/>
            <w:tcBorders/>
            <w:shd w:fill="FFFFFF" w:val="cle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201" w:type="dxa"/>
            <w:tcBorders/>
            <w:shd w:fill="CFF0FC"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201" w:type="dxa"/>
            <w:tcBorders/>
            <w:shd w:fill="FFFFFF" w:val="cle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(12.00% Cash, Due 6/28/24)</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201" w:type="dxa"/>
            <w:tcBorders/>
            <w:shd w:fill="CFF0FC"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(6.00% Cash, Due 6/28/24)</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201" w:type="dxa"/>
            <w:tcBorders/>
            <w:shd w:fill="FFFFFF" w:val="cle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 8.00% PIK Dividend)</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201" w:type="dxa"/>
            <w:tcBorders/>
            <w:shd w:fill="CFF0FC"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(45</w:t>
            </w:r>
            <w:r>
              <w:rPr>
                <w:rFonts w:ascii="Times New Roman" w:hAnsi="Times New Roman"/>
                <w:color w:val="000000"/>
                <w:sz w:val="20"/>
              </w:rPr>
              <w:t> </w:t>
            </w:r>
            <w:r>
              <w:rPr>
                <w:rFonts w:ascii="Times New Roman" w:hAnsi="Times New Roman"/>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(10.43% Cash (1 month LIBOR + 5.00%), 1.50% Floor), Due 1/4/24)</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(13.76% Cash, Due 1/4/24)</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487"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52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6.00% PIK Dividend)</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pPr>
            <w:r>
              <w:rPr/>
              <w:t> </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(15.00% PIK, Due 9/12/23)</w:t>
            </w:r>
          </w:p>
        </w:tc>
        <w:tc>
          <w:tcPr>
            <w:tcW w:w="181"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(27,396,364</w:t>
            </w:r>
            <w:r>
              <w:rPr>
                <w:rFonts w:ascii="Times New Roman" w:hAnsi="Times New Roman"/>
                <w:color w:val="000000"/>
                <w:sz w:val="20"/>
              </w:rPr>
              <w:t> </w:t>
            </w:r>
            <w:r>
              <w:rPr>
                <w:rFonts w:ascii="Times New Roman" w:hAnsi="Times New Roman"/>
                <w:color w:val="000000"/>
                <w:sz w:val="12"/>
              </w:rPr>
              <w:t>shares)</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81"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left"/>
              <w:rPr/>
            </w:pPr>
            <w:r>
              <w:rPr/>
              <w:t> </w:t>
            </w:r>
          </w:p>
        </w:tc>
        <w:tc>
          <w:tcPr>
            <w:tcW w:w="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9"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5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All debt investments are income producing. Equity and warrant investments are non-income producing, unless otherwise noted.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jc w:val="both"/>
        <w:rPr>
          <w:rFonts w:ascii="Times New Roman" w:hAnsi="Times New Roman"/>
          <w:color w:val="000000"/>
          <w:sz w:val="13"/>
        </w:rPr>
      </w:pPr>
      <w:r>
        <w:rPr>
          <w:rFonts w:ascii="Times New Roman" w:hAnsi="Times New Roman"/>
          <w:color w:val="000000"/>
          <w:sz w:val="13"/>
        </w:rPr>
        <w:t>The equity investment is income producing, based on rate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40"/>
        <w:jc w:val="both"/>
        <w:rPr>
          <w:rFonts w:ascii="Times New Roman" w:hAnsi="Times New Roman"/>
          <w:color w:val="000000"/>
          <w:sz w:val="16"/>
        </w:rPr>
      </w:pPr>
      <w:r>
        <w:rPr>
          <w:rFonts w:ascii="Times New Roman" w:hAnsi="Times New Roman"/>
          <w:color w:val="000000"/>
          <w:sz w:val="16"/>
        </w:rPr>
        <w:t>During the year ended December 31, 2022,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02"/>
        <w:gridCol w:w="146"/>
        <w:gridCol w:w="1175"/>
        <w:gridCol w:w="146"/>
        <w:gridCol w:w="179"/>
        <w:gridCol w:w="409"/>
        <w:gridCol w:w="146"/>
        <w:gridCol w:w="146"/>
        <w:gridCol w:w="228"/>
        <w:gridCol w:w="480"/>
        <w:gridCol w:w="146"/>
        <w:gridCol w:w="146"/>
        <w:gridCol w:w="184"/>
        <w:gridCol w:w="485"/>
        <w:gridCol w:w="146"/>
        <w:gridCol w:w="146"/>
        <w:gridCol w:w="204"/>
        <w:gridCol w:w="428"/>
        <w:gridCol w:w="146"/>
        <w:gridCol w:w="146"/>
        <w:gridCol w:w="203"/>
        <w:gridCol w:w="518"/>
        <w:gridCol w:w="151"/>
        <w:gridCol w:w="146"/>
        <w:gridCol w:w="172"/>
        <w:gridCol w:w="438"/>
        <w:gridCol w:w="151"/>
        <w:gridCol w:w="146"/>
        <w:gridCol w:w="248"/>
        <w:gridCol w:w="632"/>
        <w:gridCol w:w="151"/>
        <w:gridCol w:w="146"/>
        <w:gridCol w:w="184"/>
        <w:gridCol w:w="485"/>
        <w:gridCol w:w="200"/>
      </w:tblGrid>
      <w:tr>
        <w:trPr/>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 xml:space="preserve">2021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 xml:space="preserve">2022 </w:t>
              <w:br/>
              <w:t>Fair Value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b/>
                <w:i/>
                <w:color w:val="000000"/>
                <w:sz w:val="12"/>
                <w:u w:val="single"/>
              </w:rPr>
              <w:t>Affiliate investments</w:t>
            </w:r>
            <w:r>
              <w:rPr>
                <w:rFonts w:ascii="Times New Roman" w:hAnsi="Times New Roman"/>
                <w:b/>
                <w:i/>
                <w:color w:val="000000"/>
                <w:sz w:val="8"/>
                <w:u w:val="single"/>
              </w:rPr>
              <w:t>(6)</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LJS Partners,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(202,336</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(979</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LJS Partners,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(2,593,234</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First Lien Debt (12.0% Cash, Due</w:t>
            </w:r>
            <w:r>
              <w:rPr>
                <w:rFonts w:ascii="Times New Roman" w:hAnsi="Times New Roman"/>
                <w:color w:val="000000"/>
                <w:sz w:val="20"/>
              </w:rPr>
              <w:t xml:space="preserve"> </w:t>
            </w:r>
            <w:r>
              <w:rPr>
                <w:rFonts w:ascii="Times New Roman" w:hAnsi="Times New Roman"/>
                <w:color w:val="000000"/>
                <w:sz w:val="12"/>
              </w:rPr>
              <w:t>4/1/22)</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(6.0% Cash, Due 4/1/22)</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 8.0% PIK Dividend)</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(656</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(45</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First Lien Debt (6.5% Cash (1 month LIBOR + 5.0%), 1.5% Floor), Due</w:t>
            </w:r>
            <w:r>
              <w:rPr>
                <w:rFonts w:ascii="Times New Roman" w:hAnsi="Times New Roman"/>
                <w:color w:val="000000"/>
                <w:sz w:val="20"/>
              </w:rPr>
              <w:t xml:space="preserve"> </w:t>
            </w:r>
            <w:r>
              <w:rPr>
                <w:rFonts w:ascii="Times New Roman" w:hAnsi="Times New Roman"/>
                <w:color w:val="000000"/>
                <w:sz w:val="12"/>
              </w:rPr>
              <w:t>1/4/24)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(12.45% Cash, Due 1/4/24)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 PIK Dividend)</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(15.0% PIK, Due 9/12/23)</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(15,068,000</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FFFFFF"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146" w:type="dxa"/>
            <w:tcBorders/>
            <w:shd w:fill="FFFFFF" w:val="clear"/>
            <w:vAlign w:val="center"/>
          </w:tcPr>
          <w:p>
            <w:pPr>
              <w:pStyle w:val="TableContents"/>
              <w:bidi w:val="0"/>
              <w:spacing w:before="0" w:after="283"/>
              <w:jc w:val="left"/>
              <w:rPr/>
            </w:pPr>
            <w:r>
              <w:rPr/>
              <w:t> </w:t>
            </w:r>
          </w:p>
        </w:tc>
        <w:tc>
          <w:tcPr>
            <w:tcW w:w="5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Control investments</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0"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Vology,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(10.5% Cash (1 month LIBOR + 8.5%, 2.0% Floor), Due 3/31/22)</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r>
      <w:tr>
        <w:trPr/>
        <w:tc>
          <w:tcPr>
            <w:tcW w:w="100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Vology, Inc.</w:t>
            </w:r>
          </w:p>
        </w:tc>
        <w:tc>
          <w:tcPr>
            <w:tcW w:w="146" w:type="dxa"/>
            <w:tcBorders/>
            <w:shd w:fill="CFF0FC" w:val="clear"/>
            <w:vAlign w:val="center"/>
          </w:tcPr>
          <w:p>
            <w:pPr>
              <w:pStyle w:val="TableContents"/>
              <w:bidi w:val="0"/>
              <w:spacing w:before="0" w:after="283"/>
              <w:jc w:val="left"/>
              <w:rPr/>
            </w:pPr>
            <w:r>
              <w:rPr/>
              <w:t> </w:t>
            </w:r>
          </w:p>
        </w:tc>
        <w:tc>
          <w:tcPr>
            <w:tcW w:w="117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Class A Preferred Units (9,041,810</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63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r>
      <w:tr>
        <w:trPr/>
        <w:tc>
          <w:tcPr>
            <w:tcW w:w="100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Vology, Inc.</w:t>
            </w:r>
          </w:p>
        </w:tc>
        <w:tc>
          <w:tcPr>
            <w:tcW w:w="146"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(5,363,982</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3"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Control investments</w:t>
            </w:r>
          </w:p>
        </w:tc>
        <w:tc>
          <w:tcPr>
            <w:tcW w:w="146" w:type="dxa"/>
            <w:tcBorders/>
            <w:shd w:fill="CFF0FC" w:val="clear"/>
            <w:vAlign w:val="center"/>
          </w:tcPr>
          <w:p>
            <w:pPr>
              <w:pStyle w:val="TableContents"/>
              <w:bidi w:val="0"/>
              <w:spacing w:before="0" w:after="283"/>
              <w:jc w:val="left"/>
              <w:rPr/>
            </w:pPr>
            <w:r>
              <w:rPr/>
              <w:t> </w:t>
            </w:r>
          </w:p>
        </w:tc>
        <w:tc>
          <w:tcPr>
            <w:tcW w:w="588"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All debt investments are income producing. Equity and warrant investments are non-income producing, unless otherwise noted.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equity investment is income producing, based on rate disclosed.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jc w:val="both"/>
        <w:rPr/>
      </w:pPr>
      <w:r>
        <w:rPr>
          <w:rFonts w:ascii="Times New Roman" w:hAnsi="Times New Roman"/>
          <w:color w:val="000000"/>
          <w:sz w:val="13"/>
        </w:rPr>
        <w:t>During the second quarter of 2022, Eastport Holdings, LLC completed a refinancing and recapitalization transaction. Logan Ridge received $16.5</w:t>
      </w:r>
      <w:r>
        <w:rPr>
          <w:color w:val="000000"/>
        </w:rPr>
        <w:t xml:space="preserve"> </w:t>
      </w:r>
      <w:r>
        <w:rPr>
          <w:rFonts w:ascii="Times New Roman" w:hAnsi="Times New Roman"/>
          <w:color w:val="000000"/>
          <w:sz w:val="13"/>
        </w:rPr>
        <w:t>million in cash and $19.3</w:t>
      </w:r>
      <w:r>
        <w:rPr>
          <w:color w:val="000000"/>
        </w:rPr>
        <w:t xml:space="preserve"> </w:t>
      </w:r>
      <w:r>
        <w:rPr>
          <w:rFonts w:ascii="Times New Roman" w:hAnsi="Times New Roman"/>
          <w:color w:val="000000"/>
          <w:sz w:val="13"/>
        </w:rPr>
        <w:t>million in principal of a new debt security in exchange for all of its previous debt and equity securities, which resulted in a realized gain of approximately $16.0</w:t>
      </w:r>
      <w:r>
        <w:rPr>
          <w:color w:val="000000"/>
        </w:rPr>
        <w:t xml:space="preserve"> </w:t>
      </w:r>
      <w:r>
        <w:rPr>
          <w:rFonts w:ascii="Times New Roman" w:hAnsi="Times New Roman"/>
          <w:color w:val="000000"/>
          <w:sz w:val="13"/>
        </w:rPr>
        <w:t>million on the Company's equity interest. As a result of this transaction, Eastport Holdings, LLC is no longer an affiliate of the Company.</w:t>
      </w:r>
      <w:r>
        <w:rPr>
          <w:color w:val="000000"/>
        </w:rPr>
        <w:t xml:space="preserve">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Note 5. Agreements and Related Party Transactions</w:t>
      </w:r>
    </w:p>
    <w:p>
      <w:pPr>
        <w:pStyle w:val="TextBody"/>
        <w:bidi w:val="0"/>
        <w:spacing w:before="240" w:after="283"/>
        <w:jc w:val="left"/>
        <w:rPr>
          <w:rFonts w:ascii="Times New Roman" w:hAnsi="Times New Roman"/>
          <w:i/>
          <w:color w:val="000000"/>
          <w:sz w:val="16"/>
        </w:rPr>
      </w:pPr>
      <w:r>
        <w:rPr>
          <w:rFonts w:ascii="Times New Roman" w:hAnsi="Times New Roman"/>
          <w:i/>
          <w:color w:val="000000"/>
          <w:sz w:val="16"/>
        </w:rPr>
        <w:t>Investment Advisory Agreement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On July 1, 2021, the Company entered into an investment advisory agreement (the “Investment Advisory Agreement”) with the Investment Adviser, which was approved by the Company’s stockholders on May 27, 2021. Unless earlier terminated in accordance with its terms, the Investment Advisory Agreement will remain in effect from year-to-year if approved annually by the Board or by a majority of our outstanding voting securities, including, in either case, by a majority of our directors who are not “interested persons” as such term is defined in Section 2(a)(19) of the 1940 Act (“Independent Directors”). The Board most recently approved the renewal of the Investment Advisory Agreement at a meeting on May 9, 2023.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determines the composition of our portfolio, the nature and timing of the changes to our portfolio, and the manner of implementing such changes;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identifies, evaluates, and negotiates the structure of the investments we make (including performing due diligence on our prospective portfolio companies);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closes and monitors the investments we make;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provides us with other investment advisory, research, and related services as we may from time to time require.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60" w:after="283"/>
        <w:jc w:val="both"/>
        <w:rPr>
          <w:rFonts w:ascii="Times New Roman" w:hAnsi="Times New Roman"/>
          <w:sz w:val="20"/>
        </w:rPr>
      </w:pPr>
      <w:r>
        <w:rPr>
          <w:rFonts w:ascii="Times New Roman" w:hAnsi="Times New Roman"/>
          <w:color w:val="000000"/>
          <w:sz w:val="16"/>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incentive fee consists of the following two parts: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no incentive fee in any calendar quarter in which the pre-incentive fee net investment income does not exceed the hurdle of 2.0%;</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will treated as though it were a calendar year end for purposes of calculating and paying a capital gains fee.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2023 and 2022, the Company did not have incentive fees payable to the Investment Adviser related to fees earned in prior years but deferred under the incentive fee deferral mechanism.</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part of the Transaction, beginning on July 1, 2021,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60" w:after="283"/>
        <w:jc w:val="both"/>
        <w:rPr>
          <w:rFonts w:ascii="Times New Roman" w:hAnsi="Times New Roman"/>
          <w:sz w:val="20"/>
        </w:rPr>
      </w:pPr>
      <w:r>
        <w:rPr>
          <w:rFonts w:ascii="Times New Roman" w:hAnsi="Times New Roman"/>
          <w:color w:val="000000"/>
          <w:sz w:val="16"/>
        </w:rPr>
        <w:t>For the years ended December 31, 2023, 2022 and 2021, the Company incurred $3.7</w:t>
      </w:r>
      <w:r>
        <w:rPr>
          <w:rFonts w:ascii="Times New Roman" w:hAnsi="Times New Roman"/>
          <w:color w:val="000000"/>
          <w:sz w:val="20"/>
        </w:rPr>
        <w:t xml:space="preserve"> </w:t>
      </w:r>
      <w:r>
        <w:rPr>
          <w:rFonts w:ascii="Times New Roman" w:hAnsi="Times New Roman"/>
          <w:color w:val="000000"/>
          <w:sz w:val="16"/>
        </w:rPr>
        <w:t>million, $3.9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$4.8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base management fees, respectively, under the Investment Advisory Agreement and the Prior Investment Advisory Agreement. The Company did not incur incentive fees related to pre-incentive fee net investment income for the years ended December 31, 2023, 2022, and 2021, respectively. For the years ended December 31, 2023, 2022 and 2021, our Investment Adviser did not waive any incentive fees as none were incurred.</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As of December 31, 2023 and 2022, the Company had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$0.9</w:t>
      </w:r>
      <w:r>
        <w:rPr>
          <w:rFonts w:ascii="Times New Roman" w:hAnsi="Times New Roman"/>
          <w:color w:val="000000"/>
          <w:sz w:val="20"/>
        </w:rPr>
        <w:t xml:space="preserve"> </w:t>
      </w:r>
      <w:r>
        <w:rPr>
          <w:rFonts w:ascii="Times New Roman" w:hAnsi="Times New Roman"/>
          <w:color w:val="000000"/>
          <w:sz w:val="16"/>
        </w:rPr>
        <w:t>million, respectively, of management and incentive fees payable to the Adviser. These amounts are reflected in the accompanying consolidated statements of assets and liabilities under the caption “Management and incentive fees payable.”</w:t>
      </w:r>
    </w:p>
    <w:p>
      <w:pPr>
        <w:pStyle w:val="TextBody"/>
        <w:bidi w:val="0"/>
        <w:jc w:val="both"/>
        <w:rPr>
          <w:rFonts w:ascii="Times New Roman" w:hAnsi="Times New Roman"/>
          <w:i/>
          <w:color w:val="000000"/>
          <w:sz w:val="16"/>
        </w:rPr>
      </w:pPr>
      <w:r>
        <w:rPr>
          <w:rFonts w:ascii="Times New Roman" w:hAnsi="Times New Roman"/>
          <w:i/>
          <w:color w:val="000000"/>
          <w:sz w:val="16"/>
        </w:rPr>
        <w:t>Administration Agreement</w:t>
      </w:r>
    </w:p>
    <w:p>
      <w:pPr>
        <w:pStyle w:val="TextBody"/>
        <w:bidi w:val="0"/>
        <w:spacing w:before="160" w:after="283"/>
        <w:jc w:val="both"/>
        <w:rPr>
          <w:rFonts w:ascii="Times New Roman" w:hAnsi="Times New Roman"/>
          <w:sz w:val="20"/>
        </w:rPr>
      </w:pPr>
      <w:r>
        <w:rPr>
          <w:rFonts w:ascii="Times New Roman" w:hAnsi="Times New Roman"/>
          <w:color w:val="000000"/>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sz w:val="20"/>
        </w:rPr>
      </w:pPr>
      <w:r>
        <w:rPr>
          <w:rFonts w:ascii="Times New Roman" w:hAnsi="Times New Roman"/>
          <w:color w:val="000000"/>
          <w:sz w:val="16"/>
        </w:rPr>
        <w:t>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bidi w:val="0"/>
        <w:spacing w:before="160" w:after="283"/>
        <w:jc w:val="both"/>
        <w:rPr>
          <w:rFonts w:ascii="Times New Roman" w:hAnsi="Times New Roman"/>
          <w:sz w:val="20"/>
        </w:rPr>
      </w:pPr>
      <w:r>
        <w:rPr>
          <w:rFonts w:ascii="Times New Roman" w:hAnsi="Times New Roman"/>
          <w:color w:val="000000"/>
          <w:sz w:val="16"/>
        </w:rPr>
        <w:t>For the years ended December 31, 2023, 2022 and 2021, the Company accrued $0.9</w:t>
      </w:r>
      <w:r>
        <w:rPr>
          <w:rFonts w:ascii="Times New Roman" w:hAnsi="Times New Roman"/>
          <w:color w:val="000000"/>
          <w:sz w:val="20"/>
        </w:rPr>
        <w:t xml:space="preserve"> </w:t>
      </w:r>
      <w:r>
        <w:rPr>
          <w:rFonts w:ascii="Times New Roman" w:hAnsi="Times New Roman"/>
          <w:color w:val="000000"/>
          <w:sz w:val="16"/>
        </w:rPr>
        <w:t>million, $0.6</w:t>
      </w:r>
      <w:r>
        <w:rPr>
          <w:rFonts w:ascii="Times New Roman" w:hAnsi="Times New Roman"/>
          <w:color w:val="000000"/>
          <w:sz w:val="20"/>
        </w:rPr>
        <w:t xml:space="preserve"> </w:t>
      </w:r>
      <w:r>
        <w:rPr>
          <w:rFonts w:ascii="Times New Roman" w:hAnsi="Times New Roman"/>
          <w:color w:val="000000"/>
          <w:sz w:val="16"/>
        </w:rPr>
        <w:t>million, and $1.0</w:t>
      </w:r>
      <w:r>
        <w:rPr>
          <w:rFonts w:ascii="Times New Roman" w:hAnsi="Times New Roman"/>
          <w:color w:val="000000"/>
          <w:sz w:val="20"/>
        </w:rPr>
        <w:t xml:space="preserve"> </w:t>
      </w:r>
      <w:r>
        <w:rPr>
          <w:rFonts w:ascii="Times New Roman" w:hAnsi="Times New Roman"/>
          <w:color w:val="000000"/>
          <w:sz w:val="16"/>
        </w:rPr>
        <w:t>million, respectively, for the Company’s allocable portion of the Administrator’s overhead.</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r>
        <w:rPr>
          <w:rFonts w:ascii="Times New Roman" w:hAnsi="Times New Roman"/>
          <w:color w:val="000000"/>
          <w:sz w:val="20"/>
        </w:rPr>
        <w:t xml:space="preserve"> </w:t>
      </w:r>
    </w:p>
    <w:p>
      <w:pPr>
        <w:pStyle w:val="TextBody"/>
        <w:bidi w:val="0"/>
        <w:jc w:val="both"/>
        <w:rPr>
          <w:rFonts w:ascii="Times New Roman" w:hAnsi="Times New Roman"/>
          <w:i/>
          <w:color w:val="000000"/>
          <w:sz w:val="16"/>
        </w:rPr>
      </w:pPr>
      <w:r>
        <w:rPr>
          <w:rFonts w:ascii="Times New Roman" w:hAnsi="Times New Roman"/>
          <w:i/>
          <w:color w:val="000000"/>
          <w:sz w:val="16"/>
        </w:rPr>
        <w:t>Co-investment Exemptive Relief</w:t>
      </w:r>
    </w:p>
    <w:p>
      <w:pPr>
        <w:pStyle w:val="TextBody"/>
        <w:bidi w:val="0"/>
        <w:spacing w:before="160" w:after="283"/>
        <w:jc w:val="both"/>
        <w:rPr>
          <w:rFonts w:ascii="Times New Roman" w:hAnsi="Times New Roman"/>
          <w:sz w:val="20"/>
        </w:rPr>
      </w:pPr>
      <w:r>
        <w:rPr>
          <w:rFonts w:ascii="Times New Roman" w:hAnsi="Times New Roman"/>
          <w:color w:val="000000"/>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16"/>
        </w:rPr>
      </w:pPr>
      <w:r>
        <w:rPr>
          <w:rFonts w:ascii="Times New Roman" w:hAnsi="Times New Roman"/>
          <w:i/>
          <w:color w:val="000000"/>
          <w:sz w:val="16"/>
        </w:rPr>
        <w:t>Trade with Affiliated Funds</w:t>
      </w:r>
    </w:p>
    <w:p>
      <w:pPr>
        <w:pStyle w:val="TextBody"/>
        <w:bidi w:val="0"/>
        <w:spacing w:before="160" w:after="283"/>
        <w:jc w:val="both"/>
        <w:rPr>
          <w:rFonts w:ascii="Times New Roman" w:hAnsi="Times New Roman"/>
          <w:sz w:val="20"/>
        </w:rPr>
      </w:pPr>
      <w:r>
        <w:rPr>
          <w:rFonts w:ascii="Times New Roman" w:hAnsi="Times New Roman"/>
          <w:color w:val="000000"/>
          <w:sz w:val="16"/>
        </w:rPr>
        <w:t>There were no transactions subject to Rule 17a-7 under the 1940 Act during year ended December 31, 2023. During the year ended December 31, 2022, the Company sold $7.9</w:t>
      </w:r>
      <w:r>
        <w:rPr>
          <w:rFonts w:ascii="Times New Roman" w:hAnsi="Times New Roman"/>
          <w:color w:val="000000"/>
          <w:sz w:val="20"/>
        </w:rPr>
        <w:t xml:space="preserve"> </w:t>
      </w:r>
      <w:r>
        <w:rPr>
          <w:rFonts w:ascii="Times New Roman" w:hAnsi="Times New Roman"/>
          <w:color w:val="000000"/>
          <w:sz w:val="16"/>
        </w:rPr>
        <w:t>million in total investments to an affiliated fund in accordance with, and pursuant to procedures adopted under, Rule 17a-7 of the 1940 Act. Realized losses on those sales for the same period amounted to less than $0.1</w:t>
      </w:r>
      <w:r>
        <w:rPr>
          <w:rFonts w:ascii="Times New Roman" w:hAnsi="Times New Roman"/>
          <w:color w:val="000000"/>
          <w:sz w:val="20"/>
        </w:rPr>
        <w:t xml:space="preserve"> </w:t>
      </w:r>
      <w:r>
        <w:rPr>
          <w:rFonts w:ascii="Times New Roman" w:hAnsi="Times New Roman"/>
          <w:color w:val="000000"/>
          <w:sz w:val="16"/>
        </w:rPr>
        <w:t>million. There were no transactions subject to Rule 17a-7 under the 1940 Act during year ended December 31, 2021.</w:t>
      </w:r>
    </w:p>
    <w:p>
      <w:pPr>
        <w:pStyle w:val="TextBody"/>
        <w:bidi w:val="0"/>
        <w:jc w:val="left"/>
        <w:rPr/>
      </w:pPr>
      <w:r>
        <w:rPr/>
        <w:t> </w:t>
      </w:r>
    </w:p>
    <w:p>
      <w:pPr>
        <w:pStyle w:val="TextBody"/>
        <w:bidi w:val="0"/>
        <w:jc w:val="left"/>
        <w:rPr>
          <w:rFonts w:ascii="Times New Roman" w:hAnsi="Times New Roman"/>
          <w:i/>
          <w:color w:val="000000"/>
          <w:sz w:val="16"/>
        </w:rPr>
      </w:pPr>
      <w:r>
        <w:rPr>
          <w:rFonts w:ascii="Times New Roman" w:hAnsi="Times New Roman"/>
          <w:i/>
          <w:color w:val="000000"/>
          <w:sz w:val="16"/>
        </w:rPr>
        <w:t>Potential Conflicts of Interest</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p>
    <w:p>
      <w:pPr>
        <w:pStyle w:val="TextBody"/>
        <w:bidi w:val="0"/>
        <w:spacing w:before="240" w:after="283"/>
        <w:jc w:val="left"/>
        <w:rPr>
          <w:rFonts w:ascii="Times New Roman" w:hAnsi="Times New Roman"/>
          <w:sz w:val="20"/>
        </w:rPr>
      </w:pPr>
      <w:r>
        <w:rPr>
          <w:rFonts w:ascii="Times New Roman" w:hAnsi="Times New Roman"/>
          <w:b/>
          <w:color w:val="000000"/>
          <w:sz w:val="16"/>
        </w:rPr>
        <w:t>Note 6. Borrowings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SBA-guaranteed debentures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through its wholly owned subsidiary Fund III, historically used debenture leverage provided through the SBA to finance a portion of its investment portfolio. As of December 31, 2020, the Company had $91.0</w:t>
      </w:r>
      <w:r>
        <w:rPr>
          <w:rFonts w:ascii="Times New Roman" w:hAnsi="Times New Roman"/>
          <w:color w:val="000000"/>
          <w:sz w:val="20"/>
        </w:rPr>
        <w:t xml:space="preserve"> </w:t>
      </w:r>
      <w:r>
        <w:rPr>
          <w:rFonts w:ascii="Times New Roman" w:hAnsi="Times New Roman"/>
          <w:color w:val="000000"/>
          <w:sz w:val="16"/>
        </w:rPr>
        <w:t>million of SBA-guaranteed debentures outstanding. On June 10, 2021, Fund III repaid all of its remaining SBA-guaranteed debentures. As of December 31, 2020, Fund III had total assets of $186.0</w:t>
      </w:r>
      <w:r>
        <w:rPr>
          <w:rFonts w:ascii="Times New Roman" w:hAnsi="Times New Roman"/>
          <w:color w:val="000000"/>
          <w:sz w:val="20"/>
        </w:rPr>
        <w:t xml:space="preserve"> </w:t>
      </w:r>
      <w:r>
        <w:rPr>
          <w:rFonts w:ascii="Times New Roman" w:hAnsi="Times New Roman"/>
          <w:color w:val="000000"/>
          <w:sz w:val="16"/>
        </w:rPr>
        <w:t>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pStyle w:val="TextBody"/>
        <w:bidi w:val="0"/>
        <w:spacing w:before="160" w:after="283"/>
        <w:jc w:val="both"/>
        <w:rPr>
          <w:rFonts w:ascii="Times New Roman" w:hAnsi="Times New Roman"/>
          <w:sz w:val="20"/>
        </w:rPr>
      </w:pPr>
      <w:r>
        <w:rPr>
          <w:rFonts w:ascii="Times New Roman" w:hAnsi="Times New Roman"/>
          <w:color w:val="000000"/>
          <w:sz w:val="16"/>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w:t>
      </w:r>
      <w:r>
        <w:rPr>
          <w:rFonts w:ascii="Times New Roman" w:hAnsi="Times New Roman"/>
          <w:color w:val="000000"/>
          <w:sz w:val="20"/>
        </w:rPr>
        <w:t xml:space="preserve"> </w:t>
      </w:r>
      <w:r>
        <w:rPr>
          <w:rFonts w:ascii="Times New Roman" w:hAnsi="Times New Roman"/>
          <w:color w:val="000000"/>
          <w:sz w:val="16"/>
        </w:rPr>
        <w:t>million during the year ended December 31, 2021.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160"/>
        <w:jc w:val="both"/>
        <w:rPr>
          <w:rFonts w:ascii="Times New Roman" w:hAnsi="Times New Roman"/>
          <w:sz w:val="20"/>
        </w:rPr>
      </w:pPr>
      <w:r>
        <w:rPr>
          <w:rFonts w:ascii="Times New Roman" w:hAnsi="Times New Roman"/>
          <w:color w:val="000000"/>
          <w:sz w:val="16"/>
        </w:rPr>
        <w:t>As of December 31, 2023 and 2022, there were no</w:t>
      </w:r>
      <w:r>
        <w:rPr>
          <w:rFonts w:ascii="Times New Roman" w:hAnsi="Times New Roman"/>
          <w:color w:val="000000"/>
          <w:sz w:val="20"/>
        </w:rPr>
        <w:t xml:space="preserve"> </w:t>
      </w:r>
      <w:r>
        <w:rPr>
          <w:rFonts w:ascii="Times New Roman" w:hAnsi="Times New Roman"/>
          <w:color w:val="000000"/>
          <w:sz w:val="16"/>
        </w:rPr>
        <w:t>SBA-guaranteed debentures outstanding.</w:t>
      </w:r>
      <w:r>
        <w:rPr>
          <w:rFonts w:ascii="Times New Roman" w:hAnsi="Times New Roman"/>
          <w:color w:val="000000"/>
          <w:sz w:val="20"/>
        </w:rPr>
        <w:t xml:space="preserve"> </w:t>
      </w:r>
      <w:r>
        <w:rPr>
          <w:rFonts w:ascii="Times New Roman" w:hAnsi="Times New Roman"/>
          <w:color w:val="000000"/>
          <w:sz w:val="16"/>
        </w:rPr>
        <w:t xml:space="preserve">The following table summarizes the historical interest expense and annual charges, deferred financing costs, average outstanding balance, and average stated interest and annual charge rate on the SBA-guaranteed debentures for the year ended December 31, 2021 (dollars in thousands): </w:t>
      </w:r>
    </w:p>
    <w:tbl>
      <w:tblPr>
        <w:tblW w:w="6313" w:type="dxa"/>
        <w:jc w:val="left"/>
        <w:tblInd w:w="0" w:type="dxa"/>
        <w:tblLayout w:type="fixed"/>
        <w:tblCellMar>
          <w:top w:w="28" w:type="dxa"/>
          <w:left w:w="28" w:type="dxa"/>
          <w:bottom w:w="28" w:type="dxa"/>
          <w:right w:w="28" w:type="dxa"/>
        </w:tblCellMar>
      </w:tblPr>
      <w:tblGrid>
        <w:gridCol w:w="3301"/>
        <w:gridCol w:w="146"/>
        <w:gridCol w:w="634"/>
        <w:gridCol w:w="1946"/>
        <w:gridCol w:w="28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and annual charges</w:t>
            </w:r>
          </w:p>
        </w:tc>
        <w:tc>
          <w:tcPr>
            <w:tcW w:w="146"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286"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33,773</w:t>
            </w:r>
          </w:p>
        </w:tc>
        <w:tc>
          <w:tcPr>
            <w:tcW w:w="286" w:type="dxa"/>
            <w:tcBorders/>
            <w:shd w:fill="FFFFFF" w:val="cle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and annual charge rate</w:t>
            </w:r>
          </w:p>
        </w:tc>
        <w:tc>
          <w:tcPr>
            <w:tcW w:w="146"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left"/>
              <w:rPr/>
            </w:pPr>
            <w:r>
              <w:rPr/>
              <w:t> </w:t>
            </w:r>
          </w:p>
        </w:tc>
        <w:tc>
          <w:tcPr>
            <w:tcW w:w="19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16"/>
        </w:rPr>
        <w:t>2022 Notes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w:t>
      </w:r>
      <w:r>
        <w:rPr>
          <w:rFonts w:ascii="Times New Roman" w:hAnsi="Times New Roman"/>
          <w:color w:val="000000"/>
          <w:sz w:val="20"/>
        </w:rPr>
        <w:t xml:space="preserve"> </w:t>
      </w:r>
      <w:r>
        <w:rPr>
          <w:rFonts w:ascii="Times New Roman" w:hAnsi="Times New Roman"/>
          <w:color w:val="000000"/>
          <w:sz w:val="16"/>
        </w:rPr>
        <w:t>May 16, 2017, the Company issued $70.0</w:t>
      </w:r>
      <w:r>
        <w:rPr>
          <w:rFonts w:ascii="Times New Roman" w:hAnsi="Times New Roman"/>
          <w:color w:val="000000"/>
          <w:sz w:val="20"/>
        </w:rPr>
        <w:t xml:space="preserve"> </w:t>
      </w:r>
      <w:r>
        <w:rPr>
          <w:rFonts w:ascii="Times New Roman" w:hAnsi="Times New Roman"/>
          <w:color w:val="000000"/>
          <w:sz w:val="16"/>
        </w:rPr>
        <w:t>million in aggregate principal amount of 6.0% fixed-rate notes due May 31, 2022 (the “2022 Notes”). On May 25, 2017, the Company issued an additional $5.0</w:t>
      </w:r>
      <w:r>
        <w:rPr>
          <w:rFonts w:ascii="Times New Roman" w:hAnsi="Times New Roman"/>
          <w:color w:val="000000"/>
          <w:sz w:val="20"/>
        </w:rPr>
        <w:t xml:space="preserve"> </w:t>
      </w:r>
      <w:r>
        <w:rPr>
          <w:rFonts w:ascii="Times New Roman" w:hAnsi="Times New Roman"/>
          <w:color w:val="000000"/>
          <w:sz w:val="16"/>
        </w:rPr>
        <w:t>million in aggregate principal amount of the 2022 Notes pursuant to a partial exercise of the underwriters’ overallotment option. On November 1, 2021, the Company notified the Trustee for the Company's 2022 Notes, of the Company's election to redeem $50.0</w:t>
      </w:r>
      <w:r>
        <w:rPr>
          <w:rFonts w:ascii="Times New Roman" w:hAnsi="Times New Roman"/>
          <w:color w:val="000000"/>
          <w:sz w:val="20"/>
        </w:rPr>
        <w:t xml:space="preserve"> </w:t>
      </w:r>
      <w:r>
        <w:rPr>
          <w:rFonts w:ascii="Times New Roman" w:hAnsi="Times New Roman"/>
          <w:color w:val="000000"/>
          <w:sz w:val="16"/>
        </w:rPr>
        <w:t>million aggregate principal amount of the 2022 Notes outstanding. The redemption was completed on December 6, 2021. On May 31, 2022, the remaining 2022 Notes reached maturity, and the entire outstanding principal of the 2022 Notes became payable and was paid by the Company. Accordingly, as of December 31, 2023 and December 31, 2022, there were no</w:t>
      </w:r>
      <w:r>
        <w:rPr>
          <w:rFonts w:ascii="Times New Roman" w:hAnsi="Times New Roman"/>
          <w:color w:val="000000"/>
          <w:sz w:val="20"/>
        </w:rPr>
        <w:t xml:space="preserve"> </w:t>
      </w:r>
      <w:r>
        <w:rPr>
          <w:rFonts w:ascii="Times New Roman" w:hAnsi="Times New Roman"/>
          <w:color w:val="000000"/>
          <w:sz w:val="16"/>
        </w:rPr>
        <w:t>2022 Notes outstanding.</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2022 Notes were scheduled to mature on May 31, 2022</w:t>
      </w:r>
      <w:r>
        <w:rPr>
          <w:rFonts w:ascii="Times New Roman" w:hAnsi="Times New Roman"/>
          <w:color w:val="000000"/>
          <w:sz w:val="20"/>
        </w:rPr>
        <w:t xml:space="preserve"> </w:t>
      </w:r>
      <w:r>
        <w:rPr>
          <w:rFonts w:ascii="Times New Roman" w:hAnsi="Times New Roman"/>
          <w:color w:val="000000"/>
          <w:sz w:val="16"/>
        </w:rPr>
        <w:t>and could be redeemed in whole or in part at any time or from time to time at the Company’s option on or after May 31, 2019</w:t>
      </w:r>
      <w:r>
        <w:rPr>
          <w:rFonts w:ascii="Times New Roman" w:hAnsi="Times New Roman"/>
          <w:color w:val="000000"/>
          <w:sz w:val="20"/>
        </w:rPr>
        <w:t xml:space="preserve"> </w:t>
      </w:r>
      <w:r>
        <w:rPr>
          <w:rFonts w:ascii="Times New Roman" w:hAnsi="Times New Roman"/>
          <w:color w:val="000000"/>
          <w:sz w:val="16"/>
        </w:rPr>
        <w:t>at a redemption price equal to 100% of the outstanding principal, plus accrued and unpaid interest.</w:t>
      </w:r>
      <w:r>
        <w:rPr>
          <w:rFonts w:ascii="Times New Roman" w:hAnsi="Times New Roman"/>
          <w:color w:val="000000"/>
          <w:sz w:val="20"/>
        </w:rPr>
        <w:t xml:space="preserve"> </w:t>
      </w:r>
      <w:r>
        <w:rPr>
          <w:rFonts w:ascii="Times New Roman" w:hAnsi="Times New Roman"/>
          <w:color w:val="000000"/>
          <w:sz w:val="16"/>
        </w:rPr>
        <w:t>Interest on the 2022 Notes was payable quarterly. The 2022 Notes were listed on the NASDAQ Global Select Market under the trading symbol “CPTAL” with a par value of $25.00</w:t>
      </w:r>
      <w:r>
        <w:rPr>
          <w:rFonts w:ascii="Times New Roman" w:hAnsi="Times New Roman"/>
          <w:color w:val="000000"/>
          <w:sz w:val="20"/>
        </w:rPr>
        <w:t xml:space="preserve"> </w:t>
      </w:r>
      <w:r>
        <w:rPr>
          <w:rFonts w:ascii="Times New Roman" w:hAnsi="Times New Roman"/>
          <w:color w:val="000000"/>
          <w:sz w:val="16"/>
        </w:rPr>
        <w:t>per share.</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2022 Notes for the years ended December 31, 2023, 2022 and 2021 (dollars in thousands):</w:t>
      </w:r>
    </w:p>
    <w:tbl>
      <w:tblPr>
        <w:tblW w:w="5695" w:type="dxa"/>
        <w:jc w:val="left"/>
        <w:tblInd w:w="0" w:type="dxa"/>
        <w:tblLayout w:type="fixed"/>
        <w:tblCellMar>
          <w:top w:w="28" w:type="dxa"/>
          <w:left w:w="28" w:type="dxa"/>
          <w:bottom w:w="28" w:type="dxa"/>
          <w:right w:w="28" w:type="dxa"/>
        </w:tblCellMar>
      </w:tblPr>
      <w:tblGrid>
        <w:gridCol w:w="2686"/>
        <w:gridCol w:w="146"/>
        <w:gridCol w:w="480"/>
        <w:gridCol w:w="150"/>
        <w:gridCol w:w="202"/>
        <w:gridCol w:w="526"/>
        <w:gridCol w:w="248"/>
        <w:gridCol w:w="150"/>
        <w:gridCol w:w="202"/>
        <w:gridCol w:w="619"/>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7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righ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50"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24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right"/>
              <w:rPr/>
            </w:pPr>
            <w:r>
              <w:rPr/>
              <w:t> </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righ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5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9,384</w:t>
            </w:r>
          </w:p>
        </w:tc>
        <w:tc>
          <w:tcPr>
            <w:tcW w:w="248"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69,272</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righ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50"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0" w:type="dxa"/>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16"/>
        </w:rPr>
        <w:t>2022 Convertible Notes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May 26, 2017, the Company issued $50.0</w:t>
      </w:r>
      <w:r>
        <w:rPr>
          <w:rFonts w:ascii="Times New Roman" w:hAnsi="Times New Roman"/>
          <w:color w:val="000000"/>
          <w:sz w:val="20"/>
        </w:rPr>
        <w:t xml:space="preserve"> </w:t>
      </w:r>
      <w:r>
        <w:rPr>
          <w:rFonts w:ascii="Times New Roman" w:hAnsi="Times New Roman"/>
          <w:color w:val="000000"/>
          <w:sz w:val="16"/>
        </w:rPr>
        <w:t>million in aggregate principal amount of 5.75% fixed-rate convertible notes due May 31, 2022</w:t>
      </w:r>
      <w:r>
        <w:rPr>
          <w:rFonts w:ascii="Times New Roman" w:hAnsi="Times New Roman"/>
          <w:color w:val="000000"/>
          <w:sz w:val="20"/>
        </w:rPr>
        <w:t xml:space="preserve"> </w:t>
      </w:r>
      <w:r>
        <w:rPr>
          <w:rFonts w:ascii="Times New Roman" w:hAnsi="Times New Roman"/>
          <w:color w:val="000000"/>
          <w:sz w:val="16"/>
        </w:rPr>
        <w:t>(the “2022 Convertible Notes”). On June 26, 2017, the Company issued an additional $2.1</w:t>
      </w:r>
      <w:r>
        <w:rPr>
          <w:rFonts w:ascii="Times New Roman" w:hAnsi="Times New Roman"/>
          <w:color w:val="000000"/>
          <w:sz w:val="20"/>
        </w:rPr>
        <w:t xml:space="preserve"> </w:t>
      </w:r>
      <w:r>
        <w:rPr>
          <w:rFonts w:ascii="Times New Roman" w:hAnsi="Times New Roman"/>
          <w:color w:val="000000"/>
          <w:sz w:val="16"/>
        </w:rPr>
        <w:t>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December 31, 2023 and December 31, 2022, there were no</w:t>
      </w:r>
      <w:r>
        <w:rPr>
          <w:rFonts w:ascii="Times New Roman" w:hAnsi="Times New Roman"/>
          <w:color w:val="000000"/>
          <w:sz w:val="20"/>
        </w:rPr>
        <w:t xml:space="preserve"> </w:t>
      </w:r>
      <w:r>
        <w:rPr>
          <w:rFonts w:ascii="Times New Roman" w:hAnsi="Times New Roman"/>
          <w:color w:val="000000"/>
          <w:sz w:val="16"/>
        </w:rPr>
        <w:t>2022 Convertible Notes outstanding.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 xml:space="preserve">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was approximately 14.0%. As a result of the reverse stock split, the conversion rate for the 2022 Convertible Notes was 0.2652 shares per $25.00 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 </w:t>
      </w:r>
    </w:p>
    <w:p>
      <w:pPr>
        <w:pStyle w:val="TextBody"/>
        <w:bidi w:val="0"/>
        <w:spacing w:before="160" w:after="283"/>
        <w:jc w:val="both"/>
        <w:rPr>
          <w:rFonts w:ascii="Times New Roman" w:hAnsi="Times New Roman"/>
          <w:sz w:val="20"/>
        </w:rPr>
      </w:pPr>
      <w:r>
        <w:rPr>
          <w:rFonts w:ascii="Times New Roman" w:hAnsi="Times New Roman"/>
          <w:color w:val="000000"/>
          <w:sz w:val="16"/>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w:t>
      </w:r>
      <w:r>
        <w:rPr>
          <w:rFonts w:ascii="Times New Roman" w:hAnsi="Times New Roman"/>
          <w:color w:val="000000"/>
          <w:sz w:val="20"/>
        </w:rPr>
        <w:t xml:space="preserve"> “</w:t>
      </w:r>
      <w:r>
        <w:rPr>
          <w:rFonts w:ascii="Times New Roman" w:hAnsi="Times New Roman"/>
          <w:color w:val="000000"/>
          <w:sz w:val="16"/>
        </w:rPr>
        <w:t>sinking fund” is provided for the 2022 Convertible Notes.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2022 Convertible Notes for the years ended December 31, 2023, 2022, and 2021 (dollars in thousands):</w:t>
      </w:r>
    </w:p>
    <w:tbl>
      <w:tblPr>
        <w:tblW w:w="5711" w:type="dxa"/>
        <w:jc w:val="left"/>
        <w:tblInd w:w="0" w:type="dxa"/>
        <w:tblLayout w:type="fixed"/>
        <w:tblCellMar>
          <w:top w:w="28" w:type="dxa"/>
          <w:left w:w="28" w:type="dxa"/>
          <w:bottom w:w="28" w:type="dxa"/>
          <w:right w:w="28" w:type="dxa"/>
        </w:tblCellMar>
      </w:tblPr>
      <w:tblGrid>
        <w:gridCol w:w="2686"/>
        <w:gridCol w:w="146"/>
        <w:gridCol w:w="466"/>
        <w:gridCol w:w="146"/>
        <w:gridCol w:w="196"/>
        <w:gridCol w:w="601"/>
        <w:gridCol w:w="241"/>
        <w:gridCol w:w="146"/>
        <w:gridCol w:w="196"/>
        <w:gridCol w:w="601"/>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righ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righ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b/>
          <w:i/>
          <w:color w:val="000000"/>
          <w:sz w:val="16"/>
        </w:rPr>
        <w:t>2026 Notes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October 29, 2021, the Company issued $50.0</w:t>
      </w:r>
      <w:r>
        <w:rPr>
          <w:rFonts w:ascii="Times New Roman" w:hAnsi="Times New Roman"/>
          <w:color w:val="000000"/>
          <w:sz w:val="20"/>
        </w:rPr>
        <w:t xml:space="preserve"> </w:t>
      </w:r>
      <w:r>
        <w:rPr>
          <w:rFonts w:ascii="Times New Roman" w:hAnsi="Times New Roman"/>
          <w:color w:val="000000"/>
          <w:sz w:val="16"/>
        </w:rPr>
        <w:t>million in aggregate principal amount of 5.25% fixed-rate notes due October 30, 2026</w:t>
      </w:r>
      <w:r>
        <w:rPr>
          <w:rFonts w:ascii="Times New Roman" w:hAnsi="Times New Roman"/>
          <w:color w:val="000000"/>
          <w:sz w:val="20"/>
        </w:rPr>
        <w:t xml:space="preserve"> </w:t>
      </w:r>
      <w:r>
        <w:rPr>
          <w:rFonts w:ascii="Times New Roman" w:hAnsi="Times New Roman"/>
          <w:color w:val="000000"/>
          <w:sz w:val="16"/>
        </w:rPr>
        <w:t>(the “2026 Notes”) pursuant to a supplemental indenture with U.S. Bank National Association (the “Trustee”), which supplements that certain base indenture, dated as of</w:t>
      </w:r>
      <w:r>
        <w:rPr>
          <w:rFonts w:ascii="Times New Roman" w:hAnsi="Times New Roman"/>
          <w:color w:val="000000"/>
          <w:sz w:val="20"/>
        </w:rPr>
        <w:t xml:space="preserve"> </w:t>
      </w:r>
      <w:r>
        <w:rPr>
          <w:rFonts w:ascii="Times New Roman" w:hAnsi="Times New Roman"/>
          <w:color w:val="000000"/>
          <w:sz w:val="16"/>
        </w:rPr>
        <w:t>June 16, 2014. The 2026 Notes were issued in a private placement exempt from registration under the Section 4(a)(2) of the Securities Act of 1933, as amended (the “Securities Act”). The net proceeds to the Company were approximately $48.8</w:t>
      </w:r>
      <w:r>
        <w:rPr>
          <w:rFonts w:ascii="Times New Roman" w:hAnsi="Times New Roman"/>
          <w:color w:val="000000"/>
          <w:sz w:val="20"/>
        </w:rPr>
        <w:t xml:space="preserve"> </w:t>
      </w:r>
      <w:r>
        <w:rPr>
          <w:rFonts w:ascii="Times New Roman" w:hAnsi="Times New Roman"/>
          <w:color w:val="000000"/>
          <w:sz w:val="16"/>
        </w:rPr>
        <w:t>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60" w:after="283"/>
        <w:jc w:val="both"/>
        <w:rPr>
          <w:rFonts w:ascii="Times New Roman" w:hAnsi="Times New Roman"/>
          <w:sz w:val="20"/>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As of December 31, 2023 and 2022, the Company had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2026 Notes outstanding.</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2026 Notes for the years ended December 31, 2023, 2022, and 2021 (dollars in thousands):</w:t>
      </w:r>
    </w:p>
    <w:tbl>
      <w:tblPr>
        <w:tblW w:w="6193" w:type="dxa"/>
        <w:jc w:val="left"/>
        <w:tblInd w:w="0" w:type="dxa"/>
        <w:tblLayout w:type="fixed"/>
        <w:tblCellMar>
          <w:top w:w="28" w:type="dxa"/>
          <w:left w:w="28" w:type="dxa"/>
          <w:bottom w:w="28" w:type="dxa"/>
          <w:right w:w="28" w:type="dxa"/>
        </w:tblCellMar>
      </w:tblPr>
      <w:tblGrid>
        <w:gridCol w:w="2686"/>
        <w:gridCol w:w="146"/>
        <w:gridCol w:w="196"/>
        <w:gridCol w:w="601"/>
        <w:gridCol w:w="241"/>
        <w:gridCol w:w="146"/>
        <w:gridCol w:w="196"/>
        <w:gridCol w:w="601"/>
        <w:gridCol w:w="241"/>
        <w:gridCol w:w="146"/>
        <w:gridCol w:w="196"/>
        <w:gridCol w:w="511"/>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8,767</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i/>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the Company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w:t>
      </w:r>
      <w:r>
        <w:rPr>
          <w:rFonts w:ascii="Times New Roman" w:hAnsi="Times New Roman"/>
          <w:color w:val="000000"/>
          <w:sz w:val="20"/>
        </w:rPr>
        <w:t xml:space="preserve"> </w:t>
      </w:r>
      <w:r>
        <w:rPr>
          <w:rFonts w:ascii="Times New Roman" w:hAnsi="Times New Roman"/>
          <w:color w:val="000000"/>
          <w:sz w:val="16"/>
        </w:rPr>
        <w:t>April 1, 2032</w:t>
      </w:r>
      <w:r>
        <w:rPr>
          <w:rFonts w:ascii="Times New Roman" w:hAnsi="Times New Roman"/>
          <w:color w:val="000000"/>
          <w:sz w:val="20"/>
        </w:rPr>
        <w:t xml:space="preserve"> </w:t>
      </w:r>
      <w:r>
        <w:rPr>
          <w:rFonts w:ascii="Times New Roman" w:hAnsi="Times New Roman"/>
          <w:color w:val="000000"/>
          <w:sz w:val="16"/>
        </w:rPr>
        <w:t>(the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The Company, at its option, may satisfy any payment, redemption, conversion or pre-payment obligations under the Purchase Agreement by issuing shares of common stock, paying cash or some combination of both issuing shares of common stock and paying cash. No “sinking fund” is provided for the 2032 Convertible Notes.</w:t>
      </w:r>
    </w:p>
    <w:p>
      <w:pPr>
        <w:pStyle w:val="TextBody"/>
        <w:bidi w:val="0"/>
        <w:spacing w:before="120" w:after="283"/>
        <w:jc w:val="both"/>
        <w:rPr>
          <w:rFonts w:ascii="Times New Roman" w:hAnsi="Times New Roman"/>
          <w:sz w:val="20"/>
        </w:rPr>
      </w:pPr>
      <w:r>
        <w:rPr>
          <w:rFonts w:ascii="Times New Roman" w:hAnsi="Times New Roman"/>
          <w:color w:val="000000"/>
          <w:sz w:val="16"/>
        </w:rPr>
        <w:t>As of December 31, 2023 and December 31, 2022, the Company had $15.0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$15.0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2032 Convertible Notes outstanding.</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2032 Convertible Notes for the years ended December 31, 2023 and 2022 (dollars in thousands):</w:t>
      </w:r>
    </w:p>
    <w:tbl>
      <w:tblPr>
        <w:tblW w:w="5697" w:type="dxa"/>
        <w:jc w:val="left"/>
        <w:tblInd w:w="0" w:type="dxa"/>
        <w:tblLayout w:type="fixed"/>
        <w:tblCellMar>
          <w:top w:w="28" w:type="dxa"/>
          <w:left w:w="28" w:type="dxa"/>
          <w:bottom w:w="28" w:type="dxa"/>
          <w:right w:w="28" w:type="dxa"/>
        </w:tblCellMar>
      </w:tblPr>
      <w:tblGrid>
        <w:gridCol w:w="2686"/>
        <w:gridCol w:w="146"/>
        <w:gridCol w:w="255"/>
        <w:gridCol w:w="783"/>
        <w:gridCol w:w="313"/>
        <w:gridCol w:w="190"/>
        <w:gridCol w:w="255"/>
        <w:gridCol w:w="783"/>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313"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904</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313"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11,301</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b/>
          <w:i/>
          <w:color w:val="000000"/>
          <w:sz w:val="16"/>
        </w:rPr>
        <w:t>Bond Repurchase Program</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July 30, 2020, the Board approved a bond repurchase program which authorizes the Company to repurchase up to an aggregate of $10.0</w:t>
      </w:r>
      <w:r>
        <w:rPr>
          <w:rFonts w:ascii="Times New Roman" w:hAnsi="Times New Roman"/>
          <w:color w:val="000000"/>
          <w:sz w:val="20"/>
        </w:rPr>
        <w:t xml:space="preserve"> </w:t>
      </w:r>
      <w:r>
        <w:rPr>
          <w:rFonts w:ascii="Times New Roman" w:hAnsi="Times New Roman"/>
          <w:color w:val="000000"/>
          <w:sz w:val="16"/>
        </w:rPr>
        <w:t>million worth of the Company’s outstanding 2022 Notes and/or 2022 Convertible Notes (the “Bond Repurchase Program”). The Bond Repurchase Program expired on July 30, 2021. The Company did not repurchase any of the 2022 Notes or 2022 Convertible Notes during the year ended December 31, 2021.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KeyBank Credit Facility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October 30, 2020, CBL, a direct, wholly owned, consolidated subsidiary of the Company entered into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color w:val="000000"/>
          <w:sz w:val="20"/>
        </w:rPr>
        <w:t xml:space="preserve"> </w:t>
      </w:r>
      <w:r>
        <w:rPr>
          <w:rFonts w:ascii="Times New Roman" w:hAnsi="Times New Roman"/>
          <w:color w:val="000000"/>
          <w:sz w:val="16"/>
        </w:rPr>
        <w:t>million as of May 10, 2022, with an uncommitted accordion feature that allows the Company to borrow up to an additional $125.0</w:t>
      </w:r>
      <w:r>
        <w:rPr>
          <w:rFonts w:ascii="Times New Roman" w:hAnsi="Times New Roman"/>
          <w:color w:val="000000"/>
          <w:sz w:val="20"/>
        </w:rPr>
        <w:t xml:space="preserve"> </w:t>
      </w:r>
      <w:r>
        <w:rPr>
          <w:rFonts w:ascii="Times New Roman" w:hAnsi="Times New Roman"/>
          <w:color w:val="000000"/>
          <w:sz w:val="16"/>
        </w:rPr>
        <w:t>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w:t>
      </w:r>
      <w:r>
        <w:rPr>
          <w:rFonts w:ascii="Times New Roman" w:hAnsi="Times New Roman"/>
          <w:color w:val="000000"/>
          <w:sz w:val="20"/>
        </w:rPr>
        <w:t xml:space="preserve"> </w:t>
      </w:r>
      <w:r>
        <w:rPr>
          <w:rFonts w:ascii="Times New Roman" w:hAnsi="Times New Roman"/>
          <w:color w:val="000000"/>
          <w:sz w:val="16"/>
        </w:rPr>
        <w:t>2.90% during the 3-year</w:t>
      </w:r>
      <w:r>
        <w:rPr>
          <w:rFonts w:ascii="Times New Roman" w:hAnsi="Times New Roman"/>
          <w:color w:val="000000"/>
          <w:sz w:val="20"/>
        </w:rPr>
        <w:t xml:space="preserve"> </w:t>
      </w:r>
      <w:r>
        <w:rPr>
          <w:rFonts w:ascii="Times New Roman" w:hAnsi="Times New Roman"/>
          <w:color w:val="000000"/>
          <w:sz w:val="16"/>
        </w:rPr>
        <w:t>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December 31, 2023 and December 31, 2022, there were draws of $39.6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$55.9</w:t>
      </w:r>
      <w:r>
        <w:rPr>
          <w:rFonts w:ascii="Times New Roman" w:hAnsi="Times New Roman"/>
          <w:color w:val="000000"/>
          <w:sz w:val="20"/>
        </w:rPr>
        <w:t xml:space="preserve"> </w:t>
      </w:r>
      <w:r>
        <w:rPr>
          <w:rFonts w:ascii="Times New Roman" w:hAnsi="Times New Roman"/>
          <w:color w:val="000000"/>
          <w:sz w:val="16"/>
        </w:rPr>
        <w:t>million,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December 31, 2023 and 2022, assets pledged to secure the KeyBank Credit Facility had a fair value of $111.2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$111.3</w:t>
      </w:r>
      <w:r>
        <w:rPr>
          <w:rFonts w:ascii="Times New Roman" w:hAnsi="Times New Roman"/>
          <w:color w:val="000000"/>
          <w:sz w:val="20"/>
        </w:rPr>
        <w:t xml:space="preserve"> </w:t>
      </w:r>
      <w:r>
        <w:rPr>
          <w:rFonts w:ascii="Times New Roman" w:hAnsi="Times New Roman"/>
          <w:color w:val="000000"/>
          <w:sz w:val="16"/>
        </w:rPr>
        <w:t>million, respectively.</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unused commitment fees, average outstanding balance, and average stated interest rate on the KeyBank Credit Facility for the years ended December 31, 2023, 2022 and 2021 (dollars in thousands):</w:t>
      </w:r>
    </w:p>
    <w:tbl>
      <w:tblPr>
        <w:tblW w:w="6193" w:type="dxa"/>
        <w:jc w:val="left"/>
        <w:tblInd w:w="0" w:type="dxa"/>
        <w:tblLayout w:type="fixed"/>
        <w:tblCellMar>
          <w:top w:w="28" w:type="dxa"/>
          <w:left w:w="28" w:type="dxa"/>
          <w:bottom w:w="28" w:type="dxa"/>
          <w:right w:w="28" w:type="dxa"/>
        </w:tblCellMar>
      </w:tblPr>
      <w:tblGrid>
        <w:gridCol w:w="2686"/>
        <w:gridCol w:w="146"/>
        <w:gridCol w:w="196"/>
        <w:gridCol w:w="601"/>
        <w:gridCol w:w="241"/>
        <w:gridCol w:w="146"/>
        <w:gridCol w:w="196"/>
        <w:gridCol w:w="601"/>
        <w:gridCol w:w="241"/>
        <w:gridCol w:w="146"/>
        <w:gridCol w:w="196"/>
        <w:gridCol w:w="511"/>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3,203</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16"/>
        </w:rPr>
        <w:t>Financial Instruments Disclosed, But Not Carried, At Fair Value</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2023, and the level of each financial liability within the fair value hierarchy (dollars in thousands):</w:t>
      </w:r>
    </w:p>
    <w:tbl>
      <w:tblPr>
        <w:tblW w:w="7239"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217"/>
        <w:gridCol w:w="668"/>
        <w:gridCol w:w="146"/>
        <w:gridCol w:w="146"/>
        <w:gridCol w:w="228"/>
        <w:gridCol w:w="402"/>
        <w:gridCol w:w="146"/>
        <w:gridCol w:w="146"/>
        <w:gridCol w:w="228"/>
        <w:gridCol w:w="402"/>
        <w:gridCol w:w="146"/>
        <w:gridCol w:w="146"/>
        <w:gridCol w:w="196"/>
        <w:gridCol w:w="60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2022, and the level of each financial liability within the fair value hierarchy (dollars in thousands):</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The estimated fair value of the 2026 Notes, the 2032 Convertible Notes and the KeyBank Credit Facility approximates the principal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Note 7. Income Taxes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has elected to be treated for U.S. federal income tax purposes as a RIC under subchapter M of the Code. The Company believes it qualified as a RIC under the Code for the fiscal year ended December 31, 2023, and the Company intends to comply with the requirements to continue to qualify annually as a RIC under the Code. As a RIC, the Company is not taxed on any investment company taxable income or capital gains which it distributes to stockholders. The Company intends to make the requisite distributions to its stockholders which will relieve the Company from U.S. federal income taxes. As further discussed below, for the fiscal years ended December 31, 2022, 2021 and 2020, the Company failed the income source requirement under subchapter M of the Code, and thus did not qualify as a RIC under the Code for such years.</w:t>
      </w:r>
    </w:p>
    <w:p>
      <w:pPr>
        <w:pStyle w:val="TextBody"/>
        <w:bidi w:val="0"/>
        <w:spacing w:before="160" w:after="283"/>
        <w:jc w:val="both"/>
        <w:rPr>
          <w:rFonts w:ascii="Times New Roman" w:hAnsi="Times New Roman"/>
          <w:sz w:val="20"/>
        </w:rPr>
      </w:pPr>
      <w:r>
        <w:rPr>
          <w:rFonts w:ascii="Times New Roman" w:hAnsi="Times New Roman"/>
          <w:color w:val="000000"/>
          <w:sz w:val="16"/>
        </w:rPr>
        <w:t>Distributions from net investment income, distributions from net realized capital gains, and distributions classified as return of capital are determined in accordance with U.S. federal tax regulations, which may differ from amounts in accordance with U.S. GAAP and those differences could be material.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sz w:val="20"/>
        </w:rPr>
      </w:pPr>
      <w:r>
        <w:rPr>
          <w:rFonts w:ascii="Times New Roman" w:hAnsi="Times New Roman"/>
          <w:color w:val="000000"/>
          <w:sz w:val="16"/>
        </w:rPr>
        <w:t>Permanent differences between taxable income and net investment income for financial reporting purposes are reclassified among the capital accounts in the financial statements to reflect their tax character. During the years ended December 31, 2023, 2022 and 2021, the Company reclassified for book purposes amounts arising from permanent differences in the book and tax basis of partnership investments sold, the Company's investments in its underlying Taxable Subsidiaries and other book-tax differences. Such reclassifications are reported in “Tax reclassifications of stockholders’ equity” in accordance with U.S. GAAP in the consolidated statements of changes in net assets for the years ended December 31, 2023, 2022 and 2021, respectively.</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permanent differences due to adjustments for the realized gains (losses) upon disposition of partnership interests and for the transfer of distributions between accumulated capital gains, accumulated net investment income, and return of capital were reclassified for tax purposes for the tax years ended December 31, 2023, 2022 and 2021 (dollars in thousands):</w:t>
      </w:r>
    </w:p>
    <w:tbl>
      <w:tblPr>
        <w:tblW w:w="7048" w:type="dxa"/>
        <w:jc w:val="left"/>
        <w:tblInd w:w="0" w:type="dxa"/>
        <w:tblLayout w:type="fixed"/>
        <w:tblCellMar>
          <w:top w:w="28" w:type="dxa"/>
          <w:left w:w="28" w:type="dxa"/>
          <w:bottom w:w="28" w:type="dxa"/>
          <w:right w:w="28" w:type="dxa"/>
        </w:tblCellMar>
      </w:tblPr>
      <w:tblGrid>
        <w:gridCol w:w="3676"/>
        <w:gridCol w:w="146"/>
        <w:gridCol w:w="196"/>
        <w:gridCol w:w="571"/>
        <w:gridCol w:w="166"/>
        <w:gridCol w:w="146"/>
        <w:gridCol w:w="196"/>
        <w:gridCol w:w="571"/>
        <w:gridCol w:w="166"/>
        <w:gridCol w:w="146"/>
        <w:gridCol w:w="196"/>
        <w:gridCol w:w="66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total distributable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40,635</w:t>
            </w:r>
          </w:p>
        </w:tc>
        <w:tc>
          <w:tcPr>
            <w:tcW w:w="21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 increase in capital in excess of par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(40,635</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For the tax years ended December 31, 2023, 2022 and 2021, the tax basis components of distributable earnings were as follows (dollars in thousands):</w:t>
      </w:r>
    </w:p>
    <w:tbl>
      <w:tblPr>
        <w:tblW w:w="6613" w:type="dxa"/>
        <w:jc w:val="left"/>
        <w:tblInd w:w="0" w:type="dxa"/>
        <w:tblLayout w:type="fixed"/>
        <w:tblCellMar>
          <w:top w:w="28" w:type="dxa"/>
          <w:left w:w="28" w:type="dxa"/>
          <w:bottom w:w="28" w:type="dxa"/>
          <w:right w:w="28" w:type="dxa"/>
        </w:tblCellMar>
      </w:tblPr>
      <w:tblGrid>
        <w:gridCol w:w="2791"/>
        <w:gridCol w:w="146"/>
        <w:gridCol w:w="196"/>
        <w:gridCol w:w="751"/>
        <w:gridCol w:w="166"/>
        <w:gridCol w:w="146"/>
        <w:gridCol w:w="196"/>
        <w:gridCol w:w="751"/>
        <w:gridCol w:w="166"/>
        <w:gridCol w:w="146"/>
        <w:gridCol w:w="196"/>
        <w:gridCol w:w="751"/>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Undistributed ordinary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capital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(112,160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(96,984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(depreciation) appreciation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w:t>
            </w:r>
          </w:p>
        </w:tc>
        <w:tc>
          <w:tcPr>
            <w:tcW w:w="211"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temporary differences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Capital losses in excess of capital gains earned in a tax year may generally be carried forward and used to offset capital gains, subject to certain limitations. Under the Regulated Investment Company Modernization Act of 2010, capital losses of RICs incurred for taxable years beginning after December 22, 2010 will not be subject to expiration. As of December 31, 2023, the Company has a capital loss carry forward of</w:t>
      </w:r>
      <w:r>
        <w:rPr>
          <w:rFonts w:ascii="Times New Roman" w:hAnsi="Times New Roman"/>
          <w:color w:val="000000"/>
          <w:sz w:val="20"/>
        </w:rPr>
        <w:t xml:space="preserve"> </w:t>
      </w:r>
      <w:r>
        <w:rPr>
          <w:rFonts w:ascii="Times New Roman" w:hAnsi="Times New Roman"/>
          <w:color w:val="000000"/>
          <w:sz w:val="16"/>
        </w:rPr>
        <w:t>$90.6</w:t>
      </w:r>
      <w:r>
        <w:rPr>
          <w:rFonts w:ascii="Times New Roman" w:hAnsi="Times New Roman"/>
          <w:color w:val="000000"/>
          <w:sz w:val="20"/>
        </w:rPr>
        <w:t xml:space="preserve"> </w:t>
      </w:r>
      <w:r>
        <w:rPr>
          <w:rFonts w:ascii="Times New Roman" w:hAnsi="Times New Roman"/>
          <w:color w:val="000000"/>
          <w:sz w:val="16"/>
        </w:rPr>
        <w:t>million expiring in 2025, a capital loss carry forward of $5.0</w:t>
      </w:r>
      <w:r>
        <w:rPr>
          <w:rFonts w:ascii="Times New Roman" w:hAnsi="Times New Roman"/>
          <w:color w:val="000000"/>
          <w:sz w:val="20"/>
        </w:rPr>
        <w:t xml:space="preserve"> </w:t>
      </w:r>
      <w:r>
        <w:rPr>
          <w:rFonts w:ascii="Times New Roman" w:hAnsi="Times New Roman"/>
          <w:color w:val="000000"/>
          <w:sz w:val="16"/>
        </w:rPr>
        <w:t>million expiring in 2026, and a capital loss carry forward of</w:t>
      </w:r>
      <w:r>
        <w:rPr>
          <w:rFonts w:ascii="Times New Roman" w:hAnsi="Times New Roman"/>
          <w:color w:val="000000"/>
          <w:sz w:val="20"/>
        </w:rPr>
        <w:t xml:space="preserve"> </w:t>
      </w:r>
      <w:r>
        <w:rPr>
          <w:rFonts w:ascii="Times New Roman" w:hAnsi="Times New Roman"/>
          <w:color w:val="000000"/>
          <w:sz w:val="16"/>
        </w:rPr>
        <w:t>$16.6</w:t>
      </w:r>
      <w:r>
        <w:rPr>
          <w:rFonts w:ascii="Times New Roman" w:hAnsi="Times New Roman"/>
          <w:color w:val="000000"/>
          <w:sz w:val="20"/>
        </w:rPr>
        <w:t xml:space="preserve"> </w:t>
      </w:r>
      <w:r>
        <w:rPr>
          <w:rFonts w:ascii="Times New Roman" w:hAnsi="Times New Roman"/>
          <w:color w:val="000000"/>
          <w:sz w:val="16"/>
        </w:rPr>
        <w:t>million not subject to expiration.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table reconciles net increase (decrease) in net assets resulting from operations to taxable income (loss) for the tax periods ended December 31, 2023, 2022 and 2021 (dollars in thousands):</w:t>
      </w:r>
    </w:p>
    <w:tbl>
      <w:tblPr>
        <w:tblW w:w="8398" w:type="dxa"/>
        <w:jc w:val="left"/>
        <w:tblInd w:w="0" w:type="dxa"/>
        <w:tblLayout w:type="fixed"/>
        <w:tblCellMar>
          <w:top w:w="28" w:type="dxa"/>
          <w:left w:w="28" w:type="dxa"/>
          <w:bottom w:w="28" w:type="dxa"/>
          <w:right w:w="28" w:type="dxa"/>
        </w:tblCellMar>
      </w:tblPr>
      <w:tblGrid>
        <w:gridCol w:w="4846"/>
        <w:gridCol w:w="146"/>
        <w:gridCol w:w="196"/>
        <w:gridCol w:w="661"/>
        <w:gridCol w:w="166"/>
        <w:gridCol w:w="146"/>
        <w:gridCol w:w="196"/>
        <w:gridCol w:w="661"/>
        <w:gridCol w:w="166"/>
        <w:gridCol w:w="146"/>
        <w:gridCol w:w="196"/>
        <w:gridCol w:w="66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loss carryforward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7,658</w:t>
            </w:r>
          </w:p>
        </w:tc>
        <w:tc>
          <w:tcPr>
            <w:tcW w:w="21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book-to-tax differences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taxable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For income tax purposes, distributions paid to stockholders are reported as ordinary income, long term capital gains, return of capital, or a combination thereof. The tax character of distributions paid for the tax periods ended December 31, 2023, 2022 and 2021 were as follows (dollars in thousands):</w:t>
      </w:r>
    </w:p>
    <w:tbl>
      <w:tblPr>
        <w:tblW w:w="4483" w:type="dxa"/>
        <w:jc w:val="left"/>
        <w:tblInd w:w="0" w:type="dxa"/>
        <w:tblLayout w:type="fixed"/>
        <w:tblCellMar>
          <w:top w:w="28" w:type="dxa"/>
          <w:left w:w="28" w:type="dxa"/>
          <w:bottom w:w="28" w:type="dxa"/>
          <w:right w:w="28" w:type="dxa"/>
        </w:tblCellMar>
      </w:tblPr>
      <w:tblGrid>
        <w:gridCol w:w="1771"/>
        <w:gridCol w:w="146"/>
        <w:gridCol w:w="196"/>
        <w:gridCol w:w="511"/>
        <w:gridCol w:w="146"/>
        <w:gridCol w:w="146"/>
        <w:gridCol w:w="196"/>
        <w:gridCol w:w="346"/>
        <w:gridCol w:w="146"/>
        <w:gridCol w:w="146"/>
        <w:gridCol w:w="196"/>
        <w:gridCol w:w="34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Ordinary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capital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Return of capital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For U.S. federal income tax purposes, as of December 31, 2023, the aggregate net unrealized depreciation for all securities was $11.5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As of December 31, 2023, gross unrealized appreciation was</w:t>
      </w:r>
      <w:r>
        <w:rPr>
          <w:rFonts w:ascii="Times New Roman" w:hAnsi="Times New Roman"/>
          <w:color w:val="000000"/>
          <w:sz w:val="20"/>
        </w:rPr>
        <w:t xml:space="preserve"> </w:t>
      </w:r>
      <w:r>
        <w:rPr>
          <w:rFonts w:ascii="Times New Roman" w:hAnsi="Times New Roman"/>
          <w:color w:val="000000"/>
          <w:sz w:val="16"/>
        </w:rPr>
        <w:t>$11.1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gross unrealized depreciation was</w:t>
      </w:r>
      <w:r>
        <w:rPr>
          <w:rFonts w:ascii="Times New Roman" w:hAnsi="Times New Roman"/>
          <w:color w:val="000000"/>
          <w:sz w:val="20"/>
        </w:rPr>
        <w:t xml:space="preserve"> </w:t>
      </w:r>
      <w:r>
        <w:rPr>
          <w:rFonts w:ascii="Times New Roman" w:hAnsi="Times New Roman"/>
          <w:color w:val="000000"/>
          <w:sz w:val="16"/>
        </w:rPr>
        <w:t>$22.6</w:t>
      </w:r>
      <w:r>
        <w:rPr>
          <w:rFonts w:ascii="Times New Roman" w:hAnsi="Times New Roman"/>
          <w:color w:val="000000"/>
          <w:sz w:val="20"/>
        </w:rPr>
        <w:t xml:space="preserve"> </w:t>
      </w:r>
      <w:r>
        <w:rPr>
          <w:rFonts w:ascii="Times New Roman" w:hAnsi="Times New Roman"/>
          <w:color w:val="000000"/>
          <w:sz w:val="16"/>
        </w:rPr>
        <w:t>million. The aggregate cost of securities for U.S. federal income tax purposes was $201.2</w:t>
      </w:r>
      <w:r>
        <w:rPr>
          <w:rFonts w:ascii="Times New Roman" w:hAnsi="Times New Roman"/>
          <w:color w:val="000000"/>
          <w:sz w:val="20"/>
        </w:rPr>
        <w:t xml:space="preserve"> </w:t>
      </w:r>
      <w:r>
        <w:rPr>
          <w:rFonts w:ascii="Times New Roman" w:hAnsi="Times New Roman"/>
          <w:color w:val="000000"/>
          <w:sz w:val="16"/>
        </w:rPr>
        <w:t>million as of December 31, 2023. For U.S. federal income tax purposes, as of December 31, 2022, the aggregate net unrealized depreciation for all securities was $18.3</w:t>
      </w:r>
      <w:r>
        <w:rPr>
          <w:rFonts w:ascii="Times New Roman" w:hAnsi="Times New Roman"/>
          <w:color w:val="000000"/>
          <w:sz w:val="20"/>
        </w:rPr>
        <w:t xml:space="preserve"> </w:t>
      </w:r>
      <w:r>
        <w:rPr>
          <w:rFonts w:ascii="Times New Roman" w:hAnsi="Times New Roman"/>
          <w:color w:val="000000"/>
          <w:sz w:val="16"/>
        </w:rPr>
        <w:t>million. As of December 31, 2022, gross unrealized appreciation was $13.1</w:t>
      </w:r>
      <w:r>
        <w:rPr>
          <w:rFonts w:ascii="Times New Roman" w:hAnsi="Times New Roman"/>
          <w:color w:val="000000"/>
          <w:sz w:val="20"/>
        </w:rPr>
        <w:t xml:space="preserve"> </w:t>
      </w:r>
      <w:r>
        <w:rPr>
          <w:rFonts w:ascii="Times New Roman" w:hAnsi="Times New Roman"/>
          <w:color w:val="000000"/>
          <w:sz w:val="16"/>
        </w:rPr>
        <w:t>million and gross unrealized depreciation was $31.4</w:t>
      </w:r>
      <w:r>
        <w:rPr>
          <w:rFonts w:ascii="Times New Roman" w:hAnsi="Times New Roman"/>
          <w:color w:val="000000"/>
          <w:sz w:val="20"/>
        </w:rPr>
        <w:t xml:space="preserve"> </w:t>
      </w:r>
      <w:r>
        <w:rPr>
          <w:rFonts w:ascii="Times New Roman" w:hAnsi="Times New Roman"/>
          <w:color w:val="000000"/>
          <w:sz w:val="16"/>
        </w:rPr>
        <w:t>million. The aggregate cost of securities for U.S. federal income tax purposes was $221.9</w:t>
      </w:r>
      <w:r>
        <w:rPr>
          <w:rFonts w:ascii="Times New Roman" w:hAnsi="Times New Roman"/>
          <w:color w:val="000000"/>
          <w:sz w:val="20"/>
        </w:rPr>
        <w:t xml:space="preserve"> </w:t>
      </w:r>
      <w:r>
        <w:rPr>
          <w:rFonts w:ascii="Times New Roman" w:hAnsi="Times New Roman"/>
          <w:color w:val="000000"/>
          <w:sz w:val="16"/>
        </w:rPr>
        <w:t>million as of December 31, 2022.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For the tax years ended December 31, 2022, 2021 and 2020, the Company filed its tax returns as a RIC. However, in March 2024, the Company determined that information received from a portfolio company held in prior fiscal years and sold in 2022 was inaccurate, and, as a result, the Company did not satisfy the income source requirement under subchapter M of the Code for the fiscal years ended December 31, 2022, 2021, and 2020. Accordingly, the Company did not qualify as a RIC under the Code for the fiscal years ended December 31, 2022, 2021 and 2020, and thus the Company would be subject to U.S. federal income tax on all of its taxable income at regular corporate rates for these periods. Based on the assessment that the Company did not qualify as a RIC for the fiscal years ended December 31, 2022, 2021 and 2020, the Company calculated its provision for income tax as a C-Corporation for such fiscal years. Given the operations of the Company for that period, the Company has determined no income tax or capital gains taxes would be due and payable for those periods, had the Company claimed status and filed returns as a C-Corporation. Thus,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as illustrated in the following disclosures as a C-Corporation during the period. The Company did not have a net unrealized gain on its portfolio as of the first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day of the fiscal year the Company requalified as a RIC that would be subject to tax if recognized within the subsequent five years. Accordingly, as specifically noted, certain tables below have been revised from the amounts previously reported to reflect the Company's tax status as a C-Corporation.</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Deferred U.S. federal income taxes reflect the net tax effect of temporary differences between the carrying amount of assets and liabilities for financial reporting and U.S. federal income tax purposes. The following tables have been revised such that they present the components of deferred tax assets (liabilities) as of December 31, 2022, 2021 and 2020 for the Company’s tax status as a C-Corporation (dollars in thousands):</w:t>
      </w:r>
    </w:p>
    <w:p>
      <w:pPr>
        <w:pStyle w:val="TextBody"/>
        <w:bidi w:val="0"/>
        <w:jc w:val="both"/>
        <w:rPr/>
      </w:pPr>
      <w:r>
        <w:rPr/>
        <w:t> </w:t>
      </w:r>
    </w:p>
    <w:tbl>
      <w:tblPr>
        <w:tblW w:w="7058" w:type="dxa"/>
        <w:jc w:val="left"/>
        <w:tblInd w:w="0" w:type="dxa"/>
        <w:tblLayout w:type="fixed"/>
        <w:tblCellMar>
          <w:top w:w="28" w:type="dxa"/>
          <w:left w:w="28" w:type="dxa"/>
          <w:bottom w:w="28" w:type="dxa"/>
          <w:right w:w="28" w:type="dxa"/>
        </w:tblCellMar>
      </w:tblPr>
      <w:tblGrid>
        <w:gridCol w:w="3306"/>
        <w:gridCol w:w="146"/>
        <w:gridCol w:w="196"/>
        <w:gridCol w:w="661"/>
        <w:gridCol w:w="166"/>
        <w:gridCol w:w="146"/>
        <w:gridCol w:w="196"/>
        <w:gridCol w:w="661"/>
        <w:gridCol w:w="166"/>
        <w:gridCol w:w="146"/>
        <w:gridCol w:w="196"/>
        <w:gridCol w:w="661"/>
        <w:gridCol w:w="41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9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3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Capital loss carryforwards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Less 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deferred tax asset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At December 31, 2022, 2021 and 2020, the valuation allowance on deferred tax assets of the Company was $31.9</w:t>
      </w:r>
      <w:r>
        <w:rPr>
          <w:rFonts w:ascii="Times New Roman" w:hAnsi="Times New Roman"/>
          <w:color w:val="000000"/>
          <w:sz w:val="20"/>
        </w:rPr>
        <w:t xml:space="preserve"> </w:t>
      </w:r>
      <w:r>
        <w:rPr>
          <w:rFonts w:ascii="Times New Roman" w:hAnsi="Times New Roman"/>
          <w:color w:val="000000"/>
          <w:sz w:val="16"/>
        </w:rPr>
        <w:t>million, $29.2</w:t>
      </w:r>
      <w:r>
        <w:rPr>
          <w:rFonts w:ascii="Times New Roman" w:hAnsi="Times New Roman"/>
          <w:color w:val="000000"/>
          <w:sz w:val="20"/>
        </w:rPr>
        <w:t xml:space="preserve"> </w:t>
      </w:r>
      <w:r>
        <w:rPr>
          <w:rFonts w:ascii="Times New Roman" w:hAnsi="Times New Roman"/>
          <w:color w:val="000000"/>
          <w:sz w:val="16"/>
        </w:rPr>
        <w:t>million and $33.3</w:t>
      </w:r>
      <w:r>
        <w:rPr>
          <w:rFonts w:ascii="Times New Roman" w:hAnsi="Times New Roman"/>
          <w:color w:val="000000"/>
          <w:sz w:val="20"/>
        </w:rPr>
        <w:t xml:space="preserve"> </w:t>
      </w:r>
      <w:r>
        <w:rPr>
          <w:rFonts w:ascii="Times New Roman" w:hAnsi="Times New Roman"/>
          <w:color w:val="000000"/>
          <w:sz w:val="16"/>
        </w:rPr>
        <w:t>million, respectively, which represents the tax effect of net operating losses and capital losses that we do not believe we will realize through future taxable income. Any adjustments to the Company’s valuation allowance will depend on estimates of future taxable income and will be made in the period such determination is made.</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Total income tax expense (benefit) for the Company, which have been revised to reflect its tax status as a C-Corporation, differs from the amount computed by applying the federal statutory income tax rate of 21% to net investment income (loss) and net realized and unrealized appreciation (depreciation) on investments for the years ended December 31, 2022, 2021 and 2020, as follows (dollars in thousands):</w:t>
      </w:r>
    </w:p>
    <w:p>
      <w:pPr>
        <w:pStyle w:val="TextBody"/>
        <w:bidi w:val="0"/>
        <w:jc w:val="both"/>
        <w:rPr/>
      </w:pPr>
      <w:r>
        <w:rPr/>
        <w:t> </w:t>
      </w:r>
    </w:p>
    <w:tbl>
      <w:tblPr>
        <w:tblW w:w="7333" w:type="dxa"/>
        <w:jc w:val="left"/>
        <w:tblInd w:w="0" w:type="dxa"/>
        <w:tblLayout w:type="fixed"/>
        <w:tblCellMar>
          <w:top w:w="28" w:type="dxa"/>
          <w:left w:w="28" w:type="dxa"/>
          <w:bottom w:w="28" w:type="dxa"/>
          <w:right w:w="28" w:type="dxa"/>
        </w:tblCellMar>
      </w:tblPr>
      <w:tblGrid>
        <w:gridCol w:w="4051"/>
        <w:gridCol w:w="146"/>
        <w:gridCol w:w="196"/>
        <w:gridCol w:w="571"/>
        <w:gridCol w:w="166"/>
        <w:gridCol w:w="146"/>
        <w:gridCol w:w="196"/>
        <w:gridCol w:w="571"/>
        <w:gridCol w:w="166"/>
        <w:gridCol w:w="146"/>
        <w:gridCol w:w="196"/>
        <w:gridCol w:w="57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25"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shd w:fill="FFFFFF" w:val="cle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(benefit) expense at statutory rates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income tax (benefit) expense, net of federal benefit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adjustments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3,823</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tax provision (benefit),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16"/>
        </w:rPr>
      </w:pPr>
      <w:r>
        <w:rPr>
          <w:rFonts w:ascii="Times New Roman" w:hAnsi="Times New Roman"/>
          <w:color w:val="000000"/>
          <w:sz w:val="16"/>
        </w:rPr>
        <w:t>For the years ended December 31, 2022, 2021 and 2020, the components of the Company’s tax provision (benefit), which have been revised to reflect its tax status as a C-Corporation during the respective period and excluding its Taxable Subsidiaries, include the following:</w:t>
      </w:r>
    </w:p>
    <w:p>
      <w:pPr>
        <w:pStyle w:val="TextBody"/>
        <w:bidi w:val="0"/>
        <w:jc w:val="both"/>
        <w:rPr/>
      </w:pPr>
      <w:r>
        <w:rPr/>
        <w:t> </w:t>
      </w:r>
    </w:p>
    <w:tbl>
      <w:tblPr>
        <w:tblW w:w="6363" w:type="dxa"/>
        <w:jc w:val="left"/>
        <w:tblInd w:w="0" w:type="dxa"/>
        <w:tblLayout w:type="fixed"/>
        <w:tblCellMar>
          <w:top w:w="28" w:type="dxa"/>
          <w:left w:w="28" w:type="dxa"/>
          <w:bottom w:w="28" w:type="dxa"/>
          <w:right w:w="28" w:type="dxa"/>
        </w:tblCellMar>
      </w:tblPr>
      <w:tblGrid>
        <w:gridCol w:w="3016"/>
        <w:gridCol w:w="146"/>
        <w:gridCol w:w="196"/>
        <w:gridCol w:w="436"/>
        <w:gridCol w:w="166"/>
        <w:gridCol w:w="146"/>
        <w:gridCol w:w="196"/>
        <w:gridCol w:w="571"/>
        <w:gridCol w:w="166"/>
        <w:gridCol w:w="146"/>
        <w:gridCol w:w="196"/>
        <w:gridCol w:w="571"/>
        <w:gridCol w:w="4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9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Tax provision (benefit)</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tax provision (benefit),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2936" w:type="dxa"/>
            <w:gridSpan w:val="11"/>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shd w:fill="FFFFFF" w:val="cle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provision (benefit)</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Federal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Less 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tax provision (benefit),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 acquired the non-controlling interest in Print Direction, Inc. on December 1, 2017 and converted the entity to CPTA Master Blocker, Inc. (Georgia), retaining its net operating losses in the transaction subject to Section 382 of the Code. As of December 31, 2023, the Taxable Subsidiaries had net operating losses for U.S. federal income tax purposes of approximately</w:t>
      </w:r>
      <w:r>
        <w:rPr>
          <w:rFonts w:ascii="Times New Roman" w:hAnsi="Times New Roman"/>
          <w:color w:val="000000"/>
          <w:sz w:val="20"/>
        </w:rPr>
        <w:t xml:space="preserve"> </w:t>
      </w:r>
      <w:r>
        <w:rPr>
          <w:rFonts w:ascii="Times New Roman" w:hAnsi="Times New Roman"/>
          <w:color w:val="000000"/>
          <w:sz w:val="16"/>
        </w:rPr>
        <w:t>$13.6</w:t>
      </w:r>
      <w:r>
        <w:rPr>
          <w:rFonts w:ascii="Times New Roman" w:hAnsi="Times New Roman"/>
          <w:color w:val="000000"/>
          <w:sz w:val="20"/>
        </w:rPr>
        <w:t xml:space="preserve"> </w:t>
      </w:r>
      <w:r>
        <w:rPr>
          <w:rFonts w:ascii="Times New Roman" w:hAnsi="Times New Roman"/>
          <w:color w:val="000000"/>
          <w:sz w:val="16"/>
        </w:rPr>
        <w:t>million. If not utilized,</w:t>
      </w:r>
      <w:r>
        <w:rPr>
          <w:rFonts w:ascii="Times New Roman" w:hAnsi="Times New Roman"/>
          <w:color w:val="000000"/>
          <w:sz w:val="20"/>
        </w:rPr>
        <w:t xml:space="preserve"> </w:t>
      </w:r>
      <w:r>
        <w:rPr>
          <w:rFonts w:ascii="Times New Roman" w:hAnsi="Times New Roman"/>
          <w:color w:val="000000"/>
          <w:sz w:val="16"/>
        </w:rPr>
        <w:t>$0.9</w:t>
      </w:r>
      <w:r>
        <w:rPr>
          <w:rFonts w:ascii="Times New Roman" w:hAnsi="Times New Roman"/>
          <w:color w:val="000000"/>
          <w:sz w:val="20"/>
        </w:rPr>
        <w:t xml:space="preserve"> </w:t>
      </w:r>
      <w:r>
        <w:rPr>
          <w:rFonts w:ascii="Times New Roman" w:hAnsi="Times New Roman"/>
          <w:color w:val="000000"/>
          <w:sz w:val="16"/>
        </w:rPr>
        <w:t>million and $6.1</w:t>
      </w:r>
      <w:r>
        <w:rPr>
          <w:rFonts w:ascii="Times New Roman" w:hAnsi="Times New Roman"/>
          <w:color w:val="000000"/>
          <w:sz w:val="20"/>
        </w:rPr>
        <w:t xml:space="preserve"> </w:t>
      </w:r>
      <w:r>
        <w:rPr>
          <w:rFonts w:ascii="Times New Roman" w:hAnsi="Times New Roman"/>
          <w:color w:val="000000"/>
          <w:sz w:val="16"/>
        </w:rPr>
        <w:t>million of these net operating losses will expire in the years ended December 31, 2036 and 2037, respectively, and</w:t>
      </w:r>
      <w:r>
        <w:rPr>
          <w:rFonts w:ascii="Times New Roman" w:hAnsi="Times New Roman"/>
          <w:color w:val="000000"/>
          <w:sz w:val="20"/>
        </w:rPr>
        <w:t xml:space="preserve"> </w:t>
      </w:r>
      <w:r>
        <w:rPr>
          <w:rFonts w:ascii="Times New Roman" w:hAnsi="Times New Roman"/>
          <w:color w:val="000000"/>
          <w:sz w:val="16"/>
        </w:rPr>
        <w:t>$6.6</w:t>
      </w:r>
      <w:r>
        <w:rPr>
          <w:rFonts w:ascii="Times New Roman" w:hAnsi="Times New Roman"/>
          <w:color w:val="000000"/>
          <w:sz w:val="20"/>
        </w:rPr>
        <w:t xml:space="preserve"> </w:t>
      </w:r>
      <w:r>
        <w:rPr>
          <w:rFonts w:ascii="Times New Roman" w:hAnsi="Times New Roman"/>
          <w:color w:val="000000"/>
          <w:sz w:val="16"/>
        </w:rPr>
        <w:t>million of these net operating losses have no expiration.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Components of deferred tax assets (liabilities) for the Taxable Subsidiaries as of December 31, 2023 and 2022 are as follows (dollars in thousands):</w:t>
      </w:r>
    </w:p>
    <w:tbl>
      <w:tblPr>
        <w:tblW w:w="5709" w:type="dxa"/>
        <w:jc w:val="left"/>
        <w:tblInd w:w="0" w:type="dxa"/>
        <w:tblLayout w:type="fixed"/>
        <w:tblCellMar>
          <w:top w:w="28" w:type="dxa"/>
          <w:left w:w="28" w:type="dxa"/>
          <w:bottom w:w="28" w:type="dxa"/>
          <w:right w:w="28" w:type="dxa"/>
        </w:tblCellMar>
      </w:tblPr>
      <w:tblGrid>
        <w:gridCol w:w="3306"/>
        <w:gridCol w:w="146"/>
        <w:gridCol w:w="196"/>
        <w:gridCol w:w="571"/>
        <w:gridCol w:w="166"/>
        <w:gridCol w:w="146"/>
        <w:gridCol w:w="196"/>
        <w:gridCol w:w="571"/>
        <w:gridCol w:w="41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4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33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Capital loss carryforwards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Less 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deferred tax asset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sz w:val="20"/>
        </w:rPr>
      </w:pPr>
      <w:r>
        <w:rPr>
          <w:rFonts w:ascii="Times New Roman" w:hAnsi="Times New Roman"/>
          <w:color w:val="000000"/>
          <w:sz w:val="16"/>
        </w:rPr>
        <w:t>At December 31, 2023 and 2022, the valuation allowance on deferred tax assets of the Taxable Subsidiaries was $3.9</w:t>
      </w:r>
      <w:r>
        <w:rPr>
          <w:rFonts w:ascii="Times New Roman" w:hAnsi="Times New Roman"/>
          <w:color w:val="000000"/>
          <w:sz w:val="20"/>
        </w:rPr>
        <w:t xml:space="preserve"> </w:t>
      </w:r>
      <w:r>
        <w:rPr>
          <w:rFonts w:ascii="Times New Roman" w:hAnsi="Times New Roman"/>
          <w:color w:val="000000"/>
          <w:sz w:val="16"/>
        </w:rPr>
        <w:t>million and $4.0</w:t>
      </w:r>
      <w:r>
        <w:rPr>
          <w:rFonts w:ascii="Times New Roman" w:hAnsi="Times New Roman"/>
          <w:color w:val="000000"/>
          <w:sz w:val="20"/>
        </w:rPr>
        <w:t xml:space="preserve"> </w:t>
      </w:r>
      <w:r>
        <w:rPr>
          <w:rFonts w:ascii="Times New Roman" w:hAnsi="Times New Roman"/>
          <w:color w:val="000000"/>
          <w:sz w:val="16"/>
        </w:rPr>
        <w:t>million, respectively, which represents the tax effect of net operating losses that we do not believe we will realize through future taxable income. Any adjustments to the Taxable Subsidiaries’ valuation allowance will depend on estimates of future taxable income and will be made in the period such determination is made.</w:t>
      </w:r>
      <w:r>
        <w:rPr>
          <w:rFonts w:ascii="Times New Roman" w:hAnsi="Times New Roman"/>
          <w:color w:val="000000"/>
          <w:sz w:val="20"/>
        </w:rPr>
        <w:t xml:space="preserve"> </w:t>
      </w:r>
    </w:p>
    <w:p>
      <w:pPr>
        <w:pStyle w:val="TextBody"/>
        <w:bidi w:val="0"/>
        <w:spacing w:before="160" w:after="160"/>
        <w:jc w:val="both"/>
        <w:rPr>
          <w:rFonts w:ascii="Times New Roman" w:hAnsi="Times New Roman"/>
          <w:sz w:val="20"/>
        </w:rPr>
      </w:pPr>
      <w:r>
        <w:rPr>
          <w:rFonts w:ascii="Times New Roman" w:hAnsi="Times New Roman"/>
          <w:color w:val="000000"/>
          <w:sz w:val="16"/>
        </w:rPr>
        <w:t>Total income tax expense (benefit) for the Taxable Subsidiaries differs from the amount computed by applying the federal statutory income tax rate of 21% to net investment</w:t>
      </w:r>
      <w:r>
        <w:rPr>
          <w:rFonts w:ascii="Times New Roman" w:hAnsi="Times New Roman"/>
          <w:color w:val="000000"/>
          <w:sz w:val="20"/>
        </w:rPr>
        <w:t xml:space="preserve"> </w:t>
      </w:r>
      <w:r>
        <w:rPr>
          <w:rFonts w:ascii="Times New Roman" w:hAnsi="Times New Roman"/>
          <w:color w:val="000000"/>
          <w:sz w:val="16"/>
        </w:rPr>
        <w:t>income (loss) and net realized and unrealized appreciation (depreciation) on investments for the years ended December 31, 2023, 2022 and 2021, as follows (dollars in thousands):</w:t>
      </w:r>
    </w:p>
    <w:tbl>
      <w:tblPr>
        <w:tblW w:w="7398" w:type="dxa"/>
        <w:jc w:val="left"/>
        <w:tblInd w:w="0" w:type="dxa"/>
        <w:tblLayout w:type="fixed"/>
        <w:tblCellMar>
          <w:top w:w="28" w:type="dxa"/>
          <w:left w:w="28" w:type="dxa"/>
          <w:bottom w:w="28" w:type="dxa"/>
          <w:right w:w="28" w:type="dxa"/>
        </w:tblCellMar>
      </w:tblPr>
      <w:tblGrid>
        <w:gridCol w:w="4051"/>
        <w:gridCol w:w="146"/>
        <w:gridCol w:w="196"/>
        <w:gridCol w:w="436"/>
        <w:gridCol w:w="166"/>
        <w:gridCol w:w="146"/>
        <w:gridCol w:w="196"/>
        <w:gridCol w:w="571"/>
        <w:gridCol w:w="166"/>
        <w:gridCol w:w="146"/>
        <w:gridCol w:w="196"/>
        <w:gridCol w:w="57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(benefit) expense at statutory rates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1,544</w:t>
            </w:r>
          </w:p>
        </w:tc>
        <w:tc>
          <w:tcPr>
            <w:tcW w:w="4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 income tax (benefit) expense, net of federal benefit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41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to unrealized depreciation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adjustments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Revaluation for state rate change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tax provision (benefit),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both"/>
        <w:rPr>
          <w:rFonts w:ascii="Times New Roman" w:hAnsi="Times New Roman"/>
          <w:color w:val="000000"/>
          <w:sz w:val="16"/>
        </w:rPr>
      </w:pPr>
      <w:r>
        <w:rPr>
          <w:rFonts w:ascii="Times New Roman" w:hAnsi="Times New Roman"/>
          <w:color w:val="000000"/>
          <w:sz w:val="16"/>
        </w:rPr>
        <w:t>For the years ended December 31, 2023, 2022 and 2021, the components of the Taxable Subsidiaries’ tax provision (benefit) include the following:</w:t>
      </w:r>
    </w:p>
    <w:tbl>
      <w:tblPr>
        <w:tblW w:w="5733" w:type="dxa"/>
        <w:jc w:val="left"/>
        <w:tblInd w:w="0" w:type="dxa"/>
        <w:tblLayout w:type="fixed"/>
        <w:tblCellMar>
          <w:top w:w="28" w:type="dxa"/>
          <w:left w:w="28" w:type="dxa"/>
          <w:bottom w:w="28" w:type="dxa"/>
          <w:right w:w="28" w:type="dxa"/>
        </w:tblCellMar>
      </w:tblPr>
      <w:tblGrid>
        <w:gridCol w:w="2386"/>
        <w:gridCol w:w="146"/>
        <w:gridCol w:w="196"/>
        <w:gridCol w:w="436"/>
        <w:gridCol w:w="166"/>
        <w:gridCol w:w="146"/>
        <w:gridCol w:w="196"/>
        <w:gridCol w:w="571"/>
        <w:gridCol w:w="166"/>
        <w:gridCol w:w="146"/>
        <w:gridCol w:w="196"/>
        <w:gridCol w:w="571"/>
        <w:gridCol w:w="4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provision (benefit)</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Federal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Less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tax provision (benefit),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16"/>
        </w:rPr>
        <w:t>Note 8. Directors’ Fees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Our Independent Directors receive an annual fee of $50,000. They also receive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Board meeting and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color w:val="000000"/>
          <w:sz w:val="20"/>
        </w:rPr>
        <w:t xml:space="preserve"> </w:t>
      </w:r>
      <w:r>
        <w:rPr>
          <w:rFonts w:ascii="Times New Roman" w:hAnsi="Times New Roman"/>
          <w:color w:val="000000"/>
          <w:sz w:val="16"/>
        </w:rPr>
        <w:t>and each chairman of any other committee receives an annual fee of $5,000</w:t>
      </w:r>
      <w:r>
        <w:rPr>
          <w:rFonts w:ascii="Times New Roman" w:hAnsi="Times New Roman"/>
          <w:color w:val="000000"/>
          <w:sz w:val="20"/>
        </w:rPr>
        <w:t xml:space="preserve"> </w:t>
      </w:r>
      <w:r>
        <w:rPr>
          <w:rFonts w:ascii="Times New Roman" w:hAnsi="Times New Roman"/>
          <w:color w:val="000000"/>
          <w:sz w:val="16"/>
        </w:rPr>
        <w:t>for their additional services, if any, in these capacities. For the years ended December 31, 2023, 2022 and 2021, the Company recognized directors’ fees expense of $0.5</w:t>
      </w:r>
      <w:r>
        <w:rPr>
          <w:rFonts w:ascii="Times New Roman" w:hAnsi="Times New Roman"/>
          <w:color w:val="000000"/>
          <w:sz w:val="20"/>
        </w:rPr>
        <w:t xml:space="preserve"> </w:t>
      </w:r>
      <w:r>
        <w:rPr>
          <w:rFonts w:ascii="Times New Roman" w:hAnsi="Times New Roman"/>
          <w:color w:val="000000"/>
          <w:sz w:val="16"/>
        </w:rPr>
        <w:t>million, $0.5</w:t>
      </w:r>
      <w:r>
        <w:rPr>
          <w:rFonts w:ascii="Times New Roman" w:hAnsi="Times New Roman"/>
          <w:color w:val="000000"/>
          <w:sz w:val="20"/>
        </w:rPr>
        <w:t xml:space="preserve"> </w:t>
      </w:r>
      <w:r>
        <w:rPr>
          <w:rFonts w:ascii="Times New Roman" w:hAnsi="Times New Roman"/>
          <w:color w:val="000000"/>
          <w:sz w:val="16"/>
        </w:rPr>
        <w:t>million, and $0.4</w:t>
      </w:r>
      <w:r>
        <w:rPr>
          <w:rFonts w:ascii="Times New Roman" w:hAnsi="Times New Roman"/>
          <w:color w:val="000000"/>
          <w:sz w:val="20"/>
        </w:rPr>
        <w:t xml:space="preserve"> </w:t>
      </w:r>
      <w:r>
        <w:rPr>
          <w:rFonts w:ascii="Times New Roman" w:hAnsi="Times New Roman"/>
          <w:color w:val="000000"/>
          <w:sz w:val="16"/>
        </w:rPr>
        <w:t>million, respectively. No</w:t>
      </w:r>
      <w:r>
        <w:rPr>
          <w:rFonts w:ascii="Times New Roman" w:hAnsi="Times New Roman"/>
          <w:color w:val="000000"/>
          <w:sz w:val="20"/>
        </w:rPr>
        <w:t xml:space="preserve"> </w:t>
      </w:r>
      <w:r>
        <w:rPr>
          <w:rFonts w:ascii="Times New Roman" w:hAnsi="Times New Roman"/>
          <w:color w:val="000000"/>
          <w:sz w:val="16"/>
        </w:rPr>
        <w:t>compensation is expected to be paid to directors who are “interested persons” of the Company, as such term is defined in Section 2(a)(19) of the 1940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6"/>
        </w:rPr>
        <w:t>Note 9. Stockholders’ Equity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On March 6, 2023, the Company's Board authorized a share repurchase program whereby the Company could repurchase up to an aggregate of $5.0</w:t>
      </w:r>
      <w:r>
        <w:rPr>
          <w:rFonts w:ascii="Times New Roman" w:hAnsi="Times New Roman"/>
          <w:color w:val="000000"/>
          <w:sz w:val="20"/>
        </w:rPr>
        <w:t xml:space="preserve"> </w:t>
      </w:r>
      <w:r>
        <w:rPr>
          <w:rFonts w:ascii="Times New Roman" w:hAnsi="Times New Roman"/>
          <w:color w:val="000000"/>
          <w:sz w:val="16"/>
        </w:rPr>
        <w:t>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a new share repurchase program on substantially similar terms. Unless extended or discontinued by the Board, the new repurchase program will terminate on March 31, 2025. The repurchase program may be extended, modified or discontinued at any time for any reason without prior notice.</w:t>
      </w:r>
    </w:p>
    <w:p>
      <w:pPr>
        <w:pStyle w:val="TextBody"/>
        <w:bidi w:val="0"/>
        <w:spacing w:before="160" w:after="283"/>
        <w:jc w:val="both"/>
        <w:rPr>
          <w:rFonts w:ascii="Times New Roman" w:hAnsi="Times New Roman"/>
          <w:sz w:val="20"/>
        </w:rPr>
      </w:pPr>
      <w:r>
        <w:rPr>
          <w:rFonts w:ascii="Times New Roman" w:hAnsi="Times New Roman"/>
          <w:color w:val="000000"/>
          <w:sz w:val="16"/>
        </w:rPr>
        <w:t>During the year ended December 31, 2023, the Company repurchased 36,667</w:t>
      </w:r>
      <w:r>
        <w:rPr>
          <w:rFonts w:ascii="Times New Roman" w:hAnsi="Times New Roman"/>
          <w:color w:val="000000"/>
          <w:sz w:val="20"/>
        </w:rPr>
        <w:t xml:space="preserve"> </w:t>
      </w:r>
      <w:r>
        <w:rPr>
          <w:rFonts w:ascii="Times New Roman" w:hAnsi="Times New Roman"/>
          <w:color w:val="000000"/>
          <w:sz w:val="16"/>
        </w:rPr>
        <w:t>of its outstanding shares under the share repurchase program at an aggregate cost of approximately $0.8</w:t>
      </w:r>
      <w:r>
        <w:rPr>
          <w:rFonts w:ascii="Times New Roman" w:hAnsi="Times New Roman"/>
          <w:color w:val="000000"/>
          <w:sz w:val="20"/>
        </w:rPr>
        <w:t xml:space="preserve"> </w:t>
      </w:r>
      <w:r>
        <w:rPr>
          <w:rFonts w:ascii="Times New Roman" w:hAnsi="Times New Roman"/>
          <w:color w:val="000000"/>
          <w:sz w:val="16"/>
        </w:rPr>
        <w:t>million. There were no</w:t>
      </w:r>
      <w:r>
        <w:rPr>
          <w:rFonts w:ascii="Times New Roman" w:hAnsi="Times New Roman"/>
          <w:color w:val="000000"/>
          <w:sz w:val="20"/>
        </w:rPr>
        <w:t xml:space="preserve"> </w:t>
      </w:r>
      <w:r>
        <w:rPr>
          <w:rFonts w:ascii="Times New Roman" w:hAnsi="Times New Roman"/>
          <w:color w:val="000000"/>
          <w:sz w:val="16"/>
        </w:rPr>
        <w:t>share repurchases during the year ended December 31, 2022.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During the year ended December 31, 2023, the Company issued 297</w:t>
      </w:r>
      <w:r>
        <w:rPr>
          <w:rFonts w:ascii="Times New Roman" w:hAnsi="Times New Roman"/>
          <w:color w:val="000000"/>
          <w:sz w:val="20"/>
        </w:rPr>
        <w:t xml:space="preserve"> </w:t>
      </w:r>
      <w:r>
        <w:rPr>
          <w:rFonts w:ascii="Times New Roman" w:hAnsi="Times New Roman"/>
          <w:color w:val="000000"/>
          <w:sz w:val="16"/>
        </w:rPr>
        <w:t>shares of common stock under its DRIP. The Company did not pay a dividend during the year ended December 31, 2022.</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total number of shares of the Company's common stock outstanding as of December 31, 2023 and December 31, 2022 was 2,674,698</w:t>
      </w:r>
      <w:r>
        <w:rPr>
          <w:rFonts w:ascii="Times New Roman" w:hAnsi="Times New Roman"/>
          <w:color w:val="000000"/>
          <w:sz w:val="20"/>
        </w:rPr>
        <w:t xml:space="preserve"> </w:t>
      </w:r>
      <w:r>
        <w:rPr>
          <w:rFonts w:ascii="Times New Roman" w:hAnsi="Times New Roman"/>
          <w:color w:val="000000"/>
          <w:sz w:val="16"/>
        </w:rPr>
        <w:t>and 2,711,068,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b/>
          <w:color w:val="000000"/>
          <w:sz w:val="16"/>
        </w:rPr>
        <w:t>Note 10. Earnings Per Share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In accordance with the provisions of ASC Topic 260 — </w:t>
      </w:r>
      <w:r>
        <w:rPr>
          <w:rFonts w:ascii="Times New Roman" w:hAnsi="Times New Roman"/>
          <w:i/>
          <w:color w:val="000000"/>
          <w:sz w:val="16"/>
        </w:rPr>
        <w:t>Earnings per Share</w:t>
      </w:r>
      <w:r>
        <w:rPr>
          <w:rFonts w:ascii="Times New Roman" w:hAnsi="Times New Roman"/>
          <w:color w:val="000000"/>
          <w:sz w:val="20"/>
        </w:rPr>
        <w:t xml:space="preserve"> </w:t>
      </w:r>
      <w:r>
        <w:rPr>
          <w:rFonts w:ascii="Times New Roman" w:hAnsi="Times New Roman"/>
          <w:color w:val="000000"/>
          <w:sz w:val="16"/>
        </w:rPr>
        <w:t>(“ASC 260”), basic earnings per share is computed by dividing earnings available to stockholders by the weighted average number of shares of the Company’s common stock outstanding during the period. Other potentially dilutive shares of the Company’s common stock, and the related impact to earnings, are considered when calculating diluted earnings per share. For the years ended December 31, 2022 and 2021, 0.6</w:t>
      </w:r>
      <w:r>
        <w:rPr>
          <w:rFonts w:ascii="Times New Roman" w:hAnsi="Times New Roman"/>
          <w:color w:val="000000"/>
          <w:sz w:val="20"/>
        </w:rPr>
        <w:t xml:space="preserve"> </w:t>
      </w:r>
      <w:r>
        <w:rPr>
          <w:rFonts w:ascii="Times New Roman" w:hAnsi="Times New Roman"/>
          <w:color w:val="000000"/>
          <w:sz w:val="16"/>
        </w:rPr>
        <w:t>million in convertible shares related to</w:t>
      </w:r>
      <w:r>
        <w:rPr>
          <w:rFonts w:ascii="Times New Roman" w:hAnsi="Times New Roman"/>
          <w:color w:val="000000"/>
          <w:sz w:val="20"/>
        </w:rPr>
        <w:t xml:space="preserve"> </w:t>
      </w:r>
      <w:r>
        <w:rPr>
          <w:rFonts w:ascii="Times New Roman" w:hAnsi="Times New Roman"/>
          <w:color w:val="000000"/>
          <w:sz w:val="16"/>
        </w:rPr>
        <w:t>the 2022 Convertible Notes, which matured in May 2022, were considered anti-dilutive. For the years ended December 31, 2023 and December 31, 2022, 0.5</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 respectively, in convertible shares related to the 2032 Convertible Notes were considered anti-dilutive.</w:t>
      </w:r>
      <w:r>
        <w:rPr>
          <w:rFonts w:ascii="Times New Roman" w:hAnsi="Times New Roman"/>
          <w:color w:val="000000"/>
          <w:sz w:val="20"/>
        </w:rPr>
        <w:t xml:space="preserve"> </w:t>
      </w:r>
    </w:p>
    <w:p>
      <w:pPr>
        <w:pStyle w:val="TextBody"/>
        <w:bidi w:val="0"/>
        <w:spacing w:before="160" w:after="240"/>
        <w:jc w:val="both"/>
        <w:rPr>
          <w:rFonts w:ascii="Times New Roman" w:hAnsi="Times New Roman"/>
          <w:sz w:val="20"/>
        </w:rPr>
      </w:pPr>
      <w:r>
        <w:rPr>
          <w:rFonts w:ascii="Times New Roman" w:hAnsi="Times New Roman"/>
          <w:color w:val="000000"/>
          <w:sz w:val="16"/>
        </w:rPr>
        <w:t>The following information sets forth the</w:t>
      </w:r>
      <w:r>
        <w:rPr>
          <w:rFonts w:ascii="Times New Roman" w:hAnsi="Times New Roman"/>
          <w:color w:val="000000"/>
          <w:sz w:val="20"/>
        </w:rPr>
        <w:t xml:space="preserve"> </w:t>
      </w:r>
      <w:r>
        <w:rPr>
          <w:rFonts w:ascii="Times New Roman" w:hAnsi="Times New Roman"/>
          <w:color w:val="000000"/>
          <w:sz w:val="16"/>
        </w:rPr>
        <w:t>computation of the weighted average basic and diluted net decrease in net assets per share resulting from operations for the years ended December 31, 2023, 2022 and 2021 (dollars in thousands, except share and per share data):</w:t>
      </w:r>
    </w:p>
    <w:tbl>
      <w:tblPr>
        <w:tblW w:w="9043" w:type="dxa"/>
        <w:jc w:val="left"/>
        <w:tblInd w:w="0" w:type="dxa"/>
        <w:tblLayout w:type="fixed"/>
        <w:tblCellMar>
          <w:top w:w="28" w:type="dxa"/>
          <w:left w:w="28" w:type="dxa"/>
          <w:bottom w:w="28" w:type="dxa"/>
          <w:right w:w="28" w:type="dxa"/>
        </w:tblCellMar>
      </w:tblPr>
      <w:tblGrid>
        <w:gridCol w:w="4996"/>
        <w:gridCol w:w="146"/>
        <w:gridCol w:w="196"/>
        <w:gridCol w:w="826"/>
        <w:gridCol w:w="166"/>
        <w:gridCol w:w="146"/>
        <w:gridCol w:w="196"/>
        <w:gridCol w:w="826"/>
        <w:gridCol w:w="166"/>
        <w:gridCol w:w="146"/>
        <w:gridCol w:w="196"/>
        <w:gridCol w:w="826"/>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9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shd w:fill="FFFFFF" w:val="clear"/>
            <w:vAlign w:val="center"/>
          </w:tcPr>
          <w:p>
            <w:pPr>
              <w:pStyle w:val="TableContents"/>
              <w:bidi w:val="0"/>
              <w:spacing w:before="0" w:after="283"/>
              <w:jc w:val="center"/>
              <w:rPr/>
            </w:pPr>
            <w:r>
              <w:rPr/>
              <w:t> </w:t>
            </w:r>
          </w:p>
        </w:tc>
      </w:tr>
      <w:tr>
        <w:trPr/>
        <w:tc>
          <w:tcPr>
            <w:tcW w:w="4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2021</w:t>
            </w:r>
            <w:r>
              <w:rPr>
                <w:rFonts w:ascii="Times New Roman" w:hAnsi="Times New Roman"/>
                <w:b/>
                <w:color w:val="000000"/>
                <w:sz w:val="11"/>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per share from operations -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sz w:val="24"/>
        </w:rPr>
      </w:pPr>
      <w:r>
        <w:rPr>
          <w:rFonts w:ascii="Times New Roman" w:hAnsi="Times New Roman"/>
          <w:color w:val="000000"/>
          <w:sz w:val="13"/>
        </w:rPr>
        <w:t>In applying the if-converted method, conversion is not assumed for purposes of computing diluted earnings per share if the effect would be anti-dilutive. For the year ended December 31, 2023, conversion of the 2032 Convertible Notes into 0.5</w:t>
      </w:r>
      <w:r>
        <w:rPr>
          <w:rFonts w:ascii="Times New Roman" w:hAnsi="Times New Roman"/>
          <w:color w:val="000000"/>
          <w:sz w:val="24"/>
        </w:rPr>
        <w:t xml:space="preserve"> </w:t>
      </w:r>
      <w:r>
        <w:rPr>
          <w:rFonts w:ascii="Times New Roman" w:hAnsi="Times New Roman"/>
          <w:color w:val="000000"/>
          <w:sz w:val="13"/>
        </w:rPr>
        <w:t>million shares was not assumed as the effect on diluted earnings per share would be anti-dilutive.</w:t>
      </w:r>
      <w:r>
        <w:rPr>
          <w:rFonts w:ascii="Times New Roman" w:hAnsi="Times New Roman"/>
          <w:color w:val="000000"/>
          <w:sz w:val="24"/>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jc w:val="both"/>
        <w:rPr>
          <w:rFonts w:ascii="Times New Roman" w:hAnsi="Times New Roman"/>
          <w:sz w:val="24"/>
        </w:rPr>
      </w:pPr>
      <w:r>
        <w:rPr>
          <w:rFonts w:ascii="Times New Roman" w:hAnsi="Times New Roman"/>
          <w:color w:val="000000"/>
          <w:sz w:val="13"/>
        </w:rPr>
        <w:t>In applying the if-converted method, conversion is not assumed for purposes of computing diluted earnings per share if the effect would be anti-dilutive. For the years ended December 31, 2022 and 2021, conversion of the 2022 Convertible Notes into 0.6</w:t>
      </w:r>
      <w:r>
        <w:rPr>
          <w:rFonts w:ascii="Times New Roman" w:hAnsi="Times New Roman"/>
          <w:color w:val="000000"/>
          <w:sz w:val="24"/>
        </w:rPr>
        <w:t xml:space="preserve"> </w:t>
      </w:r>
      <w:r>
        <w:rPr>
          <w:rFonts w:ascii="Times New Roman" w:hAnsi="Times New Roman"/>
          <w:color w:val="000000"/>
          <w:sz w:val="13"/>
        </w:rPr>
        <w:t>million shares was not assumed as the effect on diluted earnings per share would be anti-dilutive. For the year ended December 31, 2022, conversion of the 2032 Convertible Notes into 0.5</w:t>
      </w:r>
      <w:r>
        <w:rPr>
          <w:rFonts w:ascii="Times New Roman" w:hAnsi="Times New Roman"/>
          <w:color w:val="000000"/>
          <w:sz w:val="24"/>
        </w:rPr>
        <w:t xml:space="preserve"> </w:t>
      </w:r>
      <w:r>
        <w:rPr>
          <w:rFonts w:ascii="Times New Roman" w:hAnsi="Times New Roman"/>
          <w:color w:val="000000"/>
          <w:sz w:val="13"/>
        </w:rPr>
        <w:t>million shares was not assumed as the effect on diluted earnings per share would be anti-dilutive.</w:t>
      </w:r>
    </w:p>
    <w:p>
      <w:pPr>
        <w:pStyle w:val="TextBody"/>
        <w:bidi w:val="0"/>
        <w:spacing w:before="240" w:after="283"/>
        <w:jc w:val="left"/>
        <w:rPr>
          <w:rFonts w:ascii="Times New Roman" w:hAnsi="Times New Roman"/>
          <w:sz w:val="20"/>
        </w:rPr>
      </w:pPr>
      <w:r>
        <w:rPr>
          <w:rFonts w:ascii="Times New Roman" w:hAnsi="Times New Roman"/>
          <w:b/>
          <w:color w:val="000000"/>
          <w:sz w:val="16"/>
        </w:rPr>
        <w:t>Note 11. Distributions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following table summarizes the Company's distribution declarations for the year ended December 31, 2023 (dollars in thousands, except share and per share data):</w:t>
      </w:r>
    </w:p>
    <w:p>
      <w:pPr>
        <w:pStyle w:val="TextBody"/>
        <w:bidi w:val="0"/>
        <w:jc w:val="both"/>
        <w:rPr/>
      </w:pPr>
      <w:r>
        <w:rPr/>
        <w:t> </w:t>
      </w:r>
    </w:p>
    <w:tbl>
      <w:tblPr>
        <w:tblW w:w="9383" w:type="dxa"/>
        <w:jc w:val="left"/>
        <w:tblInd w:w="0" w:type="dxa"/>
        <w:tblLayout w:type="fixed"/>
        <w:tblCellMar>
          <w:top w:w="28" w:type="dxa"/>
          <w:left w:w="28" w:type="dxa"/>
          <w:bottom w:w="28" w:type="dxa"/>
          <w:right w:w="28" w:type="dxa"/>
        </w:tblCellMar>
      </w:tblPr>
      <w:tblGrid>
        <w:gridCol w:w="1441"/>
        <w:gridCol w:w="146"/>
        <w:gridCol w:w="1516"/>
        <w:gridCol w:w="146"/>
        <w:gridCol w:w="1516"/>
        <w:gridCol w:w="146"/>
        <w:gridCol w:w="261"/>
        <w:gridCol w:w="564"/>
        <w:gridCol w:w="146"/>
        <w:gridCol w:w="146"/>
        <w:gridCol w:w="382"/>
        <w:gridCol w:w="998"/>
        <w:gridCol w:w="146"/>
        <w:gridCol w:w="146"/>
        <w:gridCol w:w="175"/>
        <w:gridCol w:w="455"/>
        <w:gridCol w:w="146"/>
        <w:gridCol w:w="146"/>
        <w:gridCol w:w="285"/>
        <w:gridCol w:w="285"/>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6, 2023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 2023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CFF0FC"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9, 2023</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22, 2023</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1" w:type="dxa"/>
            <w:tcBorders/>
            <w:shd w:fill="FFFFFF" w:val="clear"/>
            <w:vAlign w:val="center"/>
          </w:tcPr>
          <w:p>
            <w:pPr>
              <w:pStyle w:val="TableContents"/>
              <w:bidi w:val="0"/>
              <w:spacing w:before="0" w:after="283"/>
              <w:jc w:val="left"/>
              <w:rPr/>
            </w:pPr>
            <w:r>
              <w:rPr/>
              <w:t> </w:t>
            </w:r>
          </w:p>
        </w:tc>
      </w:tr>
      <w:tr>
        <w:trPr/>
        <w:tc>
          <w:tcPr>
            <w:tcW w:w="14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8, 2023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22, 2023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31, 2023</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5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pPr>
            <w:r>
              <w:rPr/>
              <w:t> </w:t>
            </w:r>
          </w:p>
        </w:tc>
        <w:tc>
          <w:tcPr>
            <w:tcW w:w="9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1" w:type="dxa"/>
            <w:tcBorders/>
            <w:shd w:fill="CFF0FC"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7, 2023</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20, 2023</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November 30, 2023</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5" w:type="dxa"/>
            <w:gridSpan w:val="5"/>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Distributions Declared and Distributed for 2023</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Company’s Board determined not to declare any distributions during the years ended December 31, 2022 and December 31, 2021.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83"/>
        <w:jc w:val="left"/>
        <w:rPr>
          <w:rFonts w:ascii="Times New Roman" w:hAnsi="Times New Roman"/>
          <w:sz w:val="20"/>
        </w:rPr>
      </w:pPr>
      <w:r>
        <w:rPr>
          <w:rFonts w:ascii="Times New Roman" w:hAnsi="Times New Roman"/>
          <w:b/>
          <w:color w:val="000000"/>
          <w:sz w:val="16"/>
        </w:rPr>
        <w:t>Note 12. Financial Highlights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following is a schedule of financial highlights for the years ended December 31, 2023, 2022, 2021, 2020 and 2019 (dollars in thousands, except share and per share data, unless otherwise noted):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8"/>
        <w:gridCol w:w="146"/>
        <w:gridCol w:w="196"/>
        <w:gridCol w:w="826"/>
        <w:gridCol w:w="241"/>
        <w:gridCol w:w="146"/>
        <w:gridCol w:w="196"/>
        <w:gridCol w:w="826"/>
        <w:gridCol w:w="263"/>
        <w:gridCol w:w="146"/>
        <w:gridCol w:w="196"/>
        <w:gridCol w:w="826"/>
        <w:gridCol w:w="263"/>
        <w:gridCol w:w="146"/>
        <w:gridCol w:w="196"/>
        <w:gridCol w:w="826"/>
        <w:gridCol w:w="263"/>
        <w:gridCol w:w="146"/>
        <w:gridCol w:w="196"/>
        <w:gridCol w:w="826"/>
        <w:gridCol w:w="287"/>
      </w:tblGrid>
      <w:tr>
        <w:trPr/>
        <w:tc>
          <w:tcPr>
            <w:tcW w:w="3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 share data</w:t>
            </w:r>
            <w:r>
              <w:rPr>
                <w:rFonts w:ascii="Times New Roman" w:hAnsi="Times New Roman"/>
                <w:b/>
                <w:color w:val="000000"/>
                <w:sz w:val="11"/>
              </w:rPr>
              <w:t>(1)</w:t>
            </w: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54.84</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71.26</w:t>
            </w:r>
          </w:p>
        </w:tc>
        <w:tc>
          <w:tcPr>
            <w:tcW w:w="287" w:type="dxa"/>
            <w:tcBorders/>
            <w:shd w:fill="FFFFFF" w:val="clear"/>
            <w:vAlign w:val="center"/>
          </w:tcPr>
          <w:p>
            <w:pPr>
              <w:pStyle w:val="TableContents"/>
              <w:bidi w:val="0"/>
              <w:spacing w:before="0" w:after="283"/>
              <w:jc w:val="left"/>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investment income (loss)</w:t>
            </w:r>
            <w:r>
              <w:rPr>
                <w:rFonts w:ascii="Times New Roman" w:hAnsi="Times New Roman"/>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287" w:type="dxa"/>
            <w:tcBorders/>
            <w:shd w:fill="CFF0FC"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(loss) gain on investments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change in unrealized appreciation (depreciation) on investments</w:t>
            </w:r>
            <w:r>
              <w:rPr>
                <w:rFonts w:ascii="Times New Roman" w:hAnsi="Times New Roman"/>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w:t>
            </w:r>
          </w:p>
        </w:tc>
        <w:tc>
          <w:tcPr>
            <w:tcW w:w="2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Tax provision</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(loss) gain on extinguishment of debt</w:t>
            </w:r>
            <w:r>
              <w:rPr>
                <w:rFonts w:ascii="Times New Roman" w:hAnsi="Times New Roman"/>
                <w:color w:val="000000"/>
                <w:sz w:val="11"/>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87" w:type="dxa"/>
            <w:tcBorders/>
            <w:shd w:fill="CFF0FC"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Distributions - return of capital</w:t>
            </w:r>
            <w:r>
              <w:rPr>
                <w:rFonts w:ascii="Times New Roman" w:hAnsi="Times New Roman"/>
                <w:color w:val="000000"/>
                <w:sz w:val="11"/>
              </w:rPr>
              <w:t>(3)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(0.99</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Distributions - net investment income</w:t>
            </w:r>
            <w:r>
              <w:rPr>
                <w:rFonts w:ascii="Times New Roman" w:hAnsi="Times New Roman"/>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w:t>
            </w:r>
          </w:p>
        </w:tc>
        <w:tc>
          <w:tcPr>
            <w:tcW w:w="2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Accretive effect of common stock repurchases</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87" w:type="dxa"/>
            <w:tcBorders/>
            <w:shd w:fill="FFFFFF" w:val="clear"/>
            <w:vAlign w:val="center"/>
          </w:tcPr>
          <w:p>
            <w:pPr>
              <w:pStyle w:val="TableContents"/>
              <w:bidi w:val="0"/>
              <w:spacing w:before="0" w:after="283"/>
              <w:jc w:val="left"/>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w:t>
            </w:r>
            <w:r>
              <w:rPr>
                <w:rFonts w:ascii="Times New Roman" w:hAnsi="Times New Roman"/>
                <w:color w:val="000000"/>
                <w:sz w:val="11"/>
              </w:rPr>
              <w:t>(8)</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(0.14</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end of year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40.19</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95,005</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107,029</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108,947</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148,113</w:t>
            </w:r>
          </w:p>
        </w:tc>
        <w:tc>
          <w:tcPr>
            <w:tcW w:w="287" w:type="dxa"/>
            <w:tcBorders/>
            <w:shd w:fill="CFF0FC"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2,674,698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2,700,628</w:t>
            </w:r>
          </w:p>
        </w:tc>
        <w:tc>
          <w:tcPr>
            <w:tcW w:w="287" w:type="dxa"/>
            <w:tcBorders/>
            <w:shd w:fill="FFFFFF" w:val="clear"/>
            <w:vAlign w:val="center"/>
          </w:tcPr>
          <w:p>
            <w:pPr>
              <w:pStyle w:val="TableContents"/>
              <w:bidi w:val="0"/>
              <w:spacing w:before="0" w:after="283"/>
              <w:jc w:val="left"/>
              <w:rPr/>
            </w:pPr>
            <w:r>
              <w:rPr/>
              <w:t> </w:t>
            </w:r>
          </w:p>
        </w:tc>
      </w:tr>
      <w:tr>
        <w:trPr/>
        <w:tc>
          <w:tcPr>
            <w:tcW w:w="30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w:t>
            </w:r>
          </w:p>
        </w:tc>
        <w:tc>
          <w:tcPr>
            <w:tcW w:w="287" w:type="dxa"/>
            <w:tcBorders/>
            <w:shd w:fill="CFF0FC"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37.75</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righ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net investment income (loss) to average net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Ratio of incentive fee, net of incentive fee waiver, to average net assets</w:t>
            </w:r>
            <w:r>
              <w:rPr>
                <w:rFonts w:ascii="Times New Roman" w:hAnsi="Times New Roman"/>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0.73</w:t>
            </w:r>
          </w:p>
        </w:tc>
        <w:tc>
          <w:tcPr>
            <w:tcW w:w="2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interest and financing expenses to average net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tax provision (benefit) to average net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2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other operating expenses to average net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Ratio of total expenses including tax provision, net of fee waivers to average net assets</w:t>
            </w:r>
            <w:r>
              <w:rPr>
                <w:rFonts w:ascii="Times New Roman" w:hAnsi="Times New Roman"/>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18.12</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2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w:t>
            </w:r>
          </w:p>
        </w:tc>
        <w:tc>
          <w:tcPr>
            <w:tcW w:w="28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48.09</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38.73</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2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28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48"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w:t>
            </w:r>
            <w:r>
              <w:rPr>
                <w:rFonts w:ascii="Times New Roman" w:hAnsi="Times New Roman"/>
                <w:color w:val="000000"/>
                <w:sz w:val="11"/>
              </w:rPr>
              <w:t>(7)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119,677</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167,102</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256,673</w:t>
            </w:r>
          </w:p>
        </w:tc>
        <w:tc>
          <w:tcPr>
            <w:tcW w:w="26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290,073</w:t>
            </w:r>
          </w:p>
        </w:tc>
        <w:tc>
          <w:tcPr>
            <w:tcW w:w="287" w:type="dxa"/>
            <w:tcBorders/>
            <w:shd w:fill="CFF0FC" w:val="clear"/>
            <w:vAlign w:val="center"/>
          </w:tcPr>
          <w:p>
            <w:pPr>
              <w:pStyle w:val="TableContents"/>
              <w:bidi w:val="0"/>
              <w:spacing w:before="0" w:after="283"/>
              <w:jc w:val="left"/>
              <w:rPr/>
            </w:pPr>
            <w:r>
              <w:rPr/>
              <w:t> </w:t>
            </w:r>
          </w:p>
        </w:tc>
      </w:tr>
      <w:tr>
        <w:trPr/>
        <w:tc>
          <w:tcPr>
            <w:tcW w:w="3048"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 per common share</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61.64</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94.68</w:t>
            </w:r>
          </w:p>
        </w:tc>
        <w:tc>
          <w:tcPr>
            <w:tcW w:w="2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107.41</w:t>
            </w:r>
          </w:p>
        </w:tc>
        <w:tc>
          <w:tcPr>
            <w:tcW w:w="287"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sz w:val="16"/>
        </w:rPr>
      </w:pPr>
      <w:r>
        <w:rPr>
          <w:rFonts w:ascii="Times New Roman" w:hAnsi="Times New Roman"/>
          <w:color w:val="000000"/>
          <w:sz w:val="13"/>
        </w:rPr>
        <w:t>Shares and per share data have been adjusted for the periods shown to reflect the one-for-six reverse stock split effected on August 21, 2020 on a retroactive basis, as described in Note 1.</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sz w:val="16"/>
        </w:rPr>
      </w:pPr>
      <w:r>
        <w:rPr>
          <w:rFonts w:ascii="Times New Roman" w:hAnsi="Times New Roman"/>
          <w:color w:val="000000"/>
          <w:sz w:val="13"/>
        </w:rPr>
        <w:t>Based on daily weighted average balance of shares of the Company’s common stock outstanding during the period.</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spacing w:before="0" w:after="0"/>
        <w:jc w:val="both"/>
        <w:rPr>
          <w:rFonts w:ascii="Times New Roman" w:hAnsi="Times New Roman"/>
          <w:sz w:val="16"/>
        </w:rPr>
      </w:pPr>
      <w:r>
        <w:rPr>
          <w:rFonts w:ascii="Times New Roman" w:hAnsi="Times New Roman"/>
          <w:color w:val="000000"/>
          <w:sz w:val="13"/>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(4)</w:t>
      </w:r>
    </w:p>
    <w:p>
      <w:pPr>
        <w:pStyle w:val="TextBody"/>
        <w:bidi w:val="0"/>
        <w:spacing w:before="0" w:after="0"/>
        <w:jc w:val="both"/>
        <w:rPr>
          <w:rFonts w:ascii="Times New Roman" w:hAnsi="Times New Roman"/>
          <w:sz w:val="16"/>
        </w:rPr>
      </w:pPr>
      <w:r>
        <w:rPr>
          <w:rFonts w:ascii="Times New Roman" w:hAnsi="Times New Roman"/>
          <w:color w:val="000000"/>
          <w:sz w:val="13"/>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(5)</w:t>
      </w:r>
    </w:p>
    <w:p>
      <w:pPr>
        <w:pStyle w:val="TextBody"/>
        <w:bidi w:val="0"/>
        <w:spacing w:before="0" w:after="0"/>
        <w:jc w:val="both"/>
        <w:rPr>
          <w:rFonts w:ascii="Times New Roman" w:hAnsi="Times New Roman"/>
          <w:sz w:val="16"/>
        </w:rPr>
      </w:pPr>
      <w:r>
        <w:rPr>
          <w:rFonts w:ascii="Times New Roman" w:hAnsi="Times New Roman"/>
          <w:color w:val="000000"/>
          <w:sz w:val="13"/>
        </w:rPr>
        <w:t>The ratio of waived incentive fees to average net assets was 0.00%, 0.00%, 0.00%, 0.00%, and 0.17%, for the years ended December 31, 2023, 2022, 2021, 2020 and 2019, respectively.</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(6)</w:t>
      </w:r>
    </w:p>
    <w:p>
      <w:pPr>
        <w:pStyle w:val="TextBody"/>
        <w:bidi w:val="0"/>
        <w:spacing w:before="0" w:after="0"/>
        <w:jc w:val="both"/>
        <w:rPr>
          <w:rFonts w:ascii="Times New Roman" w:hAnsi="Times New Roman"/>
          <w:sz w:val="16"/>
        </w:rPr>
      </w:pPr>
      <w:r>
        <w:rPr>
          <w:rFonts w:ascii="Times New Roman" w:hAnsi="Times New Roman"/>
          <w:color w:val="000000"/>
          <w:sz w:val="13"/>
        </w:rPr>
        <w:t>Portfolio turnover rate is calculated using the lesser of year-to-date sales or year-to-date purchases over the average of the invested assets at fair value.</w:t>
      </w:r>
      <w:r>
        <w:rPr>
          <w:rFonts w:ascii="Times New Roman" w:hAnsi="Times New Roman"/>
          <w:color w:val="000000"/>
          <w:sz w:val="16"/>
        </w:rPr>
        <w:t xml:space="preserve">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(7)</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Based on daily weighted average balance of debt outstanding during the period.</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(8)</w:t>
      </w:r>
    </w:p>
    <w:p>
      <w:pPr>
        <w:pStyle w:val="TextBody"/>
        <w:bidi w:val="0"/>
        <w:jc w:val="both"/>
        <w:rPr>
          <w:rFonts w:ascii="Times New Roman" w:hAnsi="Times New Roman"/>
          <w:color w:val="000000"/>
          <w:sz w:val="13"/>
        </w:rPr>
      </w:pPr>
      <w:r>
        <w:rPr>
          <w:rFonts w:ascii="Times New Roman" w:hAnsi="Times New Roman"/>
          <w:color w:val="000000"/>
          <w:sz w:val="13"/>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jc w:val="left"/>
        <w:rPr>
          <w:rFonts w:ascii="Times New Roman" w:hAnsi="Times New Roman"/>
          <w:sz w:val="20"/>
        </w:rPr>
      </w:pPr>
      <w:r>
        <w:rPr>
          <w:rFonts w:ascii="Times New Roman" w:hAnsi="Times New Roman"/>
          <w:b/>
          <w:color w:val="000000"/>
          <w:sz w:val="16"/>
        </w:rPr>
        <w:t>Note 13. Senior Securities</w:t>
      </w:r>
      <w:r>
        <w:rPr>
          <w:rFonts w:ascii="Times New Roman" w:hAnsi="Times New Roman"/>
          <w:color w:val="000000"/>
          <w:sz w:val="20"/>
        </w:rPr>
        <w:t xml:space="preserve"> </w:t>
      </w:r>
    </w:p>
    <w:p>
      <w:pPr>
        <w:pStyle w:val="TextBody"/>
        <w:bidi w:val="0"/>
        <w:spacing w:before="160" w:after="160"/>
        <w:jc w:val="both"/>
        <w:rPr>
          <w:rFonts w:ascii="Times New Roman" w:hAnsi="Times New Roman"/>
          <w:color w:val="000000"/>
          <w:sz w:val="16"/>
        </w:rPr>
      </w:pPr>
      <w:r>
        <w:rPr>
          <w:rFonts w:ascii="Times New Roman" w:hAnsi="Times New Roman"/>
          <w:color w:val="000000"/>
          <w:sz w:val="16"/>
        </w:rPr>
        <w:t>The following is a schedule of the Company’s senior securities for the years ended December 31, 2023, 2022, 2021, 2020 and 2019 (dollars in thousands, except share and per share data, unless otherwise noted):</w:t>
      </w:r>
    </w:p>
    <w:tbl>
      <w:tblPr>
        <w:tblW w:w="9001" w:type="dxa"/>
        <w:jc w:val="left"/>
        <w:tblInd w:w="0" w:type="dxa"/>
        <w:tblLayout w:type="fixed"/>
        <w:tblCellMar>
          <w:top w:w="28" w:type="dxa"/>
          <w:left w:w="28" w:type="dxa"/>
          <w:bottom w:w="28" w:type="dxa"/>
          <w:right w:w="28" w:type="dxa"/>
        </w:tblCellMar>
      </w:tblPr>
      <w:tblGrid>
        <w:gridCol w:w="3421"/>
        <w:gridCol w:w="146"/>
        <w:gridCol w:w="196"/>
        <w:gridCol w:w="601"/>
        <w:gridCol w:w="146"/>
        <w:gridCol w:w="146"/>
        <w:gridCol w:w="196"/>
        <w:gridCol w:w="601"/>
        <w:gridCol w:w="146"/>
        <w:gridCol w:w="146"/>
        <w:gridCol w:w="196"/>
        <w:gridCol w:w="601"/>
        <w:gridCol w:w="146"/>
        <w:gridCol w:w="146"/>
        <w:gridCol w:w="196"/>
        <w:gridCol w:w="601"/>
        <w:gridCol w:w="146"/>
        <w:gridCol w:w="146"/>
        <w:gridCol w:w="196"/>
        <w:gridCol w:w="69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Outstanding:</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ING Credit Facility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SBA-guaranteed debentures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52,088</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Asset coverage per unit</w:t>
            </w:r>
            <w:r>
              <w:rPr>
                <w:rFonts w:ascii="Times New Roman" w:hAnsi="Times New Roman"/>
                <w:b/>
                <w:color w:val="000000"/>
                <w:sz w:val="11"/>
              </w:rPr>
              <w:t>(1)</w:t>
            </w: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ING Credit Facility</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SBA-guaranteed debentures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Notes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Convertible Notes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Involuntary liquidation preference per unit</w:t>
            </w:r>
            <w:r>
              <w:rPr>
                <w:rFonts w:ascii="Times New Roman" w:hAnsi="Times New Roman"/>
                <w:b/>
                <w:color w:val="000000"/>
                <w:sz w:val="11"/>
              </w:rPr>
              <w:t>(2)</w:t>
            </w: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ING Credit Facility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SBA-guaranteed debentures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Average market value per unit</w:t>
            </w:r>
            <w:r>
              <w:rPr>
                <w:rFonts w:ascii="Times New Roman" w:hAnsi="Times New Roman"/>
                <w:b/>
                <w:color w:val="000000"/>
                <w:sz w:val="11"/>
              </w:rPr>
              <w:t>(3)</w:t>
            </w:r>
            <w:r>
              <w:rPr>
                <w:rFonts w:ascii="Times New Roman" w:hAnsi="Times New Roman"/>
                <w:b/>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ING Credit Facility</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SBA-guaranteed debentures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Notes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2022 Convertible Notes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(1)</w:t>
      </w:r>
    </w:p>
    <w:p>
      <w:pPr>
        <w:pStyle w:val="TextBody"/>
        <w:bidi w:val="0"/>
        <w:spacing w:before="0" w:after="0"/>
        <w:jc w:val="both"/>
        <w:rPr>
          <w:rFonts w:ascii="Times New Roman" w:hAnsi="Times New Roman"/>
          <w:sz w:val="16"/>
        </w:rPr>
      </w:pPr>
      <w:r>
        <w:rPr>
          <w:rFonts w:ascii="Times New Roman" w:hAnsi="Times New Roman"/>
          <w:color w:val="000000"/>
          <w:sz w:val="13"/>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pursuant to the exemptive relief granted by the SEC in June 2014 that permits us to exclude such debentures from the definition of senior securities in the 200% asset coverage ratio (150% after November 1, 2019) we are required to maintain under the 1940 Act. Asset coverage per unit is expressed in terms of dollar amounts per $1,000</w:t>
      </w:r>
      <w:r>
        <w:rPr>
          <w:rFonts w:ascii="Times New Roman" w:hAnsi="Times New Roman"/>
          <w:color w:val="000000"/>
          <w:sz w:val="16"/>
        </w:rPr>
        <w:t xml:space="preserve"> </w:t>
      </w:r>
      <w:r>
        <w:rPr>
          <w:rFonts w:ascii="Times New Roman" w:hAnsi="Times New Roman"/>
          <w:color w:val="000000"/>
          <w:sz w:val="13"/>
        </w:rPr>
        <w:t xml:space="preserve">of indebtedness.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(2)</w:t>
      </w:r>
    </w:p>
    <w:p>
      <w:pPr>
        <w:pStyle w:val="TextBody"/>
        <w:bidi w:val="0"/>
        <w:spacing w:before="0" w:after="0"/>
        <w:jc w:val="both"/>
        <w:rPr>
          <w:rFonts w:ascii="Times New Roman" w:hAnsi="Times New Roman"/>
          <w:sz w:val="16"/>
        </w:rPr>
      </w:pPr>
      <w:r>
        <w:rPr>
          <w:rFonts w:ascii="Times New Roman" w:hAnsi="Times New Roman"/>
          <w:color w:val="000000"/>
          <w:sz w:val="13"/>
        </w:rPr>
        <w:t>The amount to which such class of senior security would be entitled upon the involuntary liquidation of the issuer in preference to any security junior to it. The “—</w:t>
      </w:r>
      <w:r>
        <w:rPr>
          <w:rFonts w:ascii="Times New Roman" w:hAnsi="Times New Roman"/>
          <w:color w:val="000000"/>
          <w:sz w:val="16"/>
        </w:rPr>
        <w:t xml:space="preserve">” </w:t>
      </w:r>
      <w:r>
        <w:rPr>
          <w:rFonts w:ascii="Times New Roman" w:hAnsi="Times New Roman"/>
          <w:color w:val="000000"/>
          <w:sz w:val="13"/>
        </w:rPr>
        <w:t xml:space="preserve">indicates information that the SEC expressly does not require to be disclosed for certain types of senior securities. </w:t>
      </w:r>
    </w:p>
    <w:p>
      <w:pPr>
        <w:pStyle w:val="TextBody"/>
        <w:bidi w:val="0"/>
        <w:spacing w:before="0" w:after="0"/>
        <w:jc w:val="both"/>
        <w:rPr>
          <w:rFonts w:ascii="Times New Roman" w:hAnsi="Times New Roman"/>
          <w:b/>
          <w:color w:val="000000"/>
          <w:sz w:val="13"/>
        </w:rPr>
      </w:pPr>
      <w:r>
        <w:rPr>
          <w:rFonts w:ascii="Times New Roman" w:hAnsi="Times New Roman"/>
          <w:b/>
          <w:color w:val="000000"/>
          <w:sz w:val="13"/>
        </w:rPr>
        <w:t>(3)</w:t>
      </w:r>
    </w:p>
    <w:p>
      <w:pPr>
        <w:pStyle w:val="TextBody"/>
        <w:bidi w:val="0"/>
        <w:jc w:val="both"/>
        <w:rPr>
          <w:rFonts w:ascii="Times New Roman" w:hAnsi="Times New Roman"/>
          <w:color w:val="000000"/>
          <w:sz w:val="13"/>
        </w:rPr>
      </w:pPr>
      <w:r>
        <w:rPr>
          <w:rFonts w:ascii="Times New Roman" w:hAnsi="Times New Roman"/>
          <w:color w:val="000000"/>
          <w:sz w:val="13"/>
        </w:rPr>
        <w:t xml:space="preserve">Not applicable except for the 2022 Notes and the 2022 Convertible Notes which were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NOTES TO CONSOLIDATED FINANCIAL STATEMENTS</w:t>
        <w:br/>
        <w:t>DECEMBER 31, 2023</w:t>
      </w:r>
    </w:p>
    <w:p>
      <w:pPr>
        <w:pStyle w:val="TextBody"/>
        <w:bidi w:val="0"/>
        <w:spacing w:before="240" w:after="240"/>
        <w:jc w:val="left"/>
        <w:rPr>
          <w:rFonts w:ascii="Times New Roman" w:hAnsi="Times New Roman"/>
          <w:b/>
          <w:color w:val="000000"/>
          <w:sz w:val="16"/>
        </w:rPr>
      </w:pPr>
      <w:r>
        <w:rPr>
          <w:rFonts w:ascii="Times New Roman" w:hAnsi="Times New Roman"/>
          <w:b/>
          <w:color w:val="000000"/>
          <w:sz w:val="16"/>
        </w:rPr>
        <w:t>Note 14. Selected Quarterly Financial Data (Unaudited)</w:t>
      </w:r>
    </w:p>
    <w:tbl>
      <w:tblPr>
        <w:tblW w:w="10205" w:type="dxa"/>
        <w:jc w:val="left"/>
        <w:tblInd w:w="0" w:type="dxa"/>
        <w:tblLayout w:type="fixed"/>
        <w:tblCellMar>
          <w:top w:w="28" w:type="dxa"/>
          <w:left w:w="28" w:type="dxa"/>
          <w:bottom w:w="28" w:type="dxa"/>
          <w:right w:w="28" w:type="dxa"/>
        </w:tblCellMar>
      </w:tblPr>
      <w:tblGrid>
        <w:gridCol w:w="3847"/>
        <w:gridCol w:w="146"/>
        <w:gridCol w:w="357"/>
        <w:gridCol w:w="1042"/>
        <w:gridCol w:w="166"/>
        <w:gridCol w:w="146"/>
        <w:gridCol w:w="368"/>
        <w:gridCol w:w="1076"/>
        <w:gridCol w:w="166"/>
        <w:gridCol w:w="146"/>
        <w:gridCol w:w="294"/>
        <w:gridCol w:w="768"/>
        <w:gridCol w:w="146"/>
        <w:gridCol w:w="146"/>
        <w:gridCol w:w="326"/>
        <w:gridCol w:w="851"/>
        <w:gridCol w:w="214"/>
      </w:tblGrid>
      <w:tr>
        <w:trPr/>
        <w:tc>
          <w:tcPr>
            <w:tcW w:w="3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Quarter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5,256</w:t>
            </w:r>
          </w:p>
        </w:tc>
        <w:tc>
          <w:tcPr>
            <w:tcW w:w="214" w:type="dxa"/>
            <w:tcBorders/>
            <w:shd w:fill="CFF0FC" w:val="clear"/>
            <w:vAlign w:val="center"/>
          </w:tcPr>
          <w:p>
            <w:pPr>
              <w:pStyle w:val="TableContents"/>
              <w:bidi w:val="0"/>
              <w:spacing w:before="0" w:after="283"/>
              <w:jc w:val="left"/>
              <w:rPr/>
            </w:pPr>
            <w:r>
              <w:rPr/>
              <w:t> </w:t>
            </w:r>
          </w:p>
        </w:tc>
      </w:tr>
      <w:tr>
        <w:trPr/>
        <w:tc>
          <w:tcPr>
            <w:tcW w:w="38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214" w:type="dxa"/>
            <w:tcBorders/>
            <w:shd w:fill="FFFFFF" w:val="clear"/>
            <w:vAlign w:val="center"/>
          </w:tcPr>
          <w:p>
            <w:pPr>
              <w:pStyle w:val="TableContents"/>
              <w:bidi w:val="0"/>
              <w:spacing w:before="0" w:after="283"/>
              <w:jc w:val="left"/>
              <w:rPr/>
            </w:pPr>
            <w:r>
              <w:rPr/>
              <w:t> </w:t>
            </w:r>
          </w:p>
        </w:tc>
      </w:tr>
      <w:tr>
        <w:trPr/>
        <w:tc>
          <w:tcPr>
            <w:tcW w:w="38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214" w:type="dxa"/>
            <w:tcBorders/>
            <w:shd w:fill="FFFFFF" w:val="clear"/>
            <w:vAlign w:val="center"/>
          </w:tcPr>
          <w:p>
            <w:pPr>
              <w:pStyle w:val="TableContents"/>
              <w:bidi w:val="0"/>
              <w:spacing w:before="0" w:after="283"/>
              <w:jc w:val="left"/>
              <w:rPr/>
            </w:pPr>
            <w:r>
              <w:rPr/>
              <w:t> </w:t>
            </w:r>
          </w:p>
        </w:tc>
      </w:tr>
      <w:tr>
        <w:trPr/>
        <w:tc>
          <w:tcPr>
            <w:tcW w:w="38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47"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per share – basic</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7"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8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47"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per share – diluted</w:t>
            </w:r>
          </w:p>
        </w:tc>
        <w:tc>
          <w:tcPr>
            <w:tcW w:w="146" w:type="dxa"/>
            <w:tcBorders/>
            <w:shd w:fill="FFFFFF" w:val="clear"/>
            <w:vAlign w:val="center"/>
          </w:tcPr>
          <w:p>
            <w:pPr>
              <w:pStyle w:val="TableContents"/>
              <w:bidi w:val="0"/>
              <w:spacing w:before="0" w:after="283"/>
              <w:jc w:val="left"/>
              <w:rPr/>
            </w:pPr>
            <w:r>
              <w:rPr/>
              <w:t> </w:t>
            </w:r>
          </w:p>
        </w:tc>
        <w:tc>
          <w:tcPr>
            <w:tcW w:w="139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7"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38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 at end of period</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w:t>
            </w:r>
          </w:p>
        </w:tc>
        <w:tc>
          <w:tcPr>
            <w:tcW w:w="214"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9"/>
        <w:gridCol w:w="146"/>
        <w:gridCol w:w="357"/>
        <w:gridCol w:w="1042"/>
        <w:gridCol w:w="166"/>
        <w:gridCol w:w="146"/>
        <w:gridCol w:w="368"/>
        <w:gridCol w:w="1076"/>
        <w:gridCol w:w="166"/>
        <w:gridCol w:w="146"/>
        <w:gridCol w:w="273"/>
        <w:gridCol w:w="798"/>
        <w:gridCol w:w="166"/>
        <w:gridCol w:w="146"/>
        <w:gridCol w:w="303"/>
        <w:gridCol w:w="883"/>
        <w:gridCol w:w="214"/>
      </w:tblGrid>
      <w:tr>
        <w:trPr/>
        <w:tc>
          <w:tcPr>
            <w:tcW w:w="3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Quarter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3,337</w:t>
            </w:r>
          </w:p>
        </w:tc>
        <w:tc>
          <w:tcPr>
            <w:tcW w:w="214" w:type="dxa"/>
            <w:tcBorders/>
            <w:shd w:fill="CFF0FC" w:val="clear"/>
            <w:vAlign w:val="center"/>
          </w:tcPr>
          <w:p>
            <w:pPr>
              <w:pStyle w:val="TableContents"/>
              <w:bidi w:val="0"/>
              <w:spacing w:before="0" w:after="283"/>
              <w:jc w:val="left"/>
              <w:rPr/>
            </w:pPr>
            <w:r>
              <w:rPr/>
              <w:t> </w:t>
            </w:r>
          </w:p>
        </w:tc>
      </w:tr>
      <w:tr>
        <w:trPr/>
        <w:tc>
          <w:tcPr>
            <w:tcW w:w="380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0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(loss) per share</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21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net assets resulting from operations per share</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04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21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09" w:type="dxa"/>
            <w:tcBorders/>
            <w:shd w:fill="CFF0FC" w:val="clear"/>
            <w:vAlign w:val="center"/>
          </w:tcPr>
          <w:p>
            <w:pPr>
              <w:pStyle w:val="TableContents"/>
              <w:bidi w:val="0"/>
              <w:spacing w:before="0" w:after="283"/>
              <w:jc w:val="left"/>
              <w:rPr>
                <w:color w:val="000000"/>
              </w:rPr>
            </w:pPr>
            <w:r>
              <w:rPr>
                <w:color w:val="000000"/>
              </w:rPr>
              <w:t xml:space="preserve">  – </w:t>
            </w:r>
            <w:r>
              <w:rPr>
                <w:rFonts w:ascii="Times New Roman" w:hAnsi="Times New Roman"/>
                <w:color w:val="000000"/>
                <w:sz w:val="16"/>
              </w:rPr>
              <w:t>basic &amp; diluted</w:t>
            </w:r>
          </w:p>
        </w:tc>
        <w:tc>
          <w:tcPr>
            <w:tcW w:w="146" w:type="dxa"/>
            <w:tcBorders/>
            <w:shd w:fill="CFF0FC" w:val="clear"/>
            <w:vAlign w:val="center"/>
          </w:tcPr>
          <w:p>
            <w:pPr>
              <w:pStyle w:val="TableContents"/>
              <w:bidi w:val="0"/>
              <w:spacing w:before="0" w:after="283"/>
              <w:jc w:val="left"/>
              <w:rPr/>
            </w:pPr>
            <w:r>
              <w:rPr/>
              <w:t> </w:t>
            </w:r>
          </w:p>
        </w:tc>
        <w:tc>
          <w:tcPr>
            <w:tcW w:w="139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6"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380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 at end of period</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16"/>
        </w:rPr>
      </w:pPr>
      <w:r>
        <w:rPr>
          <w:rFonts w:ascii="Times New Roman" w:hAnsi="Times New Roman"/>
          <w:b/>
          <w:color w:val="000000"/>
          <w:sz w:val="16"/>
        </w:rPr>
        <w:t>Note 15. Subsequent Events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The Company has evaluated subsequent events through the date of filing of this Annual Report on Form 10-K, and determined that there have been no events that have occurred that would require adjustments to our disclosures in the consolidated financial statements, except as discussed below.</w:t>
      </w:r>
    </w:p>
    <w:p>
      <w:pPr>
        <w:pStyle w:val="TextBody"/>
        <w:bidi w:val="0"/>
        <w:spacing w:before="160" w:after="283"/>
        <w:jc w:val="left"/>
        <w:rPr>
          <w:rFonts w:ascii="Times New Roman" w:hAnsi="Times New Roman"/>
          <w:sz w:val="20"/>
        </w:rPr>
      </w:pPr>
      <w:r>
        <w:rPr>
          <w:rFonts w:ascii="Times New Roman" w:hAnsi="Times New Roman"/>
          <w:color w:val="000000"/>
          <w:sz w:val="16"/>
        </w:rPr>
        <w:t>On March 11, 2024, the Company’s Board of Directors authorized a new share repurchase program, whereby the Company may repurchase up to an aggregate of $5.0</w:t>
      </w:r>
      <w:r>
        <w:rPr>
          <w:rFonts w:ascii="Times New Roman" w:hAnsi="Times New Roman"/>
          <w:color w:val="000000"/>
          <w:sz w:val="20"/>
        </w:rPr>
        <w:t xml:space="preserve"> </w:t>
      </w:r>
      <w:r>
        <w:rPr>
          <w:rFonts w:ascii="Times New Roman" w:hAnsi="Times New Roman"/>
          <w:color w:val="000000"/>
          <w:sz w:val="16"/>
        </w:rPr>
        <w:t>million of its outstanding common shares in the open market. Unless extended or discontinued by the Company’s Board of Directors, the repurchase program will terminate on March 31, 2025. The repurchase program may be extended, modified or discontinued at any time for any reason without prior notice. The repurchase program does not obligate the Company to acquire any specific number of shares, and all repurchases will be made in accordance with SEC Rule 10b-18 and accomplished through a Rule 10b5-1 plan, which sets certain restrictions on the method, timing, price and volume of share repurchases.</w:t>
      </w:r>
    </w:p>
    <w:p>
      <w:pPr>
        <w:pStyle w:val="TextBody"/>
        <w:bidi w:val="0"/>
        <w:spacing w:before="160" w:after="283"/>
        <w:jc w:val="left"/>
        <w:rPr>
          <w:rFonts w:ascii="Times New Roman" w:hAnsi="Times New Roman"/>
          <w:sz w:val="20"/>
        </w:rPr>
      </w:pPr>
      <w:r>
        <w:rPr>
          <w:rFonts w:ascii="Times New Roman" w:hAnsi="Times New Roman"/>
          <w:color w:val="000000"/>
          <w:sz w:val="16"/>
        </w:rPr>
        <w:t>On March 11, 2024, the Company’s Board of Directors approved a distribution of $0.32</w:t>
      </w:r>
      <w:r>
        <w:rPr>
          <w:rFonts w:ascii="Times New Roman" w:hAnsi="Times New Roman"/>
          <w:color w:val="000000"/>
          <w:sz w:val="20"/>
        </w:rPr>
        <w:t xml:space="preserve"> </w:t>
      </w:r>
      <w:r>
        <w:rPr>
          <w:rFonts w:ascii="Times New Roman" w:hAnsi="Times New Roman"/>
          <w:color w:val="000000"/>
          <w:sz w:val="16"/>
        </w:rPr>
        <w:t>per share payable on April 2, 2024</w:t>
      </w:r>
      <w:r>
        <w:rPr>
          <w:rFonts w:ascii="Times New Roman" w:hAnsi="Times New Roman"/>
          <w:color w:val="000000"/>
          <w:sz w:val="20"/>
        </w:rPr>
        <w:t xml:space="preserve"> </w:t>
      </w:r>
      <w:r>
        <w:rPr>
          <w:rFonts w:ascii="Times New Roman" w:hAnsi="Times New Roman"/>
          <w:color w:val="000000"/>
          <w:sz w:val="16"/>
        </w:rPr>
        <w:t>to stockholders of record as of March 25, 2024.</w:t>
      </w:r>
    </w:p>
    <w:p>
      <w:pPr>
        <w:pStyle w:val="TextBody"/>
        <w:bidi w:val="0"/>
        <w:spacing w:before="160" w:after="283"/>
        <w:jc w:val="left"/>
        <w:rPr>
          <w:rFonts w:ascii="Times New Roman" w:hAnsi="Times New Roman"/>
          <w:sz w:val="20"/>
        </w:rPr>
      </w:pPr>
      <w:r>
        <w:rPr>
          <w:rFonts w:ascii="Times New Roman" w:hAnsi="Times New Roman"/>
          <w:color w:val="000000"/>
          <w:sz w:val="16"/>
        </w:rPr>
        <w:t>On March 11, 2024, Brandon Satoren was appointed by the Board as Chief Financial Officer of the Company, effective April 1, 2024. Mr. Satoren currently serves as the Chief Accounting Officer, Secretary and Treasurer of the Company, and will remain in those roles. Mr. Satoren serves as the Chief Accounting Officer, Secretary, and Treasurer of other registered investment companies within the broader BC Partners Credit platform, and has over 14 years of experience in the asset management industry.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The Company does not pay cash compensation or provide other benefits directly to Mr. Satoren or to any of its other executive officers. Mr. Satoren is an employee of BC Partners Advisors LP, the indirect sole owner of the Administrator, which is compensated for the services it provides to the Company pursuant to the terms of the Administration Agreement. Pursuant to the Administration Agreement, the Company makes payments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Mr. Satoren.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6"/>
        </w:rPr>
        <w:t>Mr. Satoren: (i) was not appointed as the Company’s Chief Financial Officer pursuant to any arrangement or understanding with any other person; (ii) does not have a family relationship with any of the Company’s directors or other executive officers; and (iii) there are no transactions in which Mr. Satoren has an interest requiring disclosure under Item 404(a) of Regulation S-K.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On March 11, 2024, the Board received and accepted the resignation of Jason T. Roos from his position as the Chief Financial Officer of the Company, effective March 31, 2024. Mr. Roos’ resignation is not related or due to any disagreement with the Company on any matter relating to the Company’s operations, policies or practices. Mr. Roos will serve in an advisory role at BC Partners Advisors LP for an extended period of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5" w:name="item9_changes_in_and_disagreements_with"/>
      <w:bookmarkEnd w:id="25"/>
      <w:r>
        <w:rPr>
          <w:rFonts w:ascii="Times New Roman" w:hAnsi="Times New Roman"/>
          <w:b/>
          <w:color w:val="000000"/>
          <w:sz w:val="16"/>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6" w:name="item9a_controls_and_procedures"/>
      <w:bookmarkEnd w:id="26"/>
      <w:r>
        <w:rPr>
          <w:rFonts w:ascii="Times New Roman" w:hAnsi="Times New Roman"/>
          <w:b/>
          <w:color w:val="000000"/>
          <w:sz w:val="16"/>
        </w:rPr>
        <w:t>ITEM 9A.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6"/>
        </w:rPr>
        <w:t>Evaluation of Disclosure Controls and Procedures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of December 31, 2023 (the end of the period covered by this report), we, including our Chief Executive Officer and Chief Financial Officer, evaluated the effectiveness of the design and operation of our disclosure controls and procedures (as defined in Rule 13a-15(e) of the 1934 Act). Based on that evaluation, our management, including the Chief Executive Officer and Chief Financial Officer, concluded that, due to a material weakness in the Company’s internal control over financial reporting, our disclosure controls and procedures were not effective to provide reasonable assurance that information required to be disclosed in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Specifically, in March 2024, we identified a material weakness in our internal controls over financial reporting related to our failure to satisfy the requirements to maintain our special tax status as a RIC for the years ended December 31, 2020, December 31, 2021 and December 31, 2022. Notably, in evaluating the disclosure controls and procedures, management recognized that any controls and procedures, no matter how well designed and operated can provide only reasonable assurance of achieving the desired control objectives.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Notwithstanding the material weakness, management believes that our consolidated financial statements included in this Annual Report on Form 10-K are presented fairly, in all material respects, for the years ended December 31, 2023, 2022 and 2021. We have begun the process of, and are focused on, further enhancing effective internal control measures to improve our internal control over financial reporting and to remediate the identified material weakness.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Management is undertaking certain corrective actions to remediate the control deficiencies identified above,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Management will incorporate additional controls over the data used regarding the calculation of the gross income test for purposes of evaluating the Company’s qualification as a RIC.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We believe our planned actions to enhance our processes and controls will address this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pStyle w:val="TextBody"/>
        <w:bidi w:val="0"/>
        <w:spacing w:before="240" w:after="283"/>
        <w:jc w:val="left"/>
        <w:rPr>
          <w:rFonts w:ascii="Times New Roman" w:hAnsi="Times New Roman"/>
          <w:sz w:val="20"/>
        </w:rPr>
      </w:pPr>
      <w:r>
        <w:rPr>
          <w:rFonts w:ascii="Times New Roman" w:hAnsi="Times New Roman"/>
          <w:b/>
          <w:i/>
          <w:color w:val="000000"/>
          <w:sz w:val="16"/>
        </w:rPr>
        <w:t>Report of Management on Internal Control Over Financial Reporting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Management is responsible for establishing and maintaining adequate internal control over financial reporting, as such term is defined in the 1934 Act Rule 13a-15(f), and for performing an assessment of the effectiveness of internal control over financial reporting as of December 31, 2023. Our internal control system is a process designed to provide reasonable assurance to our management and the Board regarding the preparation and fair presentation of published financial statements.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of the Company are being made only in accordance with authorizations of management and the directors of the Company, and provide reasonable assurance regarding prevention or timely detection of acquisitions or dispositions of our assets that could have a material effect on its financial statements.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before="160" w:after="283"/>
        <w:jc w:val="both"/>
        <w:rPr>
          <w:rFonts w:ascii="Times New Roman" w:hAnsi="Times New Roman"/>
          <w:sz w:val="20"/>
        </w:rPr>
      </w:pPr>
      <w:r>
        <w:rPr>
          <w:rFonts w:ascii="Times New Roman" w:hAnsi="Times New Roman"/>
          <w:color w:val="000000"/>
          <w:sz w:val="16"/>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Management performed an assessment of the effectiveness of the Company’s internal control over financial reporting as of December 31, 2023 based upon the criteria in the 2013 Internal Control—Integrated Framework issued by the Committee of Sponsoring Organizations of the Treadway Commission. Based on management’s assessment, management determined that the Company’s internal control over financial reporting was not effective as of December 31, 2023, and that the we did not maintain effective internal control over financial reporting due to the material weakness described herein.</w:t>
      </w:r>
    </w:p>
    <w:p>
      <w:pPr>
        <w:pStyle w:val="TextBody"/>
        <w:bidi w:val="0"/>
        <w:spacing w:before="160" w:after="283"/>
        <w:jc w:val="both"/>
        <w:rPr>
          <w:rFonts w:ascii="Times New Roman" w:hAnsi="Times New Roman"/>
          <w:sz w:val="20"/>
        </w:rPr>
      </w:pPr>
      <w:r>
        <w:rPr>
          <w:rFonts w:ascii="Times New Roman" w:hAnsi="Times New Roman"/>
          <w:color w:val="000000"/>
          <w:sz w:val="16"/>
        </w:rPr>
        <w:t>As described above, a material weakness was identified in our internal control over financial reporting. As a result of the material weakness, we performed additional analysis as deemed necessary to ensure that our consolidated financial statements included in this Annual Report on Form 10-K did not result in any material misstatements for the periods presented. If the material weakness is not remediated, there is a possibility it could lead to a material misstatement of account balances or disclosures. Accordingly, management has concluded that these control deficiencies constitute a material weakness.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Company believes that the planned actions to enhance its processes and controls, certain of which have already begun, will address its material weakness, but these actions are subject to ongoing management evaluation, and the Company will need a period of execution to demonstrate remediation. The Company is committed to the continuous improvement of its internal control over financial reporting and will continue to diligently review its internal control over financial reporting.</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As a non-accelerated filer, the Company is not currently required to obtain an audit of the effectiveness of internal control over financial reporting from its independent registered public accounting firm as of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16"/>
        </w:rPr>
        <w:t>Changes in Internal Controls Over Financial Reporting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Except for the remediation efforts disclosed above, 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27" w:name="item9b_other_information"/>
      <w:bookmarkEnd w:id="27"/>
      <w:r>
        <w:rPr>
          <w:rFonts w:ascii="Times New Roman" w:hAnsi="Times New Roman"/>
          <w:b/>
          <w:color w:val="000000"/>
          <w:sz w:val="16"/>
        </w:rPr>
        <w:t>ITEM 9B. OTHER INFORMATION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6"/>
        </w:rPr>
      </w:pPr>
      <w:bookmarkStart w:id="28" w:name="item9c_disclosure_regarding"/>
      <w:bookmarkEnd w:id="28"/>
      <w:r>
        <w:rPr>
          <w:rFonts w:ascii="Times New Roman" w:hAnsi="Times New Roman"/>
          <w:b/>
          <w:color w:val="000000"/>
          <w:sz w:val="16"/>
        </w:rPr>
        <w:t>ITEM 9C. DISCLOSURE REGARDING FOREIGN JURISDICTIONS THAT PREVENT INSPECTIONS.</w:t>
      </w:r>
    </w:p>
    <w:p>
      <w:pPr>
        <w:pStyle w:val="TextBody"/>
        <w:bidi w:val="0"/>
        <w:spacing w:before="160" w:after="283"/>
        <w:jc w:val="both"/>
        <w:rPr>
          <w:rFonts w:ascii="Times New Roman" w:hAnsi="Times New Roman"/>
          <w:sz w:val="20"/>
        </w:rPr>
      </w:pPr>
      <w:r>
        <w:rPr>
          <w:rFonts w:ascii="Times New Roman" w:hAnsi="Times New Roman"/>
          <w:color w:val="000000"/>
          <w:sz w:val="16"/>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part_iii"/>
      <w:bookmarkEnd w:id="29"/>
      <w:r>
        <w:rPr>
          <w:rFonts w:ascii="Times New Roman" w:hAnsi="Times New Roman"/>
          <w:b/>
          <w:color w:val="000000"/>
          <w:sz w:val="16"/>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10_directors_executive_officers_and"/>
      <w:bookmarkEnd w:id="30"/>
      <w:r>
        <w:rPr>
          <w:rFonts w:ascii="Times New Roman" w:hAnsi="Times New Roman"/>
          <w:b/>
          <w:color w:val="000000"/>
          <w:sz w:val="16"/>
        </w:rPr>
        <w:t>ITEM 10. DIRECTORS, EXECUTIVE OFFICERS AND CORPORATE GOVERNANCE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Information required by this item will be contained in the Company’s definitive Proxy Statement for its 2024 Annual Stockholder Meeting, to be filed with the SEC within 120 days after December 31, 2023, and is incorporated herein by reference.</w:t>
      </w:r>
    </w:p>
    <w:p>
      <w:pPr>
        <w:pStyle w:val="TextBody"/>
        <w:bidi w:val="0"/>
        <w:spacing w:before="240" w:after="283"/>
        <w:jc w:val="left"/>
        <w:rPr>
          <w:rFonts w:ascii="Times New Roman" w:hAnsi="Times New Roman"/>
          <w:sz w:val="20"/>
        </w:rPr>
      </w:pPr>
      <w:bookmarkStart w:id="31" w:name="item11_executive_compensation"/>
      <w:bookmarkEnd w:id="31"/>
      <w:r>
        <w:rPr>
          <w:rFonts w:ascii="Times New Roman" w:hAnsi="Times New Roman"/>
          <w:b/>
          <w:color w:val="000000"/>
          <w:sz w:val="16"/>
        </w:rPr>
        <w:t>ITEM 11. EXECUTIVE COMPENSATION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Information required by this item will be contained in the Company’s definitive Proxy Statement for its 2024 Annual Stockholder Meeting, to be filed with the SEC within 120 days after December 31, 2023, and is incorporated herein by reference.</w:t>
      </w:r>
    </w:p>
    <w:p>
      <w:pPr>
        <w:pStyle w:val="TextBody"/>
        <w:bidi w:val="0"/>
        <w:spacing w:before="240" w:after="283"/>
        <w:jc w:val="left"/>
        <w:rPr>
          <w:rFonts w:ascii="Times New Roman" w:hAnsi="Times New Roman"/>
          <w:sz w:val="20"/>
        </w:rPr>
      </w:pPr>
      <w:bookmarkStart w:id="32" w:name="item12_security_ownership_of_certain_ben"/>
      <w:bookmarkEnd w:id="32"/>
      <w:r>
        <w:rPr>
          <w:rFonts w:ascii="Times New Roman" w:hAnsi="Times New Roman"/>
          <w:b/>
          <w:color w:val="000000"/>
          <w:sz w:val="16"/>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Information required by this item will be contained in the Company’s definitive Proxy Statement for its 2024 Annual Stockholder Meeting, to be filed with the SEC within 120 days after December 31, 2023, and is incorporated herein by reference.</w:t>
      </w:r>
    </w:p>
    <w:p>
      <w:pPr>
        <w:pStyle w:val="TextBody"/>
        <w:bidi w:val="0"/>
        <w:spacing w:before="240" w:after="283"/>
        <w:jc w:val="left"/>
        <w:rPr>
          <w:rFonts w:ascii="Times New Roman" w:hAnsi="Times New Roman"/>
          <w:sz w:val="20"/>
        </w:rPr>
      </w:pPr>
      <w:bookmarkStart w:id="33" w:name="item13_certain_relationships_and_related"/>
      <w:bookmarkEnd w:id="33"/>
      <w:r>
        <w:rPr>
          <w:rFonts w:ascii="Times New Roman" w:hAnsi="Times New Roman"/>
          <w:b/>
          <w:color w:val="000000"/>
          <w:sz w:val="16"/>
        </w:rPr>
        <w:t>ITEM 13. CERTAIN RELATIONSHIPS AND RELATED TRANSACTIONS, AND DIRECTOR INDEPENDENCE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Information required by this item will be contained in the Company’s definitive Proxy Statement for its 2024 Annual Stockholder Meeting, to be filed with the SEC within 120 days after December 31, 2023, and is incorporated herein by reference.</w:t>
      </w:r>
    </w:p>
    <w:p>
      <w:pPr>
        <w:pStyle w:val="TextBody"/>
        <w:bidi w:val="0"/>
        <w:spacing w:before="240" w:after="283"/>
        <w:jc w:val="left"/>
        <w:rPr>
          <w:rFonts w:ascii="Times New Roman" w:hAnsi="Times New Roman"/>
          <w:sz w:val="20"/>
        </w:rPr>
      </w:pPr>
      <w:bookmarkStart w:id="34" w:name="item14_principal_accountant_fees_and_ser"/>
      <w:bookmarkEnd w:id="34"/>
      <w:r>
        <w:rPr>
          <w:rFonts w:ascii="Times New Roman" w:hAnsi="Times New Roman"/>
          <w:b/>
          <w:color w:val="000000"/>
          <w:sz w:val="16"/>
        </w:rPr>
        <w:t>ITEM 14. PRINCIPAL ACCOUNTANT FEES AND SERVICES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231F20"/>
          <w:sz w:val="16"/>
        </w:rPr>
      </w:pPr>
      <w:r>
        <w:rPr>
          <w:rFonts w:ascii="Times New Roman" w:hAnsi="Times New Roman"/>
          <w:color w:val="231F20"/>
          <w:sz w:val="16"/>
        </w:rPr>
        <w:t>Information required by this item will be contained in the Company’s definitive Proxy Statement for its 2024 Annual Stockholder Meeting, to be filed with the SEC within 120 days after December 31, 2023,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5" w:name="part_iv"/>
      <w:bookmarkEnd w:id="35"/>
      <w:r>
        <w:rPr>
          <w:rFonts w:ascii="Times New Roman" w:hAnsi="Times New Roman"/>
          <w:b/>
          <w:color w:val="000000"/>
          <w:sz w:val="16"/>
        </w:rPr>
        <w:t>PART 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6" w:name="item15_exhibits_and_consolidated_financ"/>
      <w:bookmarkEnd w:id="36"/>
      <w:r>
        <w:rPr>
          <w:rFonts w:ascii="Times New Roman" w:hAnsi="Times New Roman"/>
          <w:b/>
          <w:color w:val="000000"/>
          <w:sz w:val="16"/>
        </w:rPr>
        <w:t>ITEM 15. EXHIBITS AND CONSOLIDATED FINANCIAL STATEMENT SCHEDULES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The following documents are filed as part of this Annual Report on Form 10-K:</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(1) Consolidated Financial Statements – Consolidated Financial statements are included in Item 8. See the Index to the Consolidated Financial Statements on page F-1 of this Annual Report on Form 10-K.</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(2) Consolidated Financial Statement Schedules – None. We have omitted consolidated financial statement schedules because they are not required or are not applicable, or the required information is shown in the consolidated financial statements or notes to the consolidated financial statements included in this Annual Report on Form 10-K.</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(3) Exhibits – The following is a list of all exhibits filed as part of this Annual Report on Form 10-K, including those incorporated by reference.</w:t>
      </w:r>
    </w:p>
    <w:p>
      <w:pPr>
        <w:pStyle w:val="TextBody"/>
        <w:bidi w:val="0"/>
        <w:spacing w:before="160" w:after="283"/>
        <w:jc w:val="both"/>
        <w:rPr>
          <w:rFonts w:ascii="Times New Roman" w:hAnsi="Times New Roman"/>
          <w:sz w:val="20"/>
        </w:rPr>
      </w:pPr>
      <w:r>
        <w:rPr>
          <w:rFonts w:ascii="Times New Roman" w:hAnsi="Times New Roman"/>
          <w:color w:val="000000"/>
          <w:sz w:val="16"/>
        </w:rPr>
        <w:t>The following exhibits are filed as part of this report or hereby incorporated by reference to exhibits previously filed with the SEC (and are numbered in accordance with Item 601 of Regulation S-K):</w:t>
      </w:r>
      <w:r>
        <w:rPr>
          <w:rFonts w:ascii="Times New Roman" w:hAnsi="Times New Roman"/>
          <w:color w:val="000000"/>
          <w:sz w:val="20"/>
        </w:rPr>
        <w:t xml:space="preserve"> </w:t>
      </w:r>
    </w:p>
    <w:p>
      <w:pPr>
        <w:pStyle w:val="TextBody"/>
        <w:bidi w:val="0"/>
        <w:spacing w:before="16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21"/>
        <w:gridCol w:w="146"/>
        <w:gridCol w:w="9338"/>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8" w:type="dxa"/>
            <w:tcBorders/>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Exhibit</w:t>
              <w:br/>
              <w:t>Number</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16"/>
              </w:rPr>
            </w:pPr>
            <w:r>
              <w:rPr>
                <w:rFonts w:ascii="Times New Roman" w:hAnsi="Times New Roman"/>
                <w:b/>
                <w:color w:val="000000"/>
                <w:sz w:val="16"/>
              </w:rPr>
              <w:t>Description of Document</w:t>
            </w:r>
            <w:r>
              <w:rPr>
                <w:rFonts w:ascii="Times New Roman" w:hAnsi="Times New Roman"/>
                <w:color w:val="000000"/>
                <w:sz w:val="16"/>
              </w:rPr>
              <w:t xml:space="preserve"> </w:t>
            </w:r>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6"/>
                  <w:u w:val="single"/>
                </w:rPr>
                <w:t>Articles of Amendment and Restatement</w:t>
              </w:r>
            </w:hyperlink>
            <w:hyperlink r:id="rId5">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Articles of Amendment</w:t>
              </w:r>
            </w:hyperlink>
            <w:hyperlink r:id="rId7">
              <w:r>
                <w:rPr>
                  <w:rStyle w:val="InternetLink"/>
                  <w:rFonts w:ascii="Times New Roman" w:hAnsi="Times New Roman"/>
                  <w:color w:val="0000FF"/>
                  <w:sz w:val="11"/>
                  <w:u w:val="single"/>
                </w:rPr>
                <w:t>(6)</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3.3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6"/>
                  <w:u w:val="single"/>
                </w:rPr>
                <w:t>Certificate of Limited Partnership of CapitalSouth Partners Fund II Limited Partnership</w:t>
              </w:r>
            </w:hyperlink>
            <w:hyperlink r:id="rId9">
              <w:r>
                <w:rPr>
                  <w:rStyle w:val="InternetLink"/>
                  <w:rFonts w:ascii="Times New Roman" w:hAnsi="Times New Roman"/>
                  <w:color w:val="0000FF"/>
                  <w:sz w:val="11"/>
                  <w:u w:val="single"/>
                </w:rPr>
                <w:t>(2)</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6"/>
                  <w:u w:val="single"/>
                </w:rPr>
                <w:t>Certificate of Limited Partnership of CapitalSouth Fund III, L.P. (f/k/a CapitalSouth Partners SBIC Fund III, L.P.)</w:t>
              </w:r>
            </w:hyperlink>
            <w:hyperlink r:id="rId11">
              <w:r>
                <w:rPr>
                  <w:rStyle w:val="InternetLink"/>
                  <w:rFonts w:ascii="Times New Roman" w:hAnsi="Times New Roman"/>
                  <w:color w:val="0000FF"/>
                  <w:sz w:val="11"/>
                  <w:u w:val="single"/>
                </w:rPr>
                <w:t>(2)</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6"/>
                  <w:u w:val="single"/>
                </w:rPr>
                <w:t>Bylaws</w:t>
              </w:r>
            </w:hyperlink>
            <w:hyperlink r:id="rId13">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6"/>
                  <w:u w:val="single"/>
                </w:rPr>
                <w:t>Form of Amended and Restated Limited Partnership Agreement of CapitalSouth Partners Fund II Limited Partnership</w:t>
              </w:r>
            </w:hyperlink>
            <w:hyperlink r:id="rId15">
              <w:r>
                <w:rPr>
                  <w:rStyle w:val="InternetLink"/>
                  <w:rFonts w:ascii="Times New Roman" w:hAnsi="Times New Roman"/>
                  <w:color w:val="0000FF"/>
                  <w:sz w:val="11"/>
                  <w:u w:val="single"/>
                </w:rPr>
                <w:t>(3)</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3.7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6"/>
                  <w:u w:val="single"/>
                </w:rPr>
                <w:t>Form of Amended and Restated Agreement of Limited Partnership of CapitalSouth Fund III, L.P. (f/k/a CapitalSouth Partners SBIC Fund III, L.P.)</w:t>
              </w:r>
            </w:hyperlink>
            <w:hyperlink r:id="rId17">
              <w:r>
                <w:rPr>
                  <w:rStyle w:val="InternetLink"/>
                  <w:rFonts w:ascii="Times New Roman" w:hAnsi="Times New Roman"/>
                  <w:color w:val="0000FF"/>
                  <w:sz w:val="11"/>
                  <w:u w:val="single"/>
                </w:rPr>
                <w:t>(3)</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6"/>
                  <w:u w:val="single"/>
                </w:rPr>
                <w:t>Form of Common Stock Certificate</w:t>
              </w:r>
            </w:hyperlink>
            <w:hyperlink r:id="rId19">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6"/>
                  <w:u w:val="single"/>
                </w:rPr>
                <w:t>Form of Base Indenture</w:t>
              </w:r>
            </w:hyperlink>
            <w:hyperlink r:id="rId21">
              <w:r>
                <w:rPr>
                  <w:rStyle w:val="InternetLink"/>
                  <w:rFonts w:ascii="Times New Roman" w:hAnsi="Times New Roman"/>
                  <w:color w:val="0000FF"/>
                  <w:sz w:val="11"/>
                  <w:u w:val="single"/>
                </w:rPr>
                <w:t>(4)</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6"/>
                  <w:u w:val="single"/>
                </w:rPr>
                <w:t>Form of Fourth Supplemental Indenture relating to the 5.25% notes due 2026, by and between the Registrant and U.S. Bank National Association, as trustee, including the form of Global Note</w:t>
              </w:r>
            </w:hyperlink>
            <w:hyperlink r:id="rId23">
              <w:r>
                <w:rPr>
                  <w:rStyle w:val="InternetLink"/>
                  <w:rFonts w:ascii="Times New Roman" w:hAnsi="Times New Roman"/>
                  <w:color w:val="0000FF"/>
                  <w:sz w:val="11"/>
                  <w:u w:val="single"/>
                </w:rPr>
                <w:t>(8)</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4.4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6"/>
                  <w:u w:val="single"/>
                </w:rPr>
                <w:t>Description of Securities</w:t>
              </w:r>
            </w:hyperlink>
            <w:hyperlink r:id="rId25">
              <w:r>
                <w:rPr>
                  <w:rStyle w:val="InternetLink"/>
                  <w:rFonts w:ascii="Times New Roman" w:hAnsi="Times New Roman"/>
                  <w:color w:val="0000FF"/>
                  <w:sz w:val="11"/>
                  <w:u w:val="single"/>
                </w:rPr>
                <w:t>(9)</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6"/>
                  <w:u w:val="single"/>
                </w:rPr>
                <w:t>Form of Dividend Reinvestment Plan</w:t>
              </w:r>
            </w:hyperlink>
            <w:hyperlink r:id="rId27">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6"/>
                  <w:u w:val="single"/>
                </w:rPr>
                <w:t>Form of Investment Advisory Agreement by and between Registrant and Mount Logan Management, LLC</w:t>
              </w:r>
            </w:hyperlink>
            <w:hyperlink r:id="rId29">
              <w:r>
                <w:rPr>
                  <w:rStyle w:val="InternetLink"/>
                  <w:rFonts w:ascii="Times New Roman" w:hAnsi="Times New Roman"/>
                  <w:color w:val="0000FF"/>
                  <w:sz w:val="11"/>
                  <w:u w:val="single"/>
                </w:rPr>
                <w:t>(5)</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6"/>
                  <w:u w:val="single"/>
                </w:rPr>
                <w:t>Form of Custodian Agreement</w:t>
              </w:r>
            </w:hyperlink>
            <w:hyperlink r:id="rId31">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6"/>
                  <w:u w:val="single"/>
                </w:rPr>
                <w:t>Form of Administration Agreement by and between Registrant and BC Partners Management LLC.</w:t>
              </w:r>
            </w:hyperlink>
            <w:hyperlink r:id="rId33">
              <w:r>
                <w:rPr>
                  <w:rStyle w:val="InternetLink"/>
                  <w:rFonts w:ascii="Times New Roman" w:hAnsi="Times New Roman"/>
                  <w:color w:val="0000FF"/>
                  <w:sz w:val="11"/>
                  <w:u w:val="single"/>
                </w:rPr>
                <w:t>(5)</w:t>
              </w:r>
            </w:hyperlink>
            <w:hyperlink r:id="rId34">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16"/>
                  <w:u w:val="single"/>
                </w:rPr>
                <w:t>Form of Indemnification Agreement by and between Registrant and each of its directors</w:t>
              </w:r>
            </w:hyperlink>
            <w:hyperlink r:id="rId36">
              <w:r>
                <w:rPr>
                  <w:rStyle w:val="InternetLink"/>
                  <w:rFonts w:ascii="Times New Roman" w:hAnsi="Times New Roman"/>
                  <w:color w:val="0000FF"/>
                  <w:sz w:val="11"/>
                  <w:u w:val="single"/>
                </w:rPr>
                <w:t>(1)</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16"/>
                  <w:u w:val="single"/>
                </w:rPr>
                <w:t>Third Amendment to Revolving Credit Facility, dated as of October 20, 2022, among Capitala Business Lending, LLC, as the borrower, Mount Logan Management, LLC, as the collateral manager, the lenders from to time to time parties thereto, KeyBank National Association, as the administrative agent, and U.S. Bank National Association, as the custodian</w:t>
              </w:r>
            </w:hyperlink>
            <w:hyperlink r:id="rId38">
              <w:r>
                <w:rPr>
                  <w:rStyle w:val="InternetLink"/>
                  <w:rFonts w:ascii="Times New Roman" w:hAnsi="Times New Roman"/>
                  <w:color w:val="0000FF"/>
                  <w:sz w:val="11"/>
                  <w:u w:val="single"/>
                </w:rPr>
                <w:t>(7)</w:t>
              </w:r>
            </w:hyperlink>
            <w:hyperlink r:id="rId39">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6"/>
                  <w:u w:val="single"/>
                </w:rPr>
                <w:t>Note Purchase Agreement, dated as of April 1, 2022, by and among Logan Ridge Finance Corporation and the Purchasers (as defined therein)</w:t>
              </w:r>
            </w:hyperlink>
            <w:hyperlink r:id="rId41">
              <w:r>
                <w:rPr>
                  <w:rStyle w:val="InternetLink"/>
                  <w:rFonts w:ascii="Times New Roman" w:hAnsi="Times New Roman"/>
                  <w:color w:val="0000FF"/>
                  <w:sz w:val="11"/>
                  <w:u w:val="single"/>
                </w:rPr>
                <w:t>(8)</w:t>
              </w:r>
            </w:hyperlink>
            <w:hyperlink r:id="rId42">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14_1.htm">
              <w:r>
                <w:rPr>
                  <w:rStyle w:val="InternetLink"/>
                  <w:rFonts w:ascii="Times New Roman" w:hAnsi="Times New Roman"/>
                  <w:color w:val="0000FF"/>
                  <w:sz w:val="16"/>
                  <w:u w:val="single"/>
                </w:rPr>
                <w:t>Code of Ethics (filed herewith)</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21_1.htm">
              <w:r>
                <w:rPr>
                  <w:rStyle w:val="InternetLink"/>
                  <w:rFonts w:ascii="Times New Roman" w:hAnsi="Times New Roman"/>
                  <w:color w:val="0000FF"/>
                  <w:sz w:val="16"/>
                  <w:u w:val="single"/>
                </w:rPr>
                <w:t>List of Subsidiaries (filed herewith)</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31_1.htm">
              <w:r>
                <w:rPr>
                  <w:rStyle w:val="InternetLink"/>
                  <w:rFonts w:ascii="Times New Roman" w:hAnsi="Times New Roman"/>
                  <w:color w:val="0000FF"/>
                  <w:sz w:val="16"/>
                  <w:u w:val="single"/>
                </w:rPr>
                <w:t>Certification of Chief Executive Officer pursuant to Rule 13a-14 of the Securities Exchange Act of 1934, as adopted pursuant to Section 302 of the Sarbanes-Oxley Act of 2002 (filed herewith)</w:t>
              </w:r>
            </w:hyperlink>
            <w:hyperlink w:anchor="lrfc-ex31_1.htm">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31_2.htm">
              <w:r>
                <w:rPr>
                  <w:rStyle w:val="InternetLink"/>
                  <w:rFonts w:ascii="Times New Roman" w:hAnsi="Times New Roman"/>
                  <w:color w:val="0000FF"/>
                  <w:sz w:val="16"/>
                  <w:u w:val="single"/>
                </w:rPr>
                <w:t>Certification of Chief Financial Officer pursuant to Rule 13a-14 of the Securities Exchange Act of 1934, as adopted pursuant to Section 302 of the Sarbanes-Oxley Act of 2002 (filed herewith)</w:t>
              </w:r>
            </w:hyperlink>
            <w:hyperlink w:anchor="lrfc-ex31_2.htm">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32_1.htm">
              <w:r>
                <w:rPr>
                  <w:rStyle w:val="InternetLink"/>
                  <w:rFonts w:ascii="Times New Roman" w:hAnsi="Times New Roman"/>
                  <w:color w:val="0000FF"/>
                  <w:sz w:val="16"/>
                  <w:u w:val="single"/>
                </w:rPr>
                <w:t>Certification of Chief Executive Officer 18 U.S.C. Section 1350, as adopted pursuant to section 906 of the Sarbanes-Oxley Act of 2002 (filed herewith)</w:t>
              </w:r>
            </w:hyperlink>
            <w:hyperlink w:anchor="lrfc-ex32_1.htm">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32_2.htm">
              <w:r>
                <w:rPr>
                  <w:rStyle w:val="InternetLink"/>
                  <w:rFonts w:ascii="Times New Roman" w:hAnsi="Times New Roman"/>
                  <w:color w:val="0000FF"/>
                  <w:sz w:val="16"/>
                  <w:u w:val="single"/>
                </w:rPr>
                <w:t>Certification of Chief Financial Officer 18 U.S.C. Section 1350, as adopted pursuant to section 906 of the Sarbanes-Oxley Act of 2002 (filed herewith)</w:t>
              </w:r>
            </w:hyperlink>
            <w:hyperlink w:anchor="lrfc-ex32_2.htm">
              <w:r>
                <w:rPr>
                  <w:rStyle w:val="InternetLink"/>
                  <w:rFonts w:ascii="Times New Roman" w:hAnsi="Times New Roman"/>
                  <w:color w:val="0000FF"/>
                  <w:sz w:val="16"/>
                </w:rPr>
                <w:t xml:space="preserve"> </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pPr>
            <w:hyperlink w:anchor="lrfc-ex97_1.htm">
              <w:r>
                <w:rPr>
                  <w:rStyle w:val="InternetLink"/>
                  <w:rFonts w:ascii="Times New Roman" w:hAnsi="Times New Roman"/>
                  <w:color w:val="0000FF"/>
                  <w:sz w:val="16"/>
                  <w:u w:val="single"/>
                </w:rPr>
                <w:t>Clawback Policy (filed herewith)</w:t>
              </w:r>
            </w:hyperlink>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 (filed herewith)</w:t>
            </w:r>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 (filed herewith)</w:t>
            </w:r>
          </w:p>
        </w:tc>
      </w:tr>
      <w:tr>
        <w:trPr/>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 (filed herewith)</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Previously filed in connection with the Pre-Effective Amendment No. 1 to Logan Ridge Finance Corporation’s registration statement on Form N-2 (File No. 333-188956) filed on September 9,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Previously filed in connection with Pre-Effective Amendment No. 2 to Logan Ridge Finance Corporation’s registration statement on Form N-2 (File No. 333-188956) filed on September 16,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Previously filed in connection with Pre-Effective Amendment No. 5 to Logan Ridge Finance Corporation’s registration statement on Form N-2 (File No. 333-188956) filed on September 24,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Previously filed in connection with Pre-Effective Amendment No. 2 to Logan Ridge Finance Corporation’s registration statement on Form N-2 (File No. 333-193374) filed on May 21, 2014.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Previously filed in connection with Logan Ridge Finance Corporation’s report on Form 8-K filed on July 1, 2021.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Previously filed in connection with Logan Ridge Finance Corporation’s report on Form 8-K filed on August 4, 2020.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Previously filed in connection with Logan Ridge Finance Corporation’s report on Form 8-K filed on October 21, 2022.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jc w:val="both"/>
        <w:rPr>
          <w:rFonts w:ascii="Times New Roman" w:hAnsi="Times New Roman"/>
          <w:color w:val="000000"/>
          <w:sz w:val="16"/>
        </w:rPr>
      </w:pPr>
      <w:r>
        <w:rPr>
          <w:rFonts w:ascii="Times New Roman" w:hAnsi="Times New Roman"/>
          <w:color w:val="000000"/>
          <w:sz w:val="16"/>
        </w:rPr>
        <w:t>Previously filed in connection with Logan Ridge Finance Corporation’s report on Form 8-K on April 6,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jc w:val="both"/>
        <w:rPr>
          <w:rFonts w:ascii="Times New Roman" w:hAnsi="Times New Roman"/>
          <w:color w:val="000000"/>
          <w:sz w:val="16"/>
        </w:rPr>
      </w:pPr>
      <w:r>
        <w:rPr>
          <w:rFonts w:ascii="Times New Roman" w:hAnsi="Times New Roman"/>
          <w:color w:val="000000"/>
          <w:sz w:val="16"/>
        </w:rPr>
        <w:t>Previously filed in connection with Logan Ridge Finance Corporation’s report on Form 10-K filed on March 2, 2020.</w:t>
      </w:r>
    </w:p>
    <w:p>
      <w:pPr>
        <w:pStyle w:val="TextBody"/>
        <w:bidi w:val="0"/>
        <w:spacing w:before="16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37" w:name="item16_form_10k_summary"/>
      <w:bookmarkEnd w:id="37"/>
      <w:r>
        <w:rPr>
          <w:rFonts w:ascii="Times New Roman" w:hAnsi="Times New Roman"/>
          <w:b/>
          <w:color w:val="000000"/>
          <w:sz w:val="16"/>
        </w:rPr>
        <w:t>ITEM 16. FORM 10-K SUMMARY</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signatures"/>
      <w:bookmarkEnd w:id="38"/>
      <w:r>
        <w:rPr>
          <w:rFonts w:ascii="Times New Roman" w:hAnsi="Times New Roman"/>
          <w:b/>
          <w:color w:val="000000"/>
          <w:sz w:val="16"/>
        </w:rPr>
        <w:t>SIGNATURES</w:t>
      </w:r>
      <w:r>
        <w:rPr>
          <w:rFonts w:ascii="Times New Roman" w:hAnsi="Times New Roman"/>
          <w:color w:val="000000"/>
          <w:sz w:val="20"/>
        </w:rPr>
        <w:t xml:space="preserve"> </w:t>
      </w:r>
    </w:p>
    <w:p>
      <w:pPr>
        <w:pStyle w:val="TextBody"/>
        <w:bidi w:val="0"/>
        <w:spacing w:before="160" w:after="120"/>
        <w:jc w:val="both"/>
        <w:rPr>
          <w:rFonts w:ascii="Times New Roman" w:hAnsi="Times New Roman"/>
          <w:sz w:val="20"/>
        </w:rPr>
      </w:pPr>
      <w:r>
        <w:rPr>
          <w:rFonts w:ascii="Times New Roman" w:hAnsi="Times New Roman"/>
          <w:color w:val="000000"/>
          <w:sz w:val="16"/>
        </w:rPr>
        <w:t>Pursuant to the requirements of Section 13 or 15(d) of the Securities Exchange Act of 1934, the registrant has duly caused this Annual Report on Form 10-K to be signed on its behalf by the undersigned, thereunto duly authorized.</w:t>
      </w:r>
      <w:r>
        <w:rPr>
          <w:rFonts w:ascii="Times New Roman" w:hAnsi="Times New Roman"/>
          <w:color w:val="000000"/>
          <w:sz w:val="20"/>
        </w:rPr>
        <w:t xml:space="preserve"> </w:t>
      </w:r>
    </w:p>
    <w:tbl>
      <w:tblPr>
        <w:tblW w:w="4581" w:type="dxa"/>
        <w:jc w:val="left"/>
        <w:tblInd w:w="0" w:type="dxa"/>
        <w:tblLayout w:type="fixed"/>
        <w:tblCellMar>
          <w:top w:w="28" w:type="dxa"/>
          <w:left w:w="28" w:type="dxa"/>
          <w:bottom w:w="28" w:type="dxa"/>
          <w:right w:w="28" w:type="dxa"/>
        </w:tblCellMar>
      </w:tblPr>
      <w:tblGrid>
        <w:gridCol w:w="1696"/>
        <w:gridCol w:w="109"/>
        <w:gridCol w:w="277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Logan Ridge Finance Corporation</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Date: March 26, 2024 </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By /s/ Ted Goldthorpe</w:t>
            </w:r>
          </w:p>
          <w:p>
            <w:pPr>
              <w:pStyle w:val="TableContents"/>
              <w:pBdr>
                <w:top w:val="single" w:sz="6" w:space="1" w:color="000000"/>
              </w:pBdr>
              <w:bidi w:val="0"/>
              <w:spacing w:before="0" w:after="283"/>
              <w:ind w:left="475" w:right="0" w:hanging="0"/>
              <w:jc w:val="left"/>
              <w:rPr>
                <w:rFonts w:ascii="Times New Roman" w:hAnsi="Times New Roman"/>
                <w:sz w:val="16"/>
              </w:rPr>
            </w:pPr>
            <w:r>
              <w:rPr>
                <w:rFonts w:ascii="Times New Roman" w:hAnsi="Times New Roman"/>
                <w:color w:val="000000"/>
                <w:sz w:val="16"/>
              </w:rPr>
              <w:t>Ted Goldthorpe</w:t>
              <w:br/>
              <w:t>Chief Executive Officer and President</w:t>
              <w:br/>
            </w:r>
            <w:r>
              <w:rPr>
                <w:rFonts w:ascii="Times New Roman" w:hAnsi="Times New Roman"/>
                <w:i/>
                <w:color w:val="000000"/>
                <w:sz w:val="16"/>
              </w:rPr>
              <w:t>(Principal Executive Officer)</w:t>
            </w:r>
            <w:r>
              <w:rPr>
                <w:rFonts w:ascii="Times New Roman" w:hAnsi="Times New Roman"/>
                <w:color w:val="000000"/>
                <w:sz w:val="16"/>
              </w:rPr>
              <w:t xml:space="preserve"> </w:t>
              <w:br/>
            </w:r>
            <w:r>
              <w:rPr>
                <w:rFonts w:ascii="Times New Roman" w:hAnsi="Times New Roman"/>
                <w:color w:val="231F20"/>
                <w:sz w:val="16"/>
              </w:rPr>
              <w:t>Logan Ridge Finance Corporation</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Date: March 26, 2024 </w:t>
            </w:r>
          </w:p>
        </w:tc>
        <w:tc>
          <w:tcPr>
            <w:tcW w:w="109" w:type="dxa"/>
            <w:tcBorders/>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6"/>
              </w:rPr>
            </w:pPr>
            <w:r>
              <w:rPr>
                <w:rFonts w:ascii="Times New Roman" w:hAnsi="Times New Roman"/>
                <w:color w:val="000000"/>
                <w:sz w:val="16"/>
              </w:rPr>
              <w:t>By /s/ Jason Roos</w:t>
            </w:r>
          </w:p>
          <w:p>
            <w:pPr>
              <w:pStyle w:val="TableContents"/>
              <w:pBdr>
                <w:top w:val="single" w:sz="6" w:space="1" w:color="000000"/>
              </w:pBdr>
              <w:bidi w:val="0"/>
              <w:spacing w:before="0" w:after="283"/>
              <w:ind w:left="475" w:right="0" w:hanging="0"/>
              <w:jc w:val="left"/>
              <w:rPr>
                <w:rFonts w:ascii="Times New Roman" w:hAnsi="Times New Roman"/>
                <w:sz w:val="16"/>
              </w:rPr>
            </w:pPr>
            <w:r>
              <w:rPr>
                <w:rFonts w:ascii="Times New Roman" w:hAnsi="Times New Roman"/>
                <w:color w:val="000000"/>
                <w:sz w:val="16"/>
              </w:rPr>
              <w:t>Jason Roos</w:t>
              <w:br/>
              <w:t>Chief Financial Officer</w:t>
              <w:br/>
            </w:r>
            <w:r>
              <w:rPr>
                <w:rFonts w:ascii="Times New Roman" w:hAnsi="Times New Roman"/>
                <w:i/>
                <w:color w:val="000000"/>
                <w:sz w:val="16"/>
              </w:rPr>
              <w:t>(Principal Financial Officer)</w:t>
            </w:r>
            <w:r>
              <w:rPr>
                <w:rFonts w:ascii="Times New Roman" w:hAnsi="Times New Roman"/>
                <w:color w:val="000000"/>
                <w:sz w:val="16"/>
              </w:rPr>
              <w:t> </w:t>
              <w:br/>
              <w:t>Logan Ridge Finance Corporation</w:t>
            </w:r>
          </w:p>
        </w:tc>
      </w:tr>
    </w:tbl>
    <w:p>
      <w:pPr>
        <w:pStyle w:val="TextBody"/>
        <w:bidi w:val="0"/>
        <w:spacing w:before="160" w:after="120"/>
        <w:jc w:val="both"/>
        <w:rPr>
          <w:rFonts w:ascii="Times New Roman" w:hAnsi="Times New Roman"/>
          <w:sz w:val="20"/>
        </w:rPr>
      </w:pPr>
      <w:r>
        <w:rPr>
          <w:rFonts w:ascii="Times New Roman" w:hAnsi="Times New Roman"/>
          <w:color w:val="000000"/>
          <w:sz w:val="16"/>
        </w:rPr>
        <w:t>Pursuant to the requirements of the Securities Exchange Act of 1934, this report has been signed below by the following persons on behalf of the registrant and in the capacities and on the dates indicated.</w:t>
      </w:r>
      <w:r>
        <w:rPr>
          <w:rFonts w:ascii="Times New Roman" w:hAnsi="Times New Roman"/>
          <w:color w:val="000000"/>
          <w:sz w:val="20"/>
        </w:rPr>
        <w:t xml:space="preserve"> </w:t>
      </w:r>
    </w:p>
    <w:p>
      <w:pPr>
        <w:pStyle w:val="TextBody"/>
        <w:bidi w:val="0"/>
        <w:jc w:val="both"/>
        <w:rPr/>
      </w:pPr>
      <w:r>
        <w:rPr/>
        <w:t> </w:t>
      </w:r>
    </w:p>
    <w:tbl>
      <w:tblPr>
        <w:tblW w:w="7555" w:type="dxa"/>
        <w:jc w:val="left"/>
        <w:tblInd w:w="0" w:type="dxa"/>
        <w:tblLayout w:type="fixed"/>
        <w:tblCellMar>
          <w:top w:w="28" w:type="dxa"/>
          <w:left w:w="28" w:type="dxa"/>
          <w:bottom w:w="28" w:type="dxa"/>
          <w:right w:w="28" w:type="dxa"/>
        </w:tblCellMar>
      </w:tblPr>
      <w:tblGrid>
        <w:gridCol w:w="1696"/>
        <w:gridCol w:w="146"/>
        <w:gridCol w:w="4246"/>
        <w:gridCol w:w="146"/>
        <w:gridCol w:w="132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Signature</w:t>
            </w:r>
            <w:r>
              <w:rPr>
                <w:rFonts w:ascii="Times New Roman" w:hAnsi="Times New Roman"/>
                <w:color w:val="000000"/>
                <w:sz w:val="16"/>
              </w:rPr>
              <w:t xml:space="preserve">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Title</w:t>
            </w:r>
            <w:r>
              <w:rPr>
                <w:rFonts w:ascii="Times New Roman" w:hAnsi="Times New Roman"/>
                <w:color w:val="000000"/>
                <w:sz w:val="16"/>
              </w:rPr>
              <w:t xml:space="preserve">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Ted Goldthorpe</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Ted Goldthorpe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sz w:val="16"/>
              </w:rPr>
            </w:pPr>
            <w:r>
              <w:rPr>
                <w:rFonts w:ascii="Times New Roman" w:hAnsi="Times New Roman"/>
                <w:color w:val="000000"/>
                <w:sz w:val="16"/>
              </w:rPr>
              <w:t xml:space="preserve">Chief Executive Officer and President and Chairman of the </w:t>
              <w:br/>
              <w:t xml:space="preserve">Board of Directors </w:t>
              <w:br/>
            </w:r>
            <w:r>
              <w:rPr>
                <w:rFonts w:ascii="Times New Roman" w:hAnsi="Times New Roman"/>
                <w:i/>
                <w:color w:val="000000"/>
                <w:sz w:val="16"/>
              </w:rPr>
              <w:t>(Principal Executive Officer)</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Jason Roos</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Jason Roos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Chief Financial Officer</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Alexander Duka</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Alexander Duka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George Grunebaum</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George Grunebaum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Robert Warshauer</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Robert Warshauer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r>
        <w:trPr/>
        <w:tc>
          <w:tcPr>
            <w:tcW w:w="1696"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 Jennifer Chou</w:t>
            </w:r>
          </w:p>
          <w:p>
            <w:pPr>
              <w:pStyle w:val="TableContents"/>
              <w:pBdr>
                <w:top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Jennifer Chou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Director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cMar>
              <w:top w:w="0" w:type="dxa"/>
              <w:left w:w="0" w:type="dxa"/>
              <w:bottom w:w="0" w:type="dxa"/>
              <w:right w:w="0" w:type="dxa"/>
            </w:tcMar>
            <w:vAlign w:val="center"/>
          </w:tcPr>
          <w:p>
            <w:pPr>
              <w:pStyle w:val="TableContents"/>
              <w:bidi w:val="0"/>
              <w:spacing w:before="200" w:after="283"/>
              <w:jc w:val="center"/>
              <w:rPr>
                <w:rFonts w:ascii="Times New Roman" w:hAnsi="Times New Roman"/>
                <w:color w:val="000000"/>
                <w:sz w:val="16"/>
              </w:rPr>
            </w:pPr>
            <w:r>
              <w:rPr>
                <w:rFonts w:ascii="Times New Roman" w:hAnsi="Times New Roman"/>
                <w:color w:val="000000"/>
                <w:sz w:val="16"/>
              </w:rPr>
              <w:t xml:space="preserve">March 26, 2024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bookmarkStart w:id="39" w:name="lrfc-ex14_1.htm"/>
      <w:bookmarkStart w:id="40" w:name="kslrfcex14_1"/>
      <w:bookmarkEnd w:id="39"/>
      <w:bookmarkEnd w:id="40"/>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14.1​</w:t>
      </w:r>
    </w:p>
    <w:p>
      <w:pPr>
        <w:pStyle w:val="TextBody"/>
        <w:bidi w:val="0"/>
        <w:jc w:val="left"/>
        <w:rPr/>
      </w:pPr>
      <w:r>
        <w:rPr/>
        <w:drawing>
          <wp:inline distT="0" distB="0" distL="0" distR="0">
            <wp:extent cx="1800225" cy="1152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3"/>
                    <a:stretch>
                      <a:fillRect/>
                    </a:stretch>
                  </pic:blipFill>
                  <pic:spPr bwMode="auto">
                    <a:xfrm>
                      <a:off x="0" y="0"/>
                      <a:ext cx="1800225" cy="11525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 w:after="283"/>
        <w:jc w:val="left"/>
        <w:rPr/>
      </w:pPr>
      <w:r>
        <w:rPr/>
        <w:t> </w:t>
      </w:r>
    </w:p>
    <w:p>
      <w:pPr>
        <w:pStyle w:val="TextBody"/>
        <w:bidi w:val="0"/>
        <w:spacing w:before="76" w:after="283"/>
        <w:jc w:val="left"/>
        <w:rPr>
          <w:rFonts w:ascii="Times New Roman" w:hAnsi="Times New Roman"/>
          <w:b/>
          <w:i/>
          <w:color w:val="000000"/>
          <w:sz w:val="56"/>
        </w:rPr>
      </w:pPr>
      <w:r>
        <w:rPr>
          <w:rFonts w:ascii="Times New Roman" w:hAnsi="Times New Roman"/>
          <w:b/>
          <w:i/>
          <w:color w:val="000000"/>
          <w:sz w:val="56"/>
        </w:rPr>
        <w:t>Corporate Governance: PTMN/LRFC Code of Ethics</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sz w:val="20"/>
        </w:rPr>
      </w:pPr>
      <w:bookmarkStart w:id="41" w:name="statement_of_purpose_and_applicability"/>
      <w:bookmarkEnd w:id="41"/>
      <w:r>
        <w:rPr>
          <w:rFonts w:ascii="Times New Roman" w:hAnsi="Times New Roman"/>
          <w:color w:val="000000"/>
          <w:sz w:val="24"/>
        </w:rPr>
        <w:t>S</w:t>
      </w:r>
      <w:r>
        <w:rPr>
          <w:rFonts w:ascii="Times New Roman" w:hAnsi="Times New Roman"/>
          <w:color w:val="000000"/>
          <w:sz w:val="19"/>
        </w:rPr>
        <w:t xml:space="preserve">TATEMENT OF </w:t>
      </w:r>
      <w:r>
        <w:rPr>
          <w:rFonts w:ascii="Times New Roman" w:hAnsi="Times New Roman"/>
          <w:color w:val="000000"/>
          <w:sz w:val="24"/>
        </w:rPr>
        <w:t>P</w:t>
      </w:r>
      <w:r>
        <w:rPr>
          <w:rFonts w:ascii="Times New Roman" w:hAnsi="Times New Roman"/>
          <w:color w:val="000000"/>
          <w:sz w:val="19"/>
        </w:rPr>
        <w:t xml:space="preserve">URPOSE AND </w:t>
      </w:r>
      <w:r>
        <w:rPr>
          <w:rFonts w:ascii="Times New Roman" w:hAnsi="Times New Roman"/>
          <w:color w:val="000000"/>
          <w:sz w:val="24"/>
        </w:rPr>
        <w:t>A</w:t>
      </w:r>
      <w:r>
        <w:rPr>
          <w:rFonts w:ascii="Times New Roman" w:hAnsi="Times New Roman"/>
          <w:color w:val="000000"/>
          <w:sz w:val="19"/>
        </w:rPr>
        <w:t>PPLICABILITY</w:t>
      </w:r>
    </w:p>
    <w:p>
      <w:pPr>
        <w:pStyle w:val="TextBody"/>
        <w:bidi w:val="0"/>
        <w:jc w:val="left"/>
        <w:rPr/>
      </w:pPr>
      <w:r>
        <w:rPr/>
        <w:t> </w:t>
      </w:r>
    </w:p>
    <w:p>
      <w:pPr>
        <w:pStyle w:val="TextBody"/>
        <w:bidi w:val="0"/>
        <w:spacing w:before="217" w:after="283"/>
        <w:jc w:val="left"/>
        <w:rPr>
          <w:rFonts w:ascii="Times New Roman" w:hAnsi="Times New Roman"/>
          <w:sz w:val="20"/>
        </w:rPr>
      </w:pPr>
      <w:r>
        <w:rPr>
          <w:rFonts w:ascii="Times New Roman" w:hAnsi="Times New Roman"/>
          <w:color w:val="000000"/>
          <w:sz w:val="24"/>
        </w:rPr>
        <w:t xml:space="preserve">Portman Ridge Finance Corporation and Logan Ridge Finance Corporation (each, the "Company") are regulated as a business development company under the </w:t>
      </w:r>
      <w:r>
        <w:rPr>
          <w:rFonts w:ascii="Times New Roman" w:hAnsi="Times New Roman"/>
          <w:color w:val="0000FF"/>
          <w:sz w:val="24"/>
          <w:u w:val="single"/>
        </w:rPr>
        <w:t>Investment Company</w:t>
      </w:r>
      <w:r>
        <w:rPr>
          <w:rFonts w:ascii="Times New Roman" w:hAnsi="Times New Roman"/>
          <w:color w:val="0000FF"/>
          <w:sz w:val="20"/>
        </w:rPr>
        <w:t xml:space="preserve"> </w:t>
      </w:r>
      <w:r>
        <w:rPr>
          <w:rFonts w:ascii="Times New Roman" w:hAnsi="Times New Roman"/>
          <w:sz w:val="24"/>
        </w:rPr>
        <w:t>Act of 1940</w:t>
      </w:r>
      <w:r>
        <w:rPr>
          <w:rFonts w:ascii="Times New Roman" w:hAnsi="Times New Roman"/>
          <w:sz w:val="20"/>
        </w:rPr>
        <w:t xml:space="preserve"> </w:t>
      </w:r>
      <w:r>
        <w:rPr>
          <w:rFonts w:ascii="Times New Roman" w:hAnsi="Times New Roman"/>
          <w:color w:val="000000"/>
          <w:sz w:val="24"/>
        </w:rPr>
        <w:t xml:space="preserve">(the "Act") and subject to </w:t>
      </w:r>
      <w:r>
        <w:rPr>
          <w:rFonts w:ascii="Times New Roman" w:hAnsi="Times New Roman"/>
          <w:color w:val="0000FF"/>
          <w:sz w:val="24"/>
          <w:u w:val="single"/>
        </w:rPr>
        <w:t>Rule 17j-1 under the Act ("Rule 17j-1")</w:t>
      </w:r>
      <w:r>
        <w:rPr>
          <w:rFonts w:ascii="Times New Roman" w:hAnsi="Times New Roman"/>
          <w:color w:val="000000"/>
          <w:sz w:val="24"/>
        </w:rPr>
        <w:t>. It is the Company’s policy that no Affiliated Person shall, in connection the purchase or sale, directly or indirectly, by such Affiliated Person of any Security Held or to be Acquired by the Company:</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To employ any device, scheme or artifice to defraud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To make any untrue statement of a material fact to the Company or omit to state a material fact necessary in order to make the statements made to the Company, in light of the circumstances under which they are made, not misleading;</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To engage in an act, practice, or course of business that operates or would operate as a fraud or deceit on the Company; or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To engage in any manipulative practice with respect to the Company.</w:t>
      </w:r>
    </w:p>
    <w:p>
      <w:pPr>
        <w:pStyle w:val="TextBody"/>
        <w:bidi w:val="0"/>
        <w:spacing w:before="2"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In accordance with the Rule, the Company has adopted this Code of Ethics containing provisions it deems reasonably necessary to prevent those of its Affiliated Persons who are Access Persons from engaging in any of such prohibited acts.</w:t>
      </w:r>
    </w:p>
    <w:p>
      <w:pPr>
        <w:pStyle w:val="TextBody"/>
        <w:bidi w:val="0"/>
        <w:spacing w:before="9"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4"/>
        </w:rPr>
        <w:t>D</w:t>
      </w:r>
      <w:r>
        <w:rPr>
          <w:rFonts w:ascii="Times New Roman" w:hAnsi="Times New Roman"/>
          <w:color w:val="000000"/>
          <w:sz w:val="19"/>
        </w:rPr>
        <w:t>EFINITIONS</w:t>
      </w:r>
    </w:p>
    <w:p>
      <w:pPr>
        <w:pStyle w:val="TextBody"/>
        <w:bidi w:val="0"/>
        <w:spacing w:before="11"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"Access Person" means any officer, partner, member or Advisory Person of the Company. A board director shall be presumed to be an Access Person of the Company unless the Designated Officer determines, after consideration of the relevant facts and circumstances, that the director should not be considered an Access Person hereunder.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"Advisory Person of the Company" means: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director, officer, member or employee of the Company (or of any company in a Control relationship to the Company), who in connection with his or her regular functions or duties makes, participates in, or obtains information regarding the purchase or sale of Covered Securities by the Company, or whose functions relate to the making of any recommendation with respect to such purchases or sales;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natural person in a Control relationship to the Company who obtains information concerning recommendations made to the Company with regard to the purchase or sale of any Covered Security by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"Affiliated Person" of another person means: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person directly or indirectly owning, controlling, or holding with power to vote, 5% or more of the outstanding voting securities of such other person;</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any person 5% or more of whose outstanding voting securities are directly or indirectly owned, controlled, or held with power to vote, by such other person;</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person directly or indirectly controlling, controlled by, or under common control with, such other person;</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officer, director, partner, copartner, or employee of such other person;</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if such other person is an investment company, any investment adviser thereof or any member of an advisory board thereof;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if such other person is an unincorporated investment company not having a board of directors, the depositor thereof.</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60" w:after="283"/>
        <w:jc w:val="left"/>
        <w:rPr/>
      </w:pPr>
      <w:r>
        <w:rPr>
          <w:rFonts w:ascii="Times New Roman" w:hAnsi="Times New Roman"/>
          <w:color w:val="000000"/>
          <w:sz w:val="24"/>
        </w:rPr>
        <w:t>"Beneficial Ownership" means beneficial ownership determined pursuant to Rule</w:t>
      </w:r>
      <w:r>
        <w:rPr>
          <w:color w:val="0000FF"/>
        </w:rPr>
        <w:t xml:space="preserve"> </w:t>
      </w:r>
      <w:r>
        <w:rPr>
          <w:rFonts w:ascii="Times New Roman" w:hAnsi="Times New Roman"/>
          <w:color w:val="0000FF"/>
          <w:sz w:val="24"/>
          <w:u w:val="single"/>
        </w:rPr>
        <w:t>16a−1(a)(2)</w:t>
      </w:r>
      <w:r>
        <w:rPr>
          <w:color w:val="0000FF"/>
        </w:rPr>
        <w:t xml:space="preserve"> </w:t>
      </w:r>
      <w:r>
        <w:rPr>
          <w:rFonts w:ascii="Times New Roman" w:hAnsi="Times New Roman"/>
          <w:color w:val="000000"/>
          <w:sz w:val="24"/>
        </w:rPr>
        <w:t>under the Securities Exchange Act of 1934 (the "1934 Act"). Beneficial ownership includes securities held by members of a person's immediate family (spouse, children, stepchildren, grandchildren, parents, stepparents, grandparents, siblings, mother-in-law, father-in-law, son-in-law, daughter-in-law, brother-in-law, or sister-in- law) that share the same household with such person. The definition of "Beneficial Ownership" is complex, and if you have any questions as to whether you may have Beneficial Ownership with respect to any securities please contact the CCO.</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60" w:after="283"/>
        <w:jc w:val="left"/>
        <w:rPr/>
      </w:pPr>
      <w:r>
        <w:rPr>
          <w:rFonts w:ascii="Times New Roman" w:hAnsi="Times New Roman"/>
          <w:color w:val="000000"/>
          <w:sz w:val="24"/>
        </w:rPr>
        <w:t>"Control" means the power to exercise a controlling influence over the management or policies of a company, unless such power is solely the result of an official position with such company. Any person who owns beneficially, either directly or through one or more controlled companies, more than 25% of the voting securities of a company shall be presumed to control such company. Any person who does not so own more than 25% of the voting securities of any company shall be presumed not to control such company. A natural person shall be presumed not to be a controlled person. Any such presumption may be rebutted by evidence in accordance with</w:t>
      </w:r>
      <w:r>
        <w:rPr>
          <w:color w:val="0000FF"/>
        </w:rPr>
        <w:t xml:space="preserve"> </w:t>
      </w:r>
      <w:r>
        <w:rPr>
          <w:rFonts w:ascii="Times New Roman" w:hAnsi="Times New Roman"/>
          <w:color w:val="0000FF"/>
          <w:sz w:val="24"/>
          <w:u w:val="single"/>
        </w:rPr>
        <w:t>Section 2(a)(9)</w:t>
      </w:r>
      <w:r>
        <w:rPr>
          <w:color w:val="0000FF"/>
        </w:rPr>
        <w:t xml:space="preserve"> </w:t>
      </w:r>
      <w:r>
        <w:rPr>
          <w:rFonts w:ascii="Times New Roman" w:hAnsi="Times New Roman"/>
          <w:color w:val="000000"/>
          <w:sz w:val="24"/>
        </w:rPr>
        <w:t>of the Act.</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"Covered Security" means a Security, except that such term does not include: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direct obligations of the Government of the United States;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bankers' acceptances, bank certificates of deposit, commercial paper and high quality short-term debt instruments, including repurchase agreements; or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shares issued by open-end investment companies registered under the Act</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"Designated Officer" means the person designated from time to time by the Company to be its Chief Compliance Officer; provided, that the Company may from time to time designate another person to act on behalf of the Designated Officer during periods when the Designated Officer is absent or disabled, and during such periods the term "Designated Officer" shall mean such other officer.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60" w:after="283"/>
        <w:jc w:val="left"/>
        <w:rPr/>
      </w:pPr>
      <w:r>
        <w:rPr>
          <w:rFonts w:ascii="Times New Roman" w:hAnsi="Times New Roman"/>
          <w:color w:val="000000"/>
          <w:sz w:val="24"/>
        </w:rPr>
        <w:t>"Disinterested Director" means a director of the Company who is not an "interested person" of the Company within the meaning of</w:t>
      </w:r>
      <w:r>
        <w:rPr>
          <w:color w:val="0000FF"/>
        </w:rPr>
        <w:t xml:space="preserve"> </w:t>
      </w:r>
      <w:r>
        <w:rPr>
          <w:rFonts w:ascii="Times New Roman" w:hAnsi="Times New Roman"/>
          <w:color w:val="0000FF"/>
          <w:sz w:val="24"/>
          <w:u w:val="single"/>
        </w:rPr>
        <w:t>Section 2(a)(19)</w:t>
      </w:r>
      <w:r>
        <w:rPr>
          <w:color w:val="0000FF"/>
        </w:rPr>
        <w:t xml:space="preserve"> </w:t>
      </w:r>
      <w:r>
        <w:rPr>
          <w:rFonts w:ascii="Times New Roman" w:hAnsi="Times New Roman"/>
          <w:color w:val="000000"/>
          <w:sz w:val="24"/>
        </w:rPr>
        <w:t>of the Act.</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left"/>
        <w:rPr/>
      </w:pPr>
      <w:r>
        <w:rPr>
          <w:rFonts w:ascii="Times New Roman" w:hAnsi="Times New Roman"/>
          <w:color w:val="000000"/>
          <w:sz w:val="24"/>
        </w:rPr>
        <w:t>"Federal Securities Laws" means, in addition to the Act, the</w:t>
      </w:r>
      <w:r>
        <w:rPr>
          <w:color w:val="0000FF"/>
        </w:rPr>
        <w:t xml:space="preserve"> </w:t>
      </w:r>
      <w:r>
        <w:rPr>
          <w:rFonts w:ascii="Times New Roman" w:hAnsi="Times New Roman"/>
          <w:color w:val="0000FF"/>
          <w:sz w:val="24"/>
          <w:u w:val="single"/>
        </w:rPr>
        <w:t>Investment Advisers Act of</w:t>
      </w:r>
      <w:r>
        <w:rPr>
          <w:color w:val="0000FF"/>
        </w:rPr>
        <w:t xml:space="preserve"> </w:t>
      </w:r>
      <w:r>
        <w:rPr>
          <w:rFonts w:ascii="Times New Roman" w:hAnsi="Times New Roman"/>
          <w:color w:val="0000FF"/>
          <w:sz w:val="24"/>
          <w:u w:val="single"/>
        </w:rPr>
        <w:t>1940</w:t>
      </w:r>
      <w:r>
        <w:rPr>
          <w:rFonts w:ascii="Times New Roman" w:hAnsi="Times New Roman"/>
          <w:color w:val="000000"/>
          <w:sz w:val="24"/>
        </w:rPr>
        <w:t>, the</w:t>
      </w:r>
      <w:r>
        <w:rPr>
          <w:color w:val="0000FF"/>
        </w:rPr>
        <w:t xml:space="preserve"> </w:t>
      </w:r>
      <w:r>
        <w:rPr>
          <w:rFonts w:ascii="Times New Roman" w:hAnsi="Times New Roman"/>
          <w:color w:val="0000FF"/>
          <w:sz w:val="24"/>
          <w:u w:val="single"/>
        </w:rPr>
        <w:t>Securities Act of 1933</w:t>
      </w:r>
      <w:r>
        <w:rPr>
          <w:rFonts w:ascii="Times New Roman" w:hAnsi="Times New Roman"/>
          <w:color w:val="000000"/>
          <w:sz w:val="24"/>
        </w:rPr>
        <w:t>, the</w:t>
      </w:r>
      <w:r>
        <w:rPr>
          <w:color w:val="0000FF"/>
        </w:rPr>
        <w:t xml:space="preserve"> </w:t>
      </w:r>
      <w:r>
        <w:rPr>
          <w:rFonts w:ascii="Times New Roman" w:hAnsi="Times New Roman"/>
          <w:color w:val="0000FF"/>
          <w:sz w:val="24"/>
          <w:u w:val="single"/>
        </w:rPr>
        <w:t>Securities Exchange Act of 1934</w:t>
      </w:r>
      <w:r>
        <w:rPr>
          <w:rFonts w:ascii="Times New Roman" w:hAnsi="Times New Roman"/>
          <w:color w:val="000000"/>
          <w:sz w:val="24"/>
        </w:rPr>
        <w:t>, Title V of the Gramm-Leach-Bliley Act, all rules adopted by the Securities and Exchange Commission (the "SEC") under the foregoing statutes, those provisions of the Bank Secrecy Act that apply to investment companies and investment advisers, and any rules adopted under such provisions by the SEC or the Department of the Treasury.</w:t>
      </w:r>
    </w:p>
    <w:p>
      <w:pPr>
        <w:pStyle w:val="TextBody"/>
        <w:bidi w:val="0"/>
        <w:spacing w:before="61"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61" w:after="283"/>
        <w:jc w:val="both"/>
        <w:rPr/>
      </w:pPr>
      <w:r>
        <w:rPr>
          <w:rFonts w:ascii="Times New Roman" w:hAnsi="Times New Roman"/>
          <w:color w:val="000000"/>
          <w:sz w:val="24"/>
        </w:rPr>
        <w:t>"Initial Public Offering" means an offering of securities registered under the</w:t>
      </w:r>
      <w:r>
        <w:rPr>
          <w:color w:val="0000FF"/>
        </w:rPr>
        <w:t xml:space="preserve"> </w:t>
      </w:r>
      <w:r>
        <w:rPr>
          <w:rFonts w:ascii="Times New Roman" w:hAnsi="Times New Roman"/>
          <w:color w:val="0000FF"/>
          <w:sz w:val="24"/>
          <w:u w:val="single"/>
        </w:rPr>
        <w:t>Securities</w:t>
      </w:r>
      <w:r>
        <w:rPr>
          <w:color w:val="0000FF"/>
        </w:rPr>
        <w:t xml:space="preserve"> </w:t>
      </w:r>
      <w:r>
        <w:rPr>
          <w:rFonts w:ascii="Times New Roman" w:hAnsi="Times New Roman"/>
          <w:color w:val="0000FF"/>
          <w:sz w:val="24"/>
          <w:u w:val="single"/>
        </w:rPr>
        <w:t>Act of 1933</w:t>
      </w:r>
      <w:r>
        <w:rPr>
          <w:color w:val="0000FF"/>
        </w:rPr>
        <w:t xml:space="preserve"> </w:t>
      </w:r>
      <w:r>
        <w:rPr>
          <w:rFonts w:ascii="Times New Roman" w:hAnsi="Times New Roman"/>
          <w:color w:val="000000"/>
          <w:sz w:val="24"/>
        </w:rPr>
        <w:t>(the "1933 Act"), the issuer of which, immediately before the registration, was not subject to the reporting requirements of</w:t>
      </w:r>
      <w:r>
        <w:rPr>
          <w:color w:val="0000FF"/>
        </w:rPr>
        <w:t xml:space="preserve"> </w:t>
      </w:r>
      <w:r>
        <w:rPr>
          <w:rFonts w:ascii="Times New Roman" w:hAnsi="Times New Roman"/>
          <w:color w:val="0000FF"/>
          <w:sz w:val="24"/>
          <w:u w:val="single"/>
        </w:rPr>
        <w:t>Sections 13</w:t>
      </w:r>
      <w:r>
        <w:rPr>
          <w:color w:val="0000FF"/>
        </w:rPr>
        <w:t xml:space="preserve"> </w:t>
      </w:r>
      <w:r>
        <w:rPr>
          <w:rFonts w:ascii="Times New Roman" w:hAnsi="Times New Roman"/>
          <w:color w:val="000000"/>
          <w:sz w:val="24"/>
        </w:rPr>
        <w:t>or</w:t>
      </w:r>
      <w:r>
        <w:rPr>
          <w:color w:val="0000FF"/>
        </w:rPr>
        <w:t xml:space="preserve"> </w:t>
      </w:r>
      <w:r>
        <w:rPr>
          <w:rFonts w:ascii="Times New Roman" w:hAnsi="Times New Roman"/>
          <w:color w:val="0000FF"/>
          <w:sz w:val="24"/>
          <w:u w:val="single"/>
        </w:rPr>
        <w:t>15(d)</w:t>
      </w:r>
      <w:r>
        <w:rPr>
          <w:color w:val="0000FF"/>
        </w:rPr>
        <w:t xml:space="preserve"> </w:t>
      </w:r>
      <w:r>
        <w:rPr>
          <w:rFonts w:ascii="Times New Roman" w:hAnsi="Times New Roman"/>
          <w:color w:val="000000"/>
          <w:sz w:val="24"/>
        </w:rPr>
        <w:t>of the 1934 Act.</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"Investment Personnel" means:</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any employee of the Company (or of any company in a Control relationship to the Company), who in connection with his or her regular functions or duties makes or</w:t>
      </w:r>
    </w:p>
    <w:p>
      <w:pPr>
        <w:pStyle w:val="TextBody"/>
        <w:bidi w:val="0"/>
        <w:jc w:val="both"/>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participates in making recommendations regarding the purchase or sale of securities by the Company;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natural person who Controls the Company and obtains information concerning recommendations made to the Company with regard to the purchase or sale of securities by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L.</w:t>
      </w:r>
    </w:p>
    <w:p>
      <w:pPr>
        <w:pStyle w:val="TextBody"/>
        <w:bidi w:val="0"/>
        <w:spacing w:before="60" w:after="283"/>
        <w:jc w:val="left"/>
        <w:rPr/>
      </w:pPr>
      <w:r>
        <w:rPr>
          <w:rFonts w:ascii="Times New Roman" w:hAnsi="Times New Roman"/>
          <w:color w:val="000000"/>
          <w:sz w:val="24"/>
        </w:rPr>
        <w:t>"Limited Offering" means an offering that is exempt from registration under the 1933 Act pursuant to</w:t>
      </w:r>
      <w:r>
        <w:rPr>
          <w:color w:val="0000FF"/>
        </w:rPr>
        <w:t xml:space="preserve"> </w:t>
      </w:r>
      <w:r>
        <w:rPr>
          <w:rFonts w:ascii="Times New Roman" w:hAnsi="Times New Roman"/>
          <w:color w:val="0000FF"/>
          <w:sz w:val="24"/>
          <w:u w:val="single"/>
        </w:rPr>
        <w:t>Section 4(2) or Section 4(6)</w:t>
      </w:r>
      <w:r>
        <w:rPr>
          <w:color w:val="0000FF"/>
        </w:rPr>
        <w:t xml:space="preserve"> </w:t>
      </w:r>
      <w:r>
        <w:rPr>
          <w:rFonts w:ascii="Times New Roman" w:hAnsi="Times New Roman"/>
          <w:color w:val="000000"/>
          <w:sz w:val="24"/>
        </w:rPr>
        <w:t>thereof or pursuant to</w:t>
      </w:r>
      <w:r>
        <w:rPr>
          <w:color w:val="0000FF"/>
        </w:rPr>
        <w:t xml:space="preserve"> </w:t>
      </w:r>
      <w:r>
        <w:rPr>
          <w:rFonts w:ascii="Times New Roman" w:hAnsi="Times New Roman"/>
          <w:color w:val="0000FF"/>
          <w:sz w:val="24"/>
          <w:u w:val="single"/>
        </w:rPr>
        <w:t>Rule 504</w:t>
      </w:r>
      <w:r>
        <w:rPr>
          <w:rFonts w:ascii="Times New Roman" w:hAnsi="Times New Roman"/>
          <w:color w:val="000000"/>
          <w:sz w:val="24"/>
        </w:rPr>
        <w:t>,</w:t>
      </w:r>
      <w:r>
        <w:rPr>
          <w:color w:val="0000FF"/>
        </w:rPr>
        <w:t xml:space="preserve"> </w:t>
      </w:r>
      <w:r>
        <w:rPr>
          <w:rFonts w:ascii="Times New Roman" w:hAnsi="Times New Roman"/>
          <w:color w:val="0000FF"/>
          <w:sz w:val="24"/>
          <w:u w:val="single"/>
        </w:rPr>
        <w:t>Rule 505</w:t>
      </w:r>
      <w:r>
        <w:rPr>
          <w:rFonts w:ascii="Times New Roman" w:hAnsi="Times New Roman"/>
          <w:color w:val="000000"/>
          <w:sz w:val="24"/>
        </w:rPr>
        <w:t>, or</w:t>
      </w:r>
      <w:r>
        <w:rPr>
          <w:color w:val="0000FF"/>
        </w:rPr>
        <w:t xml:space="preserve"> </w:t>
      </w:r>
      <w:r>
        <w:rPr>
          <w:rFonts w:ascii="Times New Roman" w:hAnsi="Times New Roman"/>
          <w:color w:val="0000FF"/>
          <w:sz w:val="24"/>
          <w:u w:val="single"/>
        </w:rPr>
        <w:t>Rule 506</w:t>
      </w:r>
      <w:r>
        <w:rPr>
          <w:color w:val="0000FF"/>
        </w:rPr>
        <w:t xml:space="preserve"> </w:t>
      </w:r>
      <w:r>
        <w:rPr>
          <w:rFonts w:ascii="Times New Roman" w:hAnsi="Times New Roman"/>
          <w:color w:val="000000"/>
          <w:sz w:val="24"/>
        </w:rPr>
        <w:t>thereunder.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M.</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"purchase or sale of a Covered Security" includes, among other things, the writing of an option to purchase or sell a Covered Security.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N.</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"Security" means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"Security Held or to be Acquired by the Company" means: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Covered Security which, within the most recent 15 days: (A) is or has been held by the Company; or (B) is being or has been considered by the Company for purchase by the Company;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option to purchase or sell, and any security convertible into or exchangeable for, a Covered Security described in clause (i) above.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P.</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"Third Party Account" means an account in which a Covered Security is held for the benefit of any individual or entity other than the Company with respect to which an Access Person exercises investment discretion or provides investment advice.</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19"/>
        </w:rPr>
        <w:t xml:space="preserve">TANDARDS OF </w:t>
      </w:r>
      <w:r>
        <w:rPr>
          <w:rFonts w:ascii="Times New Roman" w:hAnsi="Times New Roman"/>
          <w:color w:val="000000"/>
          <w:sz w:val="24"/>
        </w:rPr>
        <w:t>C</w:t>
      </w:r>
      <w:r>
        <w:rPr>
          <w:rFonts w:ascii="Times New Roman" w:hAnsi="Times New Roman"/>
          <w:color w:val="000000"/>
          <w:sz w:val="19"/>
        </w:rPr>
        <w:t>ONDUCT</w:t>
      </w:r>
    </w:p>
    <w:p>
      <w:pPr>
        <w:pStyle w:val="TextBody"/>
        <w:bidi w:val="0"/>
        <w:spacing w:before="60" w:after="283"/>
        <w:jc w:val="left"/>
        <w:rPr>
          <w:rFonts w:ascii="Times New Roman" w:hAnsi="Times New Roman"/>
          <w:b/>
          <w:color w:val="000000"/>
          <w:sz w:val="24"/>
        </w:rPr>
      </w:pPr>
      <w:r>
        <w:rPr>
          <w:rFonts w:ascii="Times New Roman" w:hAnsi="Times New Roman"/>
          <w:b/>
          <w:color w:val="000000"/>
          <w:sz w:val="24"/>
        </w:rPr>
        <w:t>General Standards.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Access Person shall, in breach of any fiduciary duty he or she owes to the Company and its stockholders:</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engage, directly or indirectly, in any business investment in a manner detrimental to the Company; or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use confidential information gained by reason of his or her employment by or affiliation with the Company in a manner detrimental to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At the time that an Access Person recommends or authorizes the purchase or sale of a Covered Security by the Company, he or she shall disclose to the Designated Officer:</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Beneficial Ownership in such Covered Security that he or she has or proposes to acquire;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interest he or she has or proposes to acquire in any Third Party Account in which such Covered Security is held;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interest in or relationship with the issuer of such Covered Security that he or she has or proposes to acquire.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Each Access Person must conduct his or her personal securities transactions in a manner that is consistent with this Code of Ethics and that will avoid an abuse of his or her position of trust and responsibility within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No Access Person shall engage in any act, practice, or course of business that is in breach of the fiduciary duty of care, loyalty, honesty and good faith that he or she owes to the Company.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60" w:after="283"/>
        <w:jc w:val="left"/>
        <w:rPr/>
      </w:pPr>
      <w:r>
        <w:rPr>
          <w:rFonts w:ascii="Times New Roman" w:hAnsi="Times New Roman"/>
          <w:color w:val="000000"/>
          <w:sz w:val="24"/>
        </w:rPr>
        <w:t xml:space="preserve">No Access Person shall, in connection with the purchase or sale, directly or indirectly, of any Security Held or to be Acquired by the Company, engage in any act, practice or course of business in violation of the Federal Securities Laws. Without limiting the generality of the foregoing, note that “Insider Trading”, which is the misuse of material non-public information concerning an issuer, relates not only to the Company but to </w:t>
      </w:r>
      <w:r>
        <w:rPr>
          <w:rFonts w:ascii="Times New Roman" w:hAnsi="Times New Roman"/>
          <w:i/>
          <w:color w:val="000000"/>
          <w:sz w:val="24"/>
        </w:rPr>
        <w:t xml:space="preserve">any </w:t>
      </w:r>
      <w:r>
        <w:rPr>
          <w:rFonts w:ascii="Times New Roman" w:hAnsi="Times New Roman"/>
          <w:color w:val="000000"/>
          <w:sz w:val="24"/>
        </w:rPr>
        <w:t xml:space="preserve">company. Reference is made to the Company </w:t>
      </w:r>
      <w:r>
        <w:rPr>
          <w:rFonts w:ascii="Times New Roman" w:hAnsi="Times New Roman"/>
          <w:i/>
          <w:color w:val="000000"/>
          <w:sz w:val="24"/>
        </w:rPr>
        <w:t xml:space="preserve">Insider Trading Policy – Trading of Company Shares </w:t>
      </w:r>
      <w:r>
        <w:rPr>
          <w:rFonts w:ascii="Times New Roman" w:hAnsi="Times New Roman"/>
          <w:color w:val="000000"/>
          <w:sz w:val="24"/>
        </w:rPr>
        <w:t xml:space="preserve">for a general discussion of the issue. To that end, No Access Person shall (a) disclose material non-public information received or developed by the Company concerning </w:t>
      </w:r>
      <w:r>
        <w:rPr>
          <w:rFonts w:ascii="Times New Roman" w:hAnsi="Times New Roman"/>
          <w:i/>
          <w:color w:val="000000"/>
          <w:sz w:val="24"/>
        </w:rPr>
        <w:t xml:space="preserve">any </w:t>
      </w:r>
      <w:r>
        <w:rPr>
          <w:rFonts w:ascii="Times New Roman" w:hAnsi="Times New Roman"/>
          <w:color w:val="000000"/>
          <w:sz w:val="24"/>
        </w:rPr>
        <w:t>issuer to any other person; disclose material non-public information otherwise received to any person; and effect any transaction in any security or commodity on the basis of material non-public information, regardless of whether such information was received or developed by the Company in connection with its business or otherwise.</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Prohibited Transactions.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i/>
          <w:color w:val="000000"/>
          <w:sz w:val="24"/>
        </w:rPr>
        <w:t>General Prohibition</w:t>
      </w:r>
      <w:r>
        <w:rPr>
          <w:rFonts w:ascii="Times New Roman" w:hAnsi="Times New Roman"/>
          <w:color w:val="000000"/>
          <w:sz w:val="24"/>
        </w:rPr>
        <w:t>. Unless an Access Person shall have obtained prior approval from the Designated Officer, no Access Person shall purchase or sell (or otherwise acquire or dispose of) direct or indirect Beneficial Ownership of any Covered Security if, at the time of such transaction, such Access Person knows or should have known such Covered Security is a Security Held or to be Acquired by the Company.</w:t>
      </w:r>
    </w:p>
    <w:p>
      <w:pPr>
        <w:pStyle w:val="TextBody"/>
        <w:bidi w:val="0"/>
        <w:spacing w:before="5"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an Access Person becomes aware that the Company is considering the purchase or sale of a Covered Security, the Access Person must promptly notify the Designated Officer of:</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any interest that he or she has in any outstanding Covered Security of the same issuer;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other interest in or relationship with the issuer that he or she has or proposes to acquire.</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both"/>
        <w:rPr/>
      </w:pPr>
      <w:r>
        <w:rPr>
          <w:rFonts w:ascii="Times New Roman" w:hAnsi="Times New Roman"/>
          <w:i/>
          <w:color w:val="000000"/>
          <w:sz w:val="24"/>
        </w:rPr>
        <w:t>Insider Trading</w:t>
      </w:r>
      <w:r>
        <w:rPr>
          <w:rFonts w:ascii="Times New Roman" w:hAnsi="Times New Roman"/>
          <w:color w:val="000000"/>
          <w:sz w:val="24"/>
        </w:rPr>
        <w:t>. No Access Person may buy or sell securities (including but not limited to the Company’s stock) while in possession of material non-public information (“inside information”). In addition, no Access Person may disclose material non-public</w:t>
      </w:r>
    </w:p>
    <w:p>
      <w:pPr>
        <w:pStyle w:val="TextBody"/>
        <w:bidi w:val="0"/>
        <w:jc w:val="both"/>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information to outsiders, including family members and others (tipping), who then trade in the securities or the securities the Company or of another company on the basis of that information.</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Rule 10b5-1 under the 1934 Act may permit pre-planned trading in securities about which an individual or entity possesses inside information. By documenting a 10b5-1 plan prior to the receipt of inside information, the Company or its Access Persons may be able to show that trades were not made based on the inside information. A 10b5-1 plan must be established in good faith prior to the receipt of inside information, must define specific trading parameters that will be followed consistently, and must be implemented by a third party. Neither the Company nor any Access Person may establish or trade on a 10b5-1 plan without written pre-approval from the CCO.</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pPr>
      <w:r>
        <w:rPr>
          <w:rFonts w:ascii="Times New Roman" w:hAnsi="Times New Roman"/>
          <w:i/>
          <w:color w:val="000000"/>
          <w:sz w:val="24"/>
        </w:rPr>
        <w:t>Gifts</w:t>
      </w:r>
      <w:r>
        <w:rPr>
          <w:rFonts w:ascii="Times New Roman" w:hAnsi="Times New Roman"/>
          <w:color w:val="000000"/>
          <w:sz w:val="24"/>
        </w:rPr>
        <w:t>. No Access Person may accept any gift, favor, or service from any person with whom he or she transacts business on behalf of the Company, if to do so would conflict with the Company's best interests or would impair the ability of such person to be completely disinterested when required, in the course of business, to make judgments and/or recommendations on behalf of the Company. See the BC Partners Gift and Entertainment Policy.</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60" w:after="283"/>
        <w:jc w:val="left"/>
        <w:rPr/>
      </w:pPr>
      <w:r>
        <w:rPr>
          <w:rFonts w:ascii="Times New Roman" w:hAnsi="Times New Roman"/>
          <w:i/>
          <w:color w:val="000000"/>
          <w:sz w:val="24"/>
        </w:rPr>
        <w:t>Initial Public Offerings and Limited Offerings</w:t>
      </w:r>
      <w:r>
        <w:rPr>
          <w:rFonts w:ascii="Times New Roman" w:hAnsi="Times New Roman"/>
          <w:color w:val="000000"/>
          <w:sz w:val="24"/>
        </w:rPr>
        <w:t>. Investment Personnel must obtain approval from the Designated Officer before directly or indirectly acquiring Beneficial Ownership in any Securities in an Initial Public Offering or Limited Offering. If the Designated Officer is the person whose acquisition requires such approval, he or she may obtain such approval from the President of the Company.</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P</w:t>
      </w:r>
      <w:r>
        <w:rPr>
          <w:rFonts w:ascii="Times New Roman" w:hAnsi="Times New Roman"/>
          <w:color w:val="000000"/>
          <w:sz w:val="19"/>
        </w:rPr>
        <w:t xml:space="preserve">ROCEDURES TO </w:t>
      </w:r>
      <w:r>
        <w:rPr>
          <w:rFonts w:ascii="Times New Roman" w:hAnsi="Times New Roman"/>
          <w:color w:val="000000"/>
          <w:sz w:val="24"/>
        </w:rPr>
        <w:t>I</w:t>
      </w:r>
      <w:r>
        <w:rPr>
          <w:rFonts w:ascii="Times New Roman" w:hAnsi="Times New Roman"/>
          <w:color w:val="000000"/>
          <w:sz w:val="19"/>
        </w:rPr>
        <w:t xml:space="preserve">MPLEMENT </w:t>
      </w:r>
      <w:r>
        <w:rPr>
          <w:rFonts w:ascii="Times New Roman" w:hAnsi="Times New Roman"/>
          <w:color w:val="000000"/>
          <w:sz w:val="24"/>
        </w:rPr>
        <w:t>C</w:t>
      </w:r>
      <w:r>
        <w:rPr>
          <w:rFonts w:ascii="Times New Roman" w:hAnsi="Times New Roman"/>
          <w:color w:val="000000"/>
          <w:sz w:val="19"/>
        </w:rPr>
        <w:t xml:space="preserve">ODE OF </w:t>
      </w:r>
      <w:r>
        <w:rPr>
          <w:rFonts w:ascii="Times New Roman" w:hAnsi="Times New Roman"/>
          <w:color w:val="000000"/>
          <w:sz w:val="24"/>
        </w:rPr>
        <w:t>E</w:t>
      </w:r>
      <w:r>
        <w:rPr>
          <w:rFonts w:ascii="Times New Roman" w:hAnsi="Times New Roman"/>
          <w:color w:val="000000"/>
          <w:sz w:val="19"/>
        </w:rPr>
        <w:t>THICS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following reporting, review and record keeping procedures have been established to assist in the avoidance of a violation of this Code of Ethics and to assist the Company in preventing, detecting, and imposing sanctions for violations of this Code of Ethics. Questions regarding these procedures should be directed to the Designated Officer.</w:t>
      </w:r>
    </w:p>
    <w:p>
      <w:pPr>
        <w:pStyle w:val="TextBody"/>
        <w:bidi w:val="0"/>
        <w:spacing w:before="10"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Reports to be Filed by Access Persons.</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pPr>
      <w:r>
        <w:rPr>
          <w:rFonts w:ascii="Times New Roman" w:hAnsi="Times New Roman"/>
          <w:color w:val="000000"/>
          <w:sz w:val="24"/>
        </w:rPr>
        <w:t xml:space="preserve">Except as noted below in the </w:t>
      </w:r>
      <w:r>
        <w:rPr>
          <w:rFonts w:ascii="Times New Roman" w:hAnsi="Times New Roman"/>
          <w:i/>
          <w:color w:val="000000"/>
          <w:sz w:val="24"/>
        </w:rPr>
        <w:t xml:space="preserve">Exceptions from Reporting Requirements </w:t>
      </w:r>
      <w:r>
        <w:rPr>
          <w:rFonts w:ascii="Times New Roman" w:hAnsi="Times New Roman"/>
          <w:color w:val="000000"/>
          <w:sz w:val="24"/>
        </w:rPr>
        <w:t>section, each Access Person of the Company must complete, sign and file with the Designated Officer:</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60" w:after="283"/>
        <w:jc w:val="left"/>
        <w:rPr/>
      </w:pPr>
      <w:r>
        <w:rPr>
          <w:rFonts w:ascii="Times New Roman" w:hAnsi="Times New Roman"/>
          <w:i/>
          <w:color w:val="000000"/>
          <w:sz w:val="24"/>
        </w:rPr>
        <w:t>Initial Holdings Report</w:t>
      </w:r>
      <w:r>
        <w:rPr>
          <w:rFonts w:ascii="Times New Roman" w:hAnsi="Times New Roman"/>
          <w:color w:val="000000"/>
          <w:sz w:val="24"/>
        </w:rPr>
        <w:t>. Not later than 10 days after he or she becomes an Access Person of the Company: an Initial Report of Covered Security Holdings shall be provided to the CCO, the information provided must be current as of a date no more than 45 days prior to the date on which he or she becomes an Access Person.</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1" w:after="283"/>
        <w:jc w:val="left"/>
        <w:rPr/>
      </w:pPr>
      <w:r>
        <w:rPr>
          <w:rFonts w:ascii="Times New Roman" w:hAnsi="Times New Roman"/>
          <w:i/>
          <w:color w:val="000000"/>
          <w:sz w:val="24"/>
        </w:rPr>
        <w:t>Quarterly Transaction Reports</w:t>
      </w:r>
      <w:r>
        <w:rPr>
          <w:rFonts w:ascii="Times New Roman" w:hAnsi="Times New Roman"/>
          <w:color w:val="000000"/>
          <w:sz w:val="24"/>
        </w:rPr>
        <w:t>. Not later than 30 days after the end of each calendar quarter: a Quarterly Report of Covered Security Transactions must be submitted to the CCO through the online compliance platform.</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60" w:after="283"/>
        <w:jc w:val="left"/>
        <w:rPr/>
      </w:pPr>
      <w:r>
        <w:rPr>
          <w:rFonts w:ascii="Times New Roman" w:hAnsi="Times New Roman"/>
          <w:i/>
          <w:color w:val="000000"/>
          <w:sz w:val="24"/>
        </w:rPr>
        <w:t>Annual Holdings Reports</w:t>
      </w:r>
      <w:r>
        <w:rPr>
          <w:rFonts w:ascii="Times New Roman" w:hAnsi="Times New Roman"/>
          <w:color w:val="000000"/>
          <w:sz w:val="24"/>
        </w:rPr>
        <w:t>. Not later than 30 days after the end of each fiscal year of the Company: an Annual Report of Covered Security Holdings, hedge funds</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and private placement positions must be submitted to the CCO through the online compliance platform, the information provided must be current as of a date no more than 45 days prior to the date on which the report is submitted.</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rFonts w:ascii="Times New Roman" w:hAnsi="Times New Roman"/>
          <w:i/>
          <w:color w:val="000000"/>
          <w:sz w:val="24"/>
        </w:rPr>
        <w:t>Account Statements</w:t>
      </w:r>
      <w:r>
        <w:rPr>
          <w:rFonts w:ascii="Times New Roman" w:hAnsi="Times New Roman"/>
          <w:color w:val="000000"/>
          <w:sz w:val="24"/>
        </w:rPr>
        <w:t>. Unless otherwise permitted by the Designated Officer, each Access Person (other than Disinterested Directors) must direct each broker, dealer, or bank at which he or she maintains an account in which securities are or were held for the direct or indirect benefit of such Access Person, to provide to the Designated Officer duplicate account statements for each such account. Alternatively, copies of such reports can be presented to the Designated Officer so long as there is a signed certification by the Access Person that such reports are true, current, complete and inclusive of their Covered Security Holdings and Transactions.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rFonts w:ascii="Times New Roman" w:hAnsi="Times New Roman"/>
          <w:i/>
          <w:color w:val="000000"/>
          <w:sz w:val="24"/>
        </w:rPr>
        <w:t>Disclaimer of Beneficial Ownership</w:t>
      </w:r>
      <w:r>
        <w:rPr>
          <w:rFonts w:ascii="Times New Roman" w:hAnsi="Times New Roman"/>
          <w:color w:val="000000"/>
          <w:sz w:val="24"/>
        </w:rPr>
        <w:t>. Any Access Person may at any time or from time to time deliver to the Designated Officer a statement that his or her filing of any report hereunder or the delivery on his or her behalf of any duplicate account statement required hereunder shall not be construed as an admission by such Access Person that he or she has any direct or indirect Beneficial Ownership in the Covered Security to which such report or such duplicate account statement relates.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i/>
          <w:color w:val="000000"/>
          <w:sz w:val="24"/>
        </w:rPr>
        <w:t xml:space="preserve">Review of Reports. </w:t>
      </w:r>
      <w:r>
        <w:rPr>
          <w:rFonts w:ascii="Times New Roman" w:hAnsi="Times New Roman"/>
          <w:color w:val="000000"/>
          <w:sz w:val="24"/>
        </w:rPr>
        <w:t>The Designated Officer shall review the reports filed, and account statements delivered, under this Code of Ethics to determine, if possible, whether any transactions disclosed therein constitute a violation of this Code of Ethics. Before making any determination that a violation has been committed by any Access Person, the Designated Officer shall afford the Access Person an opportunity to supply additional explanatory material.</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Exceptions From Reporting Requirements.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color w:val="000000"/>
          <w:sz w:val="24"/>
        </w:rPr>
        <w:t xml:space="preserve">A person need not make a report under the </w:t>
      </w:r>
      <w:r>
        <w:rPr>
          <w:rFonts w:ascii="Times New Roman" w:hAnsi="Times New Roman"/>
          <w:i/>
          <w:color w:val="000000"/>
          <w:sz w:val="24"/>
        </w:rPr>
        <w:t xml:space="preserve">Reports to be Filed by Access Persons </w:t>
      </w:r>
      <w:r>
        <w:rPr>
          <w:rFonts w:ascii="Times New Roman" w:hAnsi="Times New Roman"/>
          <w:color w:val="000000"/>
          <w:sz w:val="24"/>
        </w:rPr>
        <w:t>Section with respect to a Covered Security held in, or transactions effected for, any account over which the Access Person has no direct or indirect influence or control.</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 Disinterested Director who would be required to make a report solely by reason of being a director of the Company need not make:</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an initial holding report (Initial Holdings Report) or any annual holdings reports (Annual Holdings Report);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quarterly transaction report (Quarterly Transaction Reports) unless he or she knew or, in the ordinary course of fulfilling his or her duties as a director, should have known that during the 15-day period immediately before or after the director's transaction in a Covered Security, the Company purchased or sold, or the Company considered purchasing or selling, the Covered Security.</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 Access Person need not make a quarterly transaction report if the report would duplicate information contained in account statements (or broker trade confirmations) received by the Designated Officer in the time period required, if all of the information required is contained in the broker trade confirmations or account statements, or in the records of the Company.</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4"/>
        </w:rPr>
      </w:pPr>
      <w:r>
        <w:rPr>
          <w:rFonts w:ascii="Times New Roman" w:hAnsi="Times New Roman"/>
          <w:color w:val="000000"/>
          <w:sz w:val="24"/>
        </w:rPr>
        <w:t>An Access Person need not make a quarterly transaction report with respect to transactions effected pursuant to a program (such as a dividend reinvestment plan) in which periodic purchases (or sales) are made automatically in (or from) investment accounts in accordance with a predetermined schedule and allocation.</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Obligation to Report Violations.</w:t>
      </w:r>
    </w:p>
    <w:p>
      <w:pPr>
        <w:pStyle w:val="TextBody"/>
        <w:bidi w:val="0"/>
        <w:spacing w:before="5"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Every Access Person who becomes aware of a violation of this Code of Ethics must report it to the Designated Officer, who shall report it to appropriate management personnel of the Company. The Designated Officer and the management personnel to whom a violation is reported shall treat the report confidentially to the extent permitted by law, promptly investigate the matter, and take such disciplinary action as they consider appropriate under the circumstances. Any form of retaliation against a person who reports a violation is prohibited and constitutes a violation of this Code of Ethics. The Board of Directors of the Company must be notified, in a timely manner, of remedial action taken with respect to violations of the Code of Ethics. The Company has established an Ethics Hotline, as detailed in the Company’s Whistleblower Policy.</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Company Reports.</w:t>
      </w:r>
    </w:p>
    <w:p>
      <w:pPr>
        <w:pStyle w:val="TextBody"/>
        <w:bidi w:val="0"/>
        <w:spacing w:before="5"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 less often than annually, the Company must furnish to the Company's Board of Directors, and the Board of Directors must consider, a written report that:</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describes any issues arising under this Code of Ethics or the related procedures since the last report to the Board of Directors, including but not limited to, information about material violations of this Code of Ethics or related procedures and sanctions imposed in response to the material violations;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certifies that the Company has adopted procedures reasonably necessary to prevent Access Persons from violating this Code of Ethics.</w:t>
      </w:r>
    </w:p>
    <w:p>
      <w:pPr>
        <w:pStyle w:val="TextBody"/>
        <w:bidi w:val="0"/>
        <w:spacing w:before="5" w:after="283"/>
        <w:jc w:val="left"/>
        <w:rPr/>
      </w:pPr>
      <w:r>
        <w:rPr/>
        <w:t> </w:t>
      </w:r>
    </w:p>
    <w:p>
      <w:pPr>
        <w:pStyle w:val="TextBody"/>
        <w:bidi w:val="0"/>
        <w:spacing w:before="1" w:after="283"/>
        <w:jc w:val="left"/>
        <w:rPr>
          <w:rFonts w:ascii="Times New Roman" w:hAnsi="Times New Roman"/>
          <w:b/>
          <w:color w:val="000000"/>
          <w:sz w:val="24"/>
        </w:rPr>
      </w:pPr>
      <w:r>
        <w:rPr>
          <w:rFonts w:ascii="Times New Roman" w:hAnsi="Times New Roman"/>
          <w:b/>
          <w:color w:val="000000"/>
          <w:sz w:val="24"/>
        </w:rPr>
        <w:t>Records.</w:t>
      </w:r>
    </w:p>
    <w:p>
      <w:pPr>
        <w:pStyle w:val="TextBody"/>
        <w:bidi w:val="0"/>
        <w:spacing w:before="4"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The Company shall maintain records with respect to this Code of Ethics in the manner and to the extent set forth below, which records may be maintained digitally under the conditions described in Rule 31a−2(f)(1) under the Act, and shall be available for examination by the SEC or any representative of the SEC at any time and from time to time for reasonable periodic, special, or other examination:</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copy of this Code of Ethics and any other code of ethics of the Company that is, or at</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any time within the past five years has been, in effect shall be maintained in an easily accessible place;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record of any violation of this Code of Ethics, and of any action taken as a result of such violation shall be preserved in an easily accessible place for at least five years after the end of the fiscal year in which the violation occurs;</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copy of each report made by an Access Person as required by the Rule or pursuant to this Code of Ethics, including any information provided in lieu of the reports under paragraph (d)(2)(v) of the Rule, shall be maintained for at least five years after the end of the fiscal year in which it is made or the information is provided, the first two years in an easily accessible place;</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record of all persons within the past five years who are or were required to make reports pursuant to paragraph (d) of the Rule or this Code of Ethics, or who are or were responsible for reviewing those reports, shall be maintained in an easily accessible place; and</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A record of any decision, and the reasons supporting the decision, to approve the acquisition by investment personnel of securities in an Initial Public Offering or in a Limited Offering shall be maintained for at least five years after the end of the fiscal year in which such acquisition is approved.</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Confidentiality.</w:t>
      </w:r>
    </w:p>
    <w:p>
      <w:pPr>
        <w:pStyle w:val="TextBody"/>
        <w:bidi w:val="0"/>
        <w:spacing w:before="5"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All reports, duplicate account statements and other information filed or delivered to the Designated Officer or furnished to any other person pursuant to this Code of Ethics shall be treated as confidential, but are subject to review as provided herein, by the Company’s advisers, and by representatives of the SEC.</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19"/>
        </w:rPr>
        <w:t>ANCTIONS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Upon determination that a violation of this Code of Ethics has occurred, the appropriate management personnel of the Company may impose such sanctions as they deem appropriate, including, among other things, a letter of censure or suspension or termination of the employment of the violator. Violations of this Code of Ethics and any sanctions imposed with respect thereto shall be reported in a timely manner to the Board of Directors of the Company.</w:t>
      </w:r>
    </w:p>
    <w:p>
      <w:pPr>
        <w:pStyle w:val="TextBody"/>
        <w:bidi w:val="0"/>
        <w:spacing w:before="60" w:after="283"/>
        <w:jc w:val="left"/>
        <w:rPr>
          <w:rFonts w:ascii="Times New Roman" w:hAnsi="Times New Roman"/>
          <w:sz w:val="20"/>
        </w:rPr>
      </w:pPr>
      <w:bookmarkStart w:id="42" w:name="acknowledgement_of_receipt_and_annual_ce"/>
      <w:bookmarkEnd w:id="42"/>
      <w:r>
        <w:rPr>
          <w:rFonts w:ascii="Times New Roman" w:hAnsi="Times New Roman"/>
          <w:color w:val="000000"/>
          <w:sz w:val="24"/>
        </w:rPr>
        <w:t>A</w:t>
      </w:r>
      <w:r>
        <w:rPr>
          <w:rFonts w:ascii="Times New Roman" w:hAnsi="Times New Roman"/>
          <w:color w:val="000000"/>
          <w:sz w:val="19"/>
        </w:rPr>
        <w:t xml:space="preserve">CKNOWLEDGEMENT OF </w:t>
      </w:r>
      <w:r>
        <w:rPr>
          <w:rFonts w:ascii="Times New Roman" w:hAnsi="Times New Roman"/>
          <w:color w:val="000000"/>
          <w:sz w:val="24"/>
        </w:rPr>
        <w:t>R</w:t>
      </w:r>
      <w:r>
        <w:rPr>
          <w:rFonts w:ascii="Times New Roman" w:hAnsi="Times New Roman"/>
          <w:color w:val="000000"/>
          <w:sz w:val="19"/>
        </w:rPr>
        <w:t xml:space="preserve">ECEIPT AND </w:t>
      </w:r>
      <w:r>
        <w:rPr>
          <w:rFonts w:ascii="Times New Roman" w:hAnsi="Times New Roman"/>
          <w:color w:val="000000"/>
          <w:sz w:val="24"/>
        </w:rPr>
        <w:t>A</w:t>
      </w:r>
      <w:r>
        <w:rPr>
          <w:rFonts w:ascii="Times New Roman" w:hAnsi="Times New Roman"/>
          <w:color w:val="000000"/>
          <w:sz w:val="19"/>
        </w:rPr>
        <w:t xml:space="preserve">NNUAL </w:t>
      </w:r>
      <w:r>
        <w:rPr>
          <w:rFonts w:ascii="Times New Roman" w:hAnsi="Times New Roman"/>
          <w:color w:val="000000"/>
          <w:sz w:val="24"/>
        </w:rPr>
        <w:t>C</w:t>
      </w:r>
      <w:r>
        <w:rPr>
          <w:rFonts w:ascii="Times New Roman" w:hAnsi="Times New Roman"/>
          <w:color w:val="000000"/>
          <w:sz w:val="19"/>
        </w:rPr>
        <w:t xml:space="preserve">ERTIFICATION OF </w:t>
      </w:r>
      <w:r>
        <w:rPr>
          <w:rFonts w:ascii="Times New Roman" w:hAnsi="Times New Roman"/>
          <w:color w:val="000000"/>
          <w:sz w:val="24"/>
        </w:rPr>
        <w:t>C</w:t>
      </w:r>
      <w:r>
        <w:rPr>
          <w:rFonts w:ascii="Times New Roman" w:hAnsi="Times New Roman"/>
          <w:color w:val="000000"/>
          <w:sz w:val="19"/>
        </w:rPr>
        <w:t>OMPLIANCE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Upon becoming an Access Person, annually thereafter, and whenever this Code of Ethics is amended, each Access Person shall sign and deliver to the Designated Officer an acknowledgement of receipt and certification of compliance with this Code of Ethics and any amendments thereto in the form attached hereto as Exhibit A.</w:t>
      </w:r>
    </w:p>
    <w:p>
      <w:pPr>
        <w:pStyle w:val="TextBody"/>
        <w:bidi w:val="0"/>
        <w:jc w:val="lef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24"/>
        </w:rPr>
        <w:t>E</w:t>
      </w:r>
      <w:r>
        <w:rPr>
          <w:rFonts w:ascii="Times New Roman" w:hAnsi="Times New Roman"/>
          <w:color w:val="000000"/>
          <w:sz w:val="19"/>
        </w:rPr>
        <w:t xml:space="preserve">XHIBIT </w:t>
      </w:r>
      <w:r>
        <w:rPr>
          <w:rFonts w:ascii="Times New Roman" w:hAnsi="Times New Roman"/>
          <w:color w:val="000000"/>
          <w:sz w:val="24"/>
        </w:rPr>
        <w:t>A: A</w:t>
      </w:r>
      <w:r>
        <w:rPr>
          <w:rFonts w:ascii="Times New Roman" w:hAnsi="Times New Roman"/>
          <w:color w:val="000000"/>
          <w:sz w:val="19"/>
        </w:rPr>
        <w:t xml:space="preserve">CKNOWLEDGEMENT AND </w:t>
      </w:r>
      <w:r>
        <w:rPr>
          <w:rFonts w:ascii="Times New Roman" w:hAnsi="Times New Roman"/>
          <w:color w:val="000000"/>
          <w:sz w:val="24"/>
        </w:rPr>
        <w:t>C</w:t>
      </w:r>
      <w:r>
        <w:rPr>
          <w:rFonts w:ascii="Times New Roman" w:hAnsi="Times New Roman"/>
          <w:color w:val="000000"/>
          <w:sz w:val="19"/>
        </w:rPr>
        <w:t>ERTIFICATION</w:t>
      </w:r>
    </w:p>
    <w:p>
      <w:pPr>
        <w:pStyle w:val="TextBody"/>
        <w:bidi w:val="0"/>
        <w:spacing w:before="1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acknowledge receipt of the Code of Ethics of [Portman Ridge Finance Corporation][Logan Ridge Finance Corporation] dated July 1, 2021, as amended. I have read and understand the Code of Ethics and agree to be governed by it at all times. Further, if I have been subject to the Code of Ethics during the preceding year, I certify that I have complied with the requirements of the Code of Ethics and have disclosed or reported all personal securities transactions required to be disclosed or reported pursuant to the requirements of the Code of Ethics.</w:t>
      </w:r>
    </w:p>
    <w:p>
      <w:pPr>
        <w:pStyle w:val="TextBody"/>
        <w:bidi w:val="0"/>
        <w:jc w:val="left"/>
        <w:rPr/>
      </w:pPr>
      <w:r>
        <w:rPr/>
        <w:t> </w:t>
      </w:r>
    </w:p>
    <w:p>
      <w:pPr>
        <w:pStyle w:val="TextBody"/>
        <w:bidi w:val="0"/>
        <w:jc w:val="left"/>
        <w:rPr/>
      </w:pPr>
      <w:r>
        <w:rPr/>
        <w:t> </w:t>
      </w:r>
    </w:p>
    <w:p>
      <w:pPr>
        <w:pStyle w:val="TextBody"/>
        <w:bidi w:val="0"/>
        <w:spacing w:before="4" w:after="283"/>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(please print name)</w:t>
      </w:r>
    </w:p>
    <w:p>
      <w:pPr>
        <w:pStyle w:val="TextBody"/>
        <w:bidi w:val="0"/>
        <w:jc w:val="left"/>
        <w:rPr/>
      </w:pPr>
      <w:r>
        <w:rPr/>
        <w:t> </w:t>
      </w:r>
    </w:p>
    <w:p>
      <w:pPr>
        <w:pStyle w:val="TextBody"/>
        <w:bidi w:val="0"/>
        <w:jc w:val="left"/>
        <w:rPr/>
      </w:pPr>
      <w:r>
        <w:rPr/>
        <w:t> </w:t>
      </w:r>
    </w:p>
    <w:p>
      <w:pPr>
        <w:pStyle w:val="TextBody"/>
        <w:bidi w:val="0"/>
        <w:spacing w:before="5" w:after="283"/>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(date)</w:t>
      </w:r>
    </w:p>
    <w:p>
      <w:pPr>
        <w:pStyle w:val="TextBody"/>
        <w:bidi w:val="0"/>
        <w:jc w:val="right"/>
        <w:rPr/>
      </w:pPr>
      <w:r>
        <w:rPr/>
        <w:t> </w:t>
      </w:r>
    </w:p>
    <w:p>
      <w:pPr>
        <w:pStyle w:val="TextBody"/>
        <w:bidi w:val="0"/>
        <w:jc w:val="left"/>
        <w:rPr/>
      </w:pPr>
      <w:r>
        <w:rPr/>
        <w:t> </w:t>
      </w:r>
    </w:p>
    <w:p>
      <w:pPr>
        <w:pStyle w:val="TextBody"/>
        <w:bidi w:val="0"/>
        <w:spacing w:before="10" w:after="283"/>
        <w:ind w:left="60" w:right="0" w:hanging="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43" w:name="lrfc-ex21_1.htm"/>
      <w:bookmarkStart w:id="44" w:name="kslrfcex21_1"/>
      <w:bookmarkEnd w:id="43"/>
      <w:bookmarkEnd w:id="44"/>
      <w:r>
        <w:rPr>
          <w:rFonts w:ascii="Times New Roman" w:hAnsi="Times New Roman"/>
          <w:b/>
          <w:color w:val="000000"/>
          <w:sz w:val="16"/>
        </w:rPr>
        <w:t>Exhibit 21.1​</w:t>
      </w:r>
      <w:r>
        <w:br w:type="page"/>
      </w:r>
    </w:p>
    <w:p>
      <w:pPr>
        <w:pStyle w:val="TextBody"/>
        <w:bidi w:val="0"/>
        <w:jc w:val="center"/>
        <w:rPr>
          <w:rFonts w:ascii="Times New Roman" w:hAnsi="Times New Roman"/>
          <w:b/>
          <w:color w:val="000000"/>
          <w:sz w:val="16"/>
        </w:rPr>
      </w:pPr>
      <w:r>
        <w:rPr>
          <w:rFonts w:ascii="Times New Roman" w:hAnsi="Times New Roman"/>
          <w:b/>
          <w:color w:val="000000"/>
          <w:sz w:val="16"/>
        </w:rPr>
        <w:t>List of Subsidiaries</w:t>
      </w:r>
    </w:p>
    <w:p>
      <w:pPr>
        <w:pStyle w:val="TextBody"/>
        <w:bidi w:val="0"/>
        <w:spacing w:before="160" w:after="283"/>
        <w:jc w:val="left"/>
        <w:rPr>
          <w:rFonts w:ascii="Times New Roman" w:hAnsi="Times New Roman"/>
          <w:color w:val="000000"/>
          <w:sz w:val="16"/>
        </w:rPr>
      </w:pPr>
      <w:r>
        <w:rPr>
          <w:rFonts w:ascii="Times New Roman" w:hAnsi="Times New Roman"/>
          <w:color w:val="000000"/>
          <w:sz w:val="16"/>
        </w:rPr>
        <w:t>CapitalSouth Partners Fund II Limited Partnership (North Carolina)</w:t>
        <w:br/>
        <w:t>CapitalSouth Partners F-II, LLC (North Carolina)</w:t>
        <w:br/>
        <w:t>CapitalSouth Fund III, L.P. (Delaware)</w:t>
        <w:br/>
        <w:t>CapitalSouth F-III, LLC (North Carolina)</w:t>
        <w:br/>
        <w:t>CPTA Master Blocker, Inc. (Georgia)</w:t>
        <w:br/>
        <w:t>Capitala Business Lending, LLC (Delaware)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5" w:name="lrfc-ex31_1.htm"/>
      <w:bookmarkStart w:id="46" w:name="kslrfcex31_1"/>
      <w:bookmarkEnd w:id="45"/>
      <w:bookmarkEnd w:id="46"/>
      <w:r>
        <w:rPr>
          <w:rFonts w:ascii="Times New Roman" w:hAnsi="Times New Roman"/>
          <w:b/>
          <w:color w:val="231F20"/>
          <w:sz w:val="16"/>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Executive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Ted Goldthorpe,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Logan Ridge Finance Corporation;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26, 2024</w:t>
      </w:r>
    </w:p>
    <w:p>
      <w:pPr>
        <w:pStyle w:val="TextBody"/>
        <w:bidi w:val="0"/>
        <w:jc w:val="left"/>
        <w:rPr/>
      </w:pPr>
      <w:r>
        <w:rPr/>
        <w:t> </w:t>
      </w:r>
    </w:p>
    <w:tbl>
      <w:tblPr>
        <w:tblW w:w="2937" w:type="dxa"/>
        <w:jc w:val="left"/>
        <w:tblInd w:w="0" w:type="dxa"/>
        <w:tblLayout w:type="fixed"/>
        <w:tblCellMar>
          <w:top w:w="28" w:type="dxa"/>
          <w:left w:w="28" w:type="dxa"/>
          <w:bottom w:w="28" w:type="dxa"/>
          <w:right w:w="28" w:type="dxa"/>
        </w:tblCellMar>
      </w:tblPr>
      <w:tblGrid>
        <w:gridCol w:w="161"/>
        <w:gridCol w:w="2776"/>
      </w:tblGrid>
      <w:tr>
        <w:trPr/>
        <w:tc>
          <w:tcPr>
            <w:tcW w:w="16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7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Ted Goldthorpe</w:t>
            </w:r>
          </w:p>
        </w:tc>
      </w:tr>
      <w:tr>
        <w:trPr/>
        <w:tc>
          <w:tcPr>
            <w:tcW w:w="161"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Ted Goldthorpe</w:t>
            </w:r>
          </w:p>
        </w:tc>
      </w:tr>
      <w:tr>
        <w:trPr/>
        <w:tc>
          <w:tcPr>
            <w:tcW w:w="161"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Chief Executive Officer and President</w:t>
            </w:r>
          </w:p>
        </w:tc>
      </w:tr>
      <w:tr>
        <w:trPr/>
        <w:tc>
          <w:tcPr>
            <w:tcW w:w="161"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Executive Officer)</w:t>
            </w:r>
          </w:p>
        </w:tc>
      </w:tr>
      <w:tr>
        <w:trPr/>
        <w:tc>
          <w:tcPr>
            <w:tcW w:w="161" w:type="dxa"/>
            <w:tcBorders/>
            <w:vAlign w:val="center"/>
          </w:tcPr>
          <w:p>
            <w:pPr>
              <w:pStyle w:val="TableContents"/>
              <w:bidi w:val="0"/>
              <w:spacing w:before="0" w:after="283"/>
              <w:jc w:val="left"/>
              <w:rPr/>
            </w:pPr>
            <w:r>
              <w:rPr/>
              <w:t> </w:t>
            </w:r>
          </w:p>
        </w:tc>
        <w:tc>
          <w:tcPr>
            <w:tcW w:w="2776"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Logan Ridge Finance Corporation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7" w:name="lrfc-ex31_2.htm"/>
      <w:bookmarkStart w:id="48" w:name="kslrfcex31_2"/>
      <w:bookmarkEnd w:id="47"/>
      <w:bookmarkEnd w:id="48"/>
      <w:r>
        <w:rPr>
          <w:rFonts w:ascii="Times New Roman" w:hAnsi="Times New Roman"/>
          <w:b/>
          <w:color w:val="231F20"/>
          <w:sz w:val="16"/>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FINANCIAL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Jason Roos,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Logan Ridge Finance Corporation;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231F20"/>
          <w:sz w:val="16"/>
        </w:rPr>
      </w:pPr>
      <w:r>
        <w:rPr>
          <w:rFonts w:ascii="Times New Roman" w:hAnsi="Times New Roman"/>
          <w:color w:val="231F20"/>
          <w:sz w:val="16"/>
        </w:rPr>
        <w:t>Date: March 26, 2024</w:t>
      </w:r>
    </w:p>
    <w:p>
      <w:pPr>
        <w:pStyle w:val="TextBody"/>
        <w:bidi w:val="0"/>
        <w:jc w:val="left"/>
        <w:rPr/>
      </w:pPr>
      <w:r>
        <w:rPr/>
        <w:t> </w:t>
      </w:r>
    </w:p>
    <w:tbl>
      <w:tblPr>
        <w:tblW w:w="2682" w:type="dxa"/>
        <w:jc w:val="left"/>
        <w:tblInd w:w="0" w:type="dxa"/>
        <w:tblLayout w:type="fixed"/>
        <w:tblCellMar>
          <w:top w:w="28" w:type="dxa"/>
          <w:left w:w="28" w:type="dxa"/>
          <w:bottom w:w="28" w:type="dxa"/>
          <w:right w:w="28" w:type="dxa"/>
        </w:tblCellMar>
      </w:tblPr>
      <w:tblGrid>
        <w:gridCol w:w="161"/>
        <w:gridCol w:w="2521"/>
      </w:tblGrid>
      <w:tr>
        <w:trPr/>
        <w:tc>
          <w:tcPr>
            <w:tcW w:w="1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Jason Roos</w:t>
            </w:r>
          </w:p>
        </w:tc>
      </w:tr>
      <w:tr>
        <w:trPr/>
        <w:tc>
          <w:tcPr>
            <w:tcW w:w="16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Jason Roos</w:t>
            </w:r>
          </w:p>
        </w:tc>
      </w:tr>
      <w:tr>
        <w:trPr/>
        <w:tc>
          <w:tcPr>
            <w:tcW w:w="16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Chief Financial Officer</w:t>
            </w:r>
          </w:p>
        </w:tc>
      </w:tr>
      <w:tr>
        <w:trPr/>
        <w:tc>
          <w:tcPr>
            <w:tcW w:w="16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Financial Officer)</w:t>
            </w:r>
          </w:p>
        </w:tc>
      </w:tr>
      <w:tr>
        <w:trPr/>
        <w:tc>
          <w:tcPr>
            <w:tcW w:w="161"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Logan Ridge Finance Corporation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9" w:name="lrfc-ex32_1.htm"/>
      <w:bookmarkStart w:id="50" w:name="kslrfcex32_1"/>
      <w:bookmarkEnd w:id="49"/>
      <w:bookmarkEnd w:id="50"/>
      <w:r>
        <w:rPr>
          <w:rFonts w:ascii="Times New Roman" w:hAnsi="Times New Roman"/>
          <w:b/>
          <w:color w:val="231F20"/>
          <w:sz w:val="16"/>
        </w:rPr>
        <w:t>Exhibit 32.1</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Executive Officer</w:t>
        <w:br/>
        <w:t>Pursuant to 18 U.S.C. SECTION 1350, AS ADOPTED</w:t>
        <w:br/>
        <w:t>Pursuant to Section 906 of the Sarbanes-Oxley Act of 2002</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I, Ted Goldthorpe, the Chief Executive Officer and President, in connection with the Annual Report of Logan Ridge Finance Corporation (the “Company”), on Form 10-K for the year ended December 31, 2023, as filed with the U.S. Securities and Exchange Commission on the date hereof (the “Annual Report”), certify, pursuant to Section 906 of the Sarbanes-Oxley Act of 2002, that:</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26, 2024</w:t>
      </w:r>
    </w:p>
    <w:p>
      <w:pPr>
        <w:pStyle w:val="TextBody"/>
        <w:bidi w:val="0"/>
        <w:jc w:val="left"/>
        <w:rPr/>
      </w:pPr>
      <w:r>
        <w:rPr/>
        <w:t> </w:t>
      </w:r>
    </w:p>
    <w:tbl>
      <w:tblPr>
        <w:tblW w:w="3082" w:type="dxa"/>
        <w:jc w:val="left"/>
        <w:tblInd w:w="0" w:type="dxa"/>
        <w:tblLayout w:type="fixed"/>
        <w:tblCellMar>
          <w:top w:w="28" w:type="dxa"/>
          <w:left w:w="28" w:type="dxa"/>
          <w:bottom w:w="28" w:type="dxa"/>
          <w:right w:w="28" w:type="dxa"/>
        </w:tblCellMar>
      </w:tblPr>
      <w:tblGrid>
        <w:gridCol w:w="161"/>
        <w:gridCol w:w="2615"/>
        <w:gridCol w:w="115"/>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306"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9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61"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c>
          <w:tcPr>
            <w:tcW w:w="306"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730" w:type="dxa"/>
            <w:gridSpan w:val="2"/>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c>
          <w:tcPr>
            <w:tcW w:w="306"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Ridge Finance Corporation</w:t>
            </w:r>
          </w:p>
        </w:tc>
        <w:tc>
          <w:tcPr>
            <w:tcW w:w="306" w:type="dxa"/>
            <w:gridSpan w:val="2"/>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51" w:name="lrfc-ex32_2.htm"/>
      <w:bookmarkStart w:id="52" w:name="kslrfcex32_2"/>
      <w:bookmarkEnd w:id="51"/>
      <w:bookmarkEnd w:id="52"/>
      <w:r>
        <w:rPr>
          <w:rFonts w:ascii="Times New Roman" w:hAnsi="Times New Roman"/>
          <w:b/>
          <w:color w:val="231F20"/>
          <w:sz w:val="16"/>
        </w:rPr>
        <w:t>Exhibit 32.2</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FINANCIAL Officer</w:t>
        <w:br/>
        <w:t>Pursuant to 18 U.S.C. SECTION 1350, AS ADOPTED</w:t>
        <w:br/>
        <w:t>Pursuant to Section 906 of the Sarbanes-Oxley Act of 2002</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I, Jason Roos, the Chief Financial Officer, in connection with the Annual Report of Logan Ridge Finance Corporation (the “Company”), on Form 10-K for the year ended December 31, 2023, as filed with the U.S. Securities and Exchange Commission on the date hereof (the “Annual Report”), certify, pursuant to Section 906 of the Sarbanes-Oxley Act of 2002, that:</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26, 2024</w:t>
      </w:r>
    </w:p>
    <w:p>
      <w:pPr>
        <w:pStyle w:val="TextBody"/>
        <w:bidi w:val="0"/>
        <w:jc w:val="left"/>
        <w:rPr/>
      </w:pPr>
      <w:r>
        <w:rPr/>
        <w:t> </w:t>
      </w:r>
    </w:p>
    <w:tbl>
      <w:tblPr>
        <w:tblW w:w="2937" w:type="dxa"/>
        <w:jc w:val="left"/>
        <w:tblInd w:w="0" w:type="dxa"/>
        <w:tblLayout w:type="fixed"/>
        <w:tblCellMar>
          <w:top w:w="28" w:type="dxa"/>
          <w:left w:w="28" w:type="dxa"/>
          <w:bottom w:w="28" w:type="dxa"/>
          <w:right w:w="28" w:type="dxa"/>
        </w:tblCellMar>
      </w:tblPr>
      <w:tblGrid>
        <w:gridCol w:w="161"/>
        <w:gridCol w:w="2476"/>
        <w:gridCol w:w="10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pPr>
            <w:r>
              <w:rPr/>
              <w:t> </w:t>
            </w:r>
          </w:p>
        </w:tc>
        <w:tc>
          <w:tcPr>
            <w:tcW w:w="300"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77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Jason Roos</w:t>
            </w:r>
          </w:p>
        </w:tc>
      </w:tr>
      <w:tr>
        <w:trPr/>
        <w:tc>
          <w:tcPr>
            <w:tcW w:w="161"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Jason Roos</w:t>
            </w:r>
          </w:p>
        </w:tc>
        <w:tc>
          <w:tcPr>
            <w:tcW w:w="300"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585" w:type="dxa"/>
            <w:gridSpan w:val="2"/>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c>
          <w:tcPr>
            <w:tcW w:w="300"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Ridge Finance Corporation</w:t>
            </w:r>
          </w:p>
        </w:tc>
        <w:tc>
          <w:tcPr>
            <w:tcW w:w="300" w:type="dxa"/>
            <w:gridSpan w:val="2"/>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53" w:name="lrfc-ex97_1.htm"/>
      <w:bookmarkStart w:id="54" w:name="kslrfcex97_1"/>
      <w:bookmarkEnd w:id="53"/>
      <w:bookmarkEnd w:id="54"/>
      <w:r>
        <w:rPr>
          <w:rFonts w:ascii="Times New Roman" w:hAnsi="Times New Roman"/>
          <w:b/>
          <w:color w:val="000000"/>
          <w:sz w:val="16"/>
        </w:rPr>
        <w:t>Exhibit 97.1</w:t>
      </w:r>
      <w:r>
        <w:br w:type="page"/>
      </w:r>
    </w:p>
    <w:p>
      <w:pPr>
        <w:pStyle w:val="TextBody"/>
        <w:bidi w:val="0"/>
        <w:spacing w:before="240" w:after="283"/>
        <w:jc w:val="center"/>
        <w:rPr>
          <w:rFonts w:ascii="Times New Roman" w:hAnsi="Times New Roman"/>
          <w:b/>
          <w:caps/>
          <w:color w:val="000000"/>
          <w:sz w:val="16"/>
        </w:rPr>
      </w:pPr>
      <w:r>
        <w:rPr>
          <w:rFonts w:ascii="Times New Roman" w:hAnsi="Times New Roman"/>
          <w:b/>
          <w:caps/>
          <w:color w:val="000000"/>
          <w:sz w:val="16"/>
        </w:rPr>
        <w:t>PORTMAN RIDGE FINANCE CORPORATION</w:t>
        <w:br/>
        <w:t>Logan Ridge Finance Corporation</w:t>
      </w:r>
    </w:p>
    <w:p>
      <w:pPr>
        <w:pStyle w:val="TextBody"/>
        <w:bidi w:val="0"/>
        <w:spacing w:before="0" w:after="240"/>
        <w:jc w:val="center"/>
        <w:rPr>
          <w:rFonts w:ascii="Times New Roman" w:hAnsi="Times New Roman"/>
          <w:sz w:val="20"/>
        </w:rPr>
      </w:pPr>
      <w:r>
        <w:rPr>
          <w:rFonts w:ascii="Times New Roman" w:hAnsi="Times New Roman"/>
          <w:color w:val="000000"/>
          <w:sz w:val="16"/>
        </w:rPr>
        <w:br/>
      </w:r>
      <w:r>
        <w:rPr>
          <w:rFonts w:ascii="Times New Roman" w:hAnsi="Times New Roman"/>
          <w:b/>
          <w:color w:val="000000"/>
          <w:sz w:val="16"/>
        </w:rPr>
        <w:t>CLAWBACK POLICY</w:t>
      </w:r>
    </w:p>
    <w:p>
      <w:pPr>
        <w:pStyle w:val="TextBody"/>
        <w:bidi w:val="0"/>
        <w:spacing w:before="0" w:after="240"/>
        <w:jc w:val="both"/>
        <w:rPr>
          <w:rFonts w:ascii="Times New Roman" w:hAnsi="Times New Roman"/>
          <w:sz w:val="20"/>
        </w:rPr>
      </w:pPr>
      <w:r>
        <w:rPr>
          <w:rFonts w:ascii="Times New Roman" w:hAnsi="Times New Roman"/>
          <w:color w:val="000000"/>
          <w:sz w:val="16"/>
        </w:rPr>
        <w:t>The Board of Directors (the “</w:t>
      </w:r>
      <w:r>
        <w:rPr>
          <w:rFonts w:ascii="Times New Roman" w:hAnsi="Times New Roman"/>
          <w:b/>
          <w:i/>
          <w:color w:val="000000"/>
          <w:sz w:val="16"/>
        </w:rPr>
        <w:t>Board</w:t>
      </w:r>
      <w:r>
        <w:rPr>
          <w:rFonts w:ascii="Times New Roman" w:hAnsi="Times New Roman"/>
          <w:color w:val="000000"/>
          <w:sz w:val="20"/>
        </w:rPr>
        <w:t>”</w:t>
      </w:r>
      <w:r>
        <w:rPr>
          <w:rFonts w:ascii="Times New Roman" w:hAnsi="Times New Roman"/>
          <w:color w:val="000000"/>
          <w:sz w:val="16"/>
        </w:rPr>
        <w:t>) of each of Portman Ridge Finance Corporation and Logan Ridge Finance Corporation (each, the “</w:t>
      </w:r>
      <w:r>
        <w:rPr>
          <w:rFonts w:ascii="Times New Roman" w:hAnsi="Times New Roman"/>
          <w:b/>
          <w:i/>
          <w:color w:val="000000"/>
          <w:sz w:val="16"/>
        </w:rPr>
        <w:t>Company</w:t>
      </w:r>
      <w:r>
        <w:rPr>
          <w:rFonts w:ascii="Times New Roman" w:hAnsi="Times New Roman"/>
          <w:color w:val="000000"/>
          <w:sz w:val="20"/>
        </w:rPr>
        <w:t>”</w:t>
      </w:r>
      <w:r>
        <w:rPr>
          <w:rFonts w:ascii="Times New Roman" w:hAnsi="Times New Roman"/>
          <w:color w:val="000000"/>
          <w:sz w:val="16"/>
        </w:rPr>
        <w:t>) has adopted this Clawback Policy (the “</w:t>
      </w:r>
      <w:r>
        <w:rPr>
          <w:rFonts w:ascii="Times New Roman" w:hAnsi="Times New Roman"/>
          <w:b/>
          <w:i/>
          <w:color w:val="000000"/>
          <w:sz w:val="16"/>
        </w:rPr>
        <w:t>Policy</w:t>
      </w:r>
      <w:r>
        <w:rPr>
          <w:rFonts w:ascii="Times New Roman" w:hAnsi="Times New Roman"/>
          <w:color w:val="000000"/>
          <w:sz w:val="20"/>
        </w:rPr>
        <w:t>”</w:t>
      </w:r>
      <w:r>
        <w:rPr>
          <w:rFonts w:ascii="Times New Roman" w:hAnsi="Times New Roman"/>
          <w:color w:val="000000"/>
          <w:sz w:val="16"/>
        </w:rPr>
        <w:t>) to comply with Section 10D of the Securities Exchange Act of 1934, as amended (the “</w:t>
      </w:r>
      <w:r>
        <w:rPr>
          <w:rFonts w:ascii="Times New Roman" w:hAnsi="Times New Roman"/>
          <w:b/>
          <w:i/>
          <w:color w:val="000000"/>
          <w:sz w:val="16"/>
        </w:rPr>
        <w:t>Exchange Act</w:t>
      </w:r>
      <w:r>
        <w:rPr>
          <w:rFonts w:ascii="Times New Roman" w:hAnsi="Times New Roman"/>
          <w:color w:val="000000"/>
          <w:sz w:val="20"/>
        </w:rPr>
        <w:t>”</w:t>
      </w:r>
      <w:r>
        <w:rPr>
          <w:rFonts w:ascii="Times New Roman" w:hAnsi="Times New Roman"/>
          <w:color w:val="000000"/>
          <w:sz w:val="16"/>
        </w:rPr>
        <w:t>), Rule 10D-1 promulgated under the Exchange Act (“</w:t>
      </w:r>
      <w:r>
        <w:rPr>
          <w:rFonts w:ascii="Times New Roman" w:hAnsi="Times New Roman"/>
          <w:b/>
          <w:i/>
          <w:color w:val="000000"/>
          <w:sz w:val="16"/>
        </w:rPr>
        <w:t>Rule 10D-1</w:t>
      </w:r>
      <w:r>
        <w:rPr>
          <w:rFonts w:ascii="Times New Roman" w:hAnsi="Times New Roman"/>
          <w:color w:val="000000"/>
          <w:sz w:val="20"/>
        </w:rPr>
        <w:t>”</w:t>
      </w:r>
      <w:r>
        <w:rPr>
          <w:rFonts w:ascii="Times New Roman" w:hAnsi="Times New Roman"/>
          <w:color w:val="000000"/>
          <w:sz w:val="16"/>
        </w:rPr>
        <w:t>) and Rule 5608 of the corporate governance rules of The Nasdaq Stock Market (the “</w:t>
      </w:r>
      <w:r>
        <w:rPr>
          <w:rFonts w:ascii="Times New Roman" w:hAnsi="Times New Roman"/>
          <w:b/>
          <w:i/>
          <w:color w:val="000000"/>
          <w:sz w:val="16"/>
        </w:rPr>
        <w:t>Listing Standards</w:t>
      </w:r>
      <w:r>
        <w:rPr>
          <w:rFonts w:ascii="Times New Roman" w:hAnsi="Times New Roman"/>
          <w:color w:val="000000"/>
          <w:sz w:val="20"/>
        </w:rPr>
        <w:t>”</w:t>
      </w:r>
      <w:r>
        <w:rPr>
          <w:rFonts w:ascii="Times New Roman" w:hAnsi="Times New Roman"/>
          <w:color w:val="000000"/>
          <w:sz w:val="16"/>
        </w:rPr>
        <w:t>). This Policy provides for the recovery of Incentive-Based Compensation (as defined below) received by Covered Executives (as defined below), if any, in the event of an Accounting Restatement (as defined below) and shall be interpreted to be consistent with, Section 10D of the Exchange Act, Rule 10D-1 and the Listing Standards.</w:t>
      </w:r>
    </w:p>
    <w:p>
      <w:pPr>
        <w:pStyle w:val="TextBody"/>
        <w:bidi w:val="0"/>
        <w:spacing w:before="0" w:after="240"/>
        <w:jc w:val="both"/>
        <w:rPr>
          <w:rFonts w:ascii="Times New Roman" w:hAnsi="Times New Roman"/>
          <w:sz w:val="20"/>
        </w:rPr>
      </w:pPr>
      <w:r>
        <w:rPr>
          <w:rFonts w:ascii="Times New Roman" w:hAnsi="Times New Roman"/>
          <w:color w:val="000000"/>
          <w:sz w:val="16"/>
        </w:rPr>
        <w:t>The Company, as an externally-managed business development company regulated under the Investment Company Act of 1940, as amended, currently neither pays nor has any plans to pay or otherwise award Incentive-Based Compensation to Covered Executives, but nevertheless has designed and implemented this Policy to comply with Section 10D of the Exchange</w:t>
      </w:r>
      <w:r>
        <w:rPr>
          <w:rFonts w:ascii="Times New Roman" w:hAnsi="Times New Roman"/>
          <w:color w:val="000000"/>
          <w:sz w:val="20"/>
        </w:rPr>
        <w:t xml:space="preserve"> </w:t>
      </w:r>
      <w:r>
        <w:rPr>
          <w:rFonts w:ascii="Times New Roman" w:hAnsi="Times New Roman"/>
          <w:color w:val="000000"/>
          <w:sz w:val="16"/>
        </w:rPr>
        <w:t>Act, Rule 10D-1 and the Listing Standards. Rule 10D-1 and the Listing Standards require the Company to adopt this Policy regardless of whether Incentive-Based Compensation is paid or otherwise awarded by the Company to Covered Executives.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1.</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Administration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16"/>
        </w:rPr>
        <w:t>Except as specifically set forth herein, this Policy shall be administered by the Board or, if designated by the Board, a committee thereof (the Board or such committee charged with administration of this Policy, the “</w:t>
      </w:r>
      <w:r>
        <w:rPr>
          <w:rFonts w:ascii="Times New Roman" w:hAnsi="Times New Roman"/>
          <w:b/>
          <w:i/>
          <w:color w:val="000000"/>
          <w:sz w:val="16"/>
        </w:rPr>
        <w:t>Policy Administrator</w:t>
      </w:r>
      <w:r>
        <w:rPr>
          <w:rFonts w:ascii="Times New Roman" w:hAnsi="Times New Roman"/>
          <w:color w:val="000000"/>
          <w:sz w:val="20"/>
        </w:rPr>
        <w:t>”</w:t>
      </w:r>
      <w:r>
        <w:rPr>
          <w:rFonts w:ascii="Times New Roman" w:hAnsi="Times New Roman"/>
          <w:color w:val="000000"/>
          <w:sz w:val="16"/>
        </w:rPr>
        <w:t>). The Policy Administrator is authorized to interpret and construe this Policy and to make all determinations necessary, appropriate or advisable for the administration of this Policy. Any determinations made by the Policy Administrator shall be final and binding on all affected individuals and need not be uniform with respect to each individual covered by the Policy. In the administration of this Policy, the Policy Administrator is authorized and directed to consult with the full Board or such other committees of the Board, such as the Audit Committee, the Compensation Committee or such other committee as may be necessary or appropriate as to matters within the scope of such other committee’s responsibility and authority. Subject to any limitation of applicable law, the Policy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2.</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Definitions</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As used in this Policy, the following definitions shall apply:</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color w:val="000000"/>
        </w:rPr>
        <w:t>“</w:t>
      </w:r>
      <w:r>
        <w:rPr>
          <w:rFonts w:ascii="Times New Roman" w:hAnsi="Times New Roman"/>
          <w:b/>
          <w:i/>
          <w:color w:val="000000"/>
          <w:sz w:val="16"/>
        </w:rPr>
        <w:t>Accounting Restatement</w:t>
      </w:r>
      <w:r>
        <w:rPr>
          <w:color w:val="000000"/>
        </w:rPr>
        <w:t xml:space="preserve">” </w:t>
      </w:r>
      <w:r>
        <w:rPr>
          <w:rFonts w:ascii="Times New Roman" w:hAnsi="Times New Roman"/>
          <w:color w:val="000000"/>
          <w:sz w:val="16"/>
        </w:rPr>
        <w:t>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color w:val="000000"/>
        </w:rPr>
        <w:t>“</w:t>
      </w:r>
      <w:r>
        <w:rPr>
          <w:rFonts w:ascii="Times New Roman" w:hAnsi="Times New Roman"/>
          <w:b/>
          <w:i/>
          <w:color w:val="000000"/>
          <w:sz w:val="16"/>
        </w:rPr>
        <w:t>Applicable Period</w:t>
      </w:r>
      <w:r>
        <w:rPr>
          <w:color w:val="000000"/>
        </w:rPr>
        <w:t xml:space="preserve">” </w:t>
      </w:r>
      <w:r>
        <w:rPr>
          <w:rFonts w:ascii="Times New Roman" w:hAnsi="Times New Roman"/>
          <w:color w:val="000000"/>
          <w:sz w:val="16"/>
        </w:rPr>
        <w:t>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between the last day of the Company’s previous fiscal year-end and the first day of its new fiscal year that comprises a period of nine to twelve months shall be deemed to be a completed fiscal year). The “date on which the Company is required to prepare an Accounting Restatement” is the earlier to occur of (a) the date the Board, a committee of the Board, or the officer or officers of the Company authorized to take such action if action by the Board or a committee thereof is not required, concludes or reasonably should have concluded, that the Company is required to prepare an Accounting Restatement or (b) the date a court, regulator or other legally authorized body directs the Company to prepare an Accounting Restatement, in each case regardless of if or when the restated financial statements are filed.</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color w:val="000000"/>
        </w:rPr>
        <w:t>“</w:t>
      </w:r>
      <w:r>
        <w:rPr>
          <w:rFonts w:ascii="Times New Roman" w:hAnsi="Times New Roman"/>
          <w:b/>
          <w:i/>
          <w:color w:val="000000"/>
          <w:sz w:val="16"/>
        </w:rPr>
        <w:t>Covered Executives</w:t>
      </w:r>
      <w:r>
        <w:rPr>
          <w:color w:val="000000"/>
        </w:rPr>
        <w:t xml:space="preserve">” </w:t>
      </w:r>
      <w:r>
        <w:rPr>
          <w:rFonts w:ascii="Times New Roman" w:hAnsi="Times New Roman"/>
          <w:color w:val="000000"/>
          <w:sz w:val="16"/>
        </w:rPr>
        <w:t>means the Company’s current and former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and any officer within the meaning of 17 C.F. R. 229.401(b). An executive officer of a subsidiary of the Company is deemed a Covered Executive if the executive officer performs policy making functions for the Company. “Policy-making function” for purposes of this definition is not intended to include policy-making functions that are not significant to the Company. The definition of Covered Executives shall be interpreted in accordance with the definition of “Executive Offer” set forth in Rule 10D-1 and the Listing Standards. For the avoidance of doubt, “Covered Executives” does not include the Company’s investment adviser (the “</w:t>
      </w:r>
      <w:r>
        <w:rPr>
          <w:rFonts w:ascii="Times New Roman" w:hAnsi="Times New Roman"/>
          <w:b/>
          <w:i/>
          <w:color w:val="000000"/>
          <w:sz w:val="16"/>
        </w:rPr>
        <w:t>Adviser</w:t>
      </w:r>
      <w:r>
        <w:rPr>
          <w:color w:val="000000"/>
        </w:rPr>
        <w:t>”</w:t>
      </w:r>
      <w:r>
        <w:rPr>
          <w:rFonts w:ascii="Times New Roman" w:hAnsi="Times New Roman"/>
          <w:color w:val="000000"/>
          <w:sz w:val="16"/>
        </w:rPr>
        <w:t>) or any of the Adviser’s directors, partners, officers or employees, solely in their capacity as such.</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color w:val="000000"/>
        </w:rPr>
        <w:t>“</w:t>
      </w:r>
      <w:r>
        <w:rPr>
          <w:rFonts w:ascii="Times New Roman" w:hAnsi="Times New Roman"/>
          <w:b/>
          <w:i/>
          <w:color w:val="000000"/>
          <w:sz w:val="16"/>
        </w:rPr>
        <w:t>Erroneously Awarded Compensation</w:t>
      </w:r>
      <w:r>
        <w:rPr>
          <w:color w:val="000000"/>
        </w:rPr>
        <w:t xml:space="preserve">” </w:t>
      </w:r>
      <w:r>
        <w:rPr>
          <w:rFonts w:ascii="Times New Roman" w:hAnsi="Times New Roman"/>
          <w:color w:val="000000"/>
          <w:sz w:val="16"/>
        </w:rPr>
        <w:t>has the meaning set forth in Section 6 of this Policy.</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rFonts w:ascii="Times New Roman" w:hAnsi="Times New Roman"/>
          <w:color w:val="000000"/>
          <w:sz w:val="16"/>
        </w:rPr>
        <w:t>A “</w:t>
      </w:r>
      <w:r>
        <w:rPr>
          <w:rFonts w:ascii="Times New Roman" w:hAnsi="Times New Roman"/>
          <w:b/>
          <w:i/>
          <w:color w:val="000000"/>
          <w:sz w:val="16"/>
        </w:rPr>
        <w:t>Financial Reporting Measure</w:t>
      </w:r>
      <w:r>
        <w:rPr>
          <w:color w:val="000000"/>
        </w:rPr>
        <w:t xml:space="preserve">” </w:t>
      </w:r>
      <w:r>
        <w:rPr>
          <w:rFonts w:ascii="Times New Roman" w:hAnsi="Times New Roman"/>
          <w:color w:val="000000"/>
          <w:sz w:val="16"/>
        </w:rPr>
        <w:t>means any measure that is determined and presented in accordance with the accounting principles used in preparing the Company’s financial statements, and any measure that is derived wholly or in part from such measure. For the avoidance of doubt, Financial Reporting Measures include but are not limited to the following (and any measure derived from the following): Company stock price; total shareholder return (“</w:t>
      </w:r>
      <w:r>
        <w:rPr>
          <w:rFonts w:ascii="Times New Roman" w:hAnsi="Times New Roman"/>
          <w:b/>
          <w:i/>
          <w:color w:val="000000"/>
          <w:sz w:val="16"/>
        </w:rPr>
        <w:t>TSR</w:t>
      </w:r>
      <w:r>
        <w:rPr>
          <w:color w:val="000000"/>
        </w:rPr>
        <w:t>”</w:t>
      </w:r>
      <w:r>
        <w:rPr>
          <w:rFonts w:ascii="Times New Roman" w:hAnsi="Times New Roman"/>
          <w:color w:val="000000"/>
          <w:sz w:val="16"/>
        </w:rPr>
        <w:t>); net asset value, net investment income; net income; net realized or unrealized gains; profitability; financial ratios; earnings before interest, taxes, depreciation and amortization; funds from operations and adjusted funds from operations; liquidity measures; return measures (e.g., return on investments, return on assets); earnings measures (e.g., earnings per share); and any of such financial reporting measures relative to a peer group, where the Company’s financial reporting measure is subject to an Accounting Restatement. A Financial Reporting Measure need not be presented within the Company’s financial statements or included in a filing with the Securities and Exchange Commission.</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pPr>
      <w:r>
        <w:rPr>
          <w:color w:val="000000"/>
        </w:rPr>
        <w:t>“</w:t>
      </w:r>
      <w:r>
        <w:rPr>
          <w:rFonts w:ascii="Times New Roman" w:hAnsi="Times New Roman"/>
          <w:b/>
          <w:i/>
          <w:color w:val="000000"/>
          <w:sz w:val="16"/>
        </w:rPr>
        <w:t>Incentive-Based Compensation</w:t>
      </w:r>
      <w:r>
        <w:rPr>
          <w:color w:val="000000"/>
        </w:rPr>
        <w:t xml:space="preserve">” </w:t>
      </w:r>
      <w:r>
        <w:rPr>
          <w:rFonts w:ascii="Times New Roman" w:hAnsi="Times New Roman"/>
          <w:color w:val="000000"/>
          <w:sz w:val="16"/>
        </w:rPr>
        <w:t xml:space="preserve">means any compensation that is granted by the Company, or earned and/or vested based wholly or in part upon the attainment of a Financial Reporting Measure. For purposes of this Policy, Incentive-Based Compensation is deemed “received” in the Company’s fiscal period during which the Financial Reporting Measure specified in the Incentive-Based Compensation award is attained, even if the payment or grant of such Incentive-Based Compensation occurs after the end of that period. For the avoidance of doubt, Incentive-Based Compensation does not include (i) awards that are granted, earned and vested exclusively upon completion of a specified employment period, without any performance condition, and (ii) bonus awards that are discretionary or based on subjective goals or goals unrelated to Financial Reporting Measures. Notwithstanding the foregoing, compensation amounts shall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not be considered “Incentive-Based Compensation” for purposes of the Policy unless the Company’s fiscal period during which the applicable Financial Reporting Measure specified in the award is attained (even if the payment or grant of the Incentive-Based Compensation occurs after the end of that period) occurs (1) while the Company has a class of securities listed on a national securities exchange or a national securities association and (2) on or after October 2, 2023, the effective date of the Listing Standards.</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3.</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Scope; Covered Executives; Incentive-Based Compensation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16"/>
        </w:rPr>
        <w:t>The Company currently neither pays nor has any plans to pay or otherwise award Incentive-Based Compensation to Covered Executives. No Incentive-Based Compensation shall be paid or otherwise awarded to Covered Executives without the Board’s prior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4.</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Board Review</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This Policy will be presented to the Board for review and approval at such times as the Board in its discretion determines is necessary and appropriate. 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5.</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Required Recovery of Erroneously Awarded Compensation in the Event of an Accounting Restatement</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In the event that the Company is required to prepare an Accounting Restatement, the Company shall recover, on a reasonably prompt basis, the amount of any Erroneously Awarded Compensation received by any Covered Executive from the Company, as calculated pursuant to Section 6 of this Policy, during the Applicable Period. Recovery under this Policy with respect to a Covered Executive shall not require the finding of any misconduct by such Covered Executive or such Covered Executive being found responsible for the accounting error leading to an Accounting Restatement.</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6.</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Erroneously Awarded Compensation: Amount Subject to Recovery</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16"/>
        </w:rPr>
        <w:t xml:space="preserve">The amount of </w:t>
      </w:r>
      <w:r>
        <w:rPr>
          <w:rFonts w:ascii="Times New Roman" w:hAnsi="Times New Roman"/>
          <w:b/>
          <w:i/>
          <w:color w:val="000000"/>
          <w:sz w:val="16"/>
        </w:rPr>
        <w:t>Erroneously Awarded Compensation</w:t>
      </w:r>
      <w:r>
        <w:rPr>
          <w:rFonts w:ascii="Times New Roman" w:hAnsi="Times New Roman"/>
          <w:color w:val="000000"/>
          <w:sz w:val="20"/>
        </w:rPr>
        <w:t xml:space="preserve"> </w:t>
      </w:r>
      <w:r>
        <w:rPr>
          <w:rFonts w:ascii="Times New Roman" w:hAnsi="Times New Roman"/>
          <w:color w:val="000000"/>
          <w:sz w:val="16"/>
        </w:rPr>
        <w:t>subject to recovery under this Policy, as determined by the Company, is the amount of Incentive-Based Compensation received by the Covered Executive that exceeds the amount of Incentive-Based Compensation that otherwise would have been received by the Covered Executive had it been determined based on applicable restated Financial Reporting Measure.</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Erroneously Awarded Compensation shall be computed without regard to any taxes paid by the Covered Executive in respect of the Erroneously Awarded Compensation.</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spacing w:before="0" w:after="240"/>
        <w:jc w:val="both"/>
        <w:rPr>
          <w:rFonts w:ascii="Times New Roman" w:hAnsi="Times New Roman"/>
          <w:sz w:val="20"/>
        </w:rPr>
      </w:pPr>
      <w:r>
        <w:rPr>
          <w:rFonts w:ascii="Times New Roman" w:hAnsi="Times New Roman"/>
          <w:color w:val="000000"/>
          <w:sz w:val="16"/>
        </w:rPr>
        <w:t>For Incentive-Based Compensation based on the Company’s stock price or TSR: (a) the Company shall determine the amount of Erroneously Awarded Compensation based on a reasonable estimate of the effect of the Accounting Restatement on the stock price or TSR upon which the Incentive-Based Compensation was received; and (b) the Company shall maintain documentation of the determination of that reasonable estimate and provide such documentation to The Nasdaq Stock Market (“</w:t>
      </w:r>
      <w:r>
        <w:rPr>
          <w:rFonts w:ascii="Times New Roman" w:hAnsi="Times New Roman"/>
          <w:b/>
          <w:i/>
          <w:color w:val="000000"/>
          <w:sz w:val="16"/>
        </w:rPr>
        <w:t>NASDAQ</w:t>
      </w:r>
      <w:r>
        <w:rPr>
          <w:rFonts w:ascii="Times New Roman" w:hAnsi="Times New Roman"/>
          <w:color w:val="000000"/>
          <w:sz w:val="20"/>
        </w:rPr>
        <w:t>”</w:t>
      </w:r>
      <w:r>
        <w:rPr>
          <w:rFonts w:ascii="Times New Roman" w:hAnsi="Times New Roman"/>
          <w:color w:val="000000"/>
          <w:sz w:val="16"/>
        </w:rPr>
        <w:t>).</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7.</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Method of Recovery</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The Policy Administrator shall determine, in its sole discretion, the timing and method for promptly recovering Erroneously Awarded Compensation hereunder,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Subject to compliance with any applicable law, the Company may effect recovery under this Policy from any amount otherwise payable to the Covered Executive, including amounts payable to such individual under any otherwise applicable Company plan or program, including base salary, bonuses, other compensation and/or compensation previously deferred by the Covered Executive.</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The Company is authorized and directed pursuant to this Policy to recover Erroneously Awarded Compensation on a reasonably prompt basis in compliance with this Policy unless the Policy Administrator (including a majority of the Board’s directors who have been determined by the Board to be “independent” for Board or Policy Administrator membership, as applicable, under the rules of the NASDAQ, as of any determination date, if the Policy Administrator is not composed solely of “independent” directors) has determined that such recovery would be impracticable for one of the following reasons, and subject to the following procedural and disclosure requirements:</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The direct expense paid to a third party to assist in enforcing the Policy would exceed the amount to be recovered. Before concluding that it would be impracticable to recover any amount of Erroneously Awarded Compensation based on the expense of enforcement, the Company must make, or cause to be made, a reasonable attempt to recover such Erroneously Awarded Compensation, document such reasonable attempt(s) to recover and provide that documentation to the NASDAQ;</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the NASDAQ, that recovery would result in such a violation, and must provide such opinion to the NASDAQ; or</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o</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Recovery would likely cause an otherwise tax-qualified retirement plan, under which benefits are broadly available to employees of the Company, if any, to fail to meet the requirements of 26 U.S.C. 401(a)(13) or 26 U.S.C. 411(a) and regulations thereunder.</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8.</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No Indemnification of Covered Executives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16"/>
        </w:rPr>
        <w:t>Notwithstanding the terms of any indemnification or insurance policy or any contractual arrangement with any Covered Executive that may be interpreted to the contrary, the Company shall not indemnify any Covered Executives against losses caused by the recovery of any Erroneously Awarded Compensation. In addition, the Company is not permitted to pay or reimburse a Covered Executive for premiums on an insurance policy purchased by such Covered Executive to protect them from such recovery. Other than as expressly stated herein, this Policy does not otherwise limit a Covered Executive’s insurance coverage (including any insurance coverage acquired by the Company) or a Covered Executive’s right to indemnification from the Company, including, in each case, for actions relating to any Accounting Restatement.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9.</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Policy Administrator Indemnification</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Any directors and officers of the Company, and any other personnel who assist in the administration of this Policy, including, but not limited to employees of the Adviser and BC Partners Management LLC,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10.</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Effective Date; Retroactive Application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16"/>
        </w:rPr>
        <w:t xml:space="preserve">This Policy shall be effective as of December 1, 2023 (the </w:t>
      </w:r>
      <w:r>
        <w:rPr>
          <w:rFonts w:ascii="Times New Roman" w:hAnsi="Times New Roman"/>
          <w:b/>
          <w:i/>
          <w:color w:val="000000"/>
          <w:sz w:val="16"/>
        </w:rPr>
        <w:t>Effective Date</w:t>
      </w:r>
      <w:r>
        <w:rPr>
          <w:rFonts w:ascii="Times New Roman" w:hAnsi="Times New Roman"/>
          <w:color w:val="000000"/>
          <w:sz w:val="16"/>
        </w:rPr>
        <w:t>). The terms of this Policy shall apply to any Incentive-Based Compensation that is received by Covered Executives from the Company on or after the Effective Date, even if such Incentive-Based Compensation was approved, awarded, granted or paid to Covered Executives prior to the Effective Date. Without limiting the generality of Section 7 of this Policy, and subject to applicable law, the Company may effect recovery under this Policy from any amount of compensation approved, awarded, granted, payable or paid to the Covered Executive prior to, on or after the Effective Date.</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11.</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Other Recovery Rights; Company Claims</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Any right of recovery under this Policy is in addition to, and not in lieu of, any other remedies or rights of recovery that may be available to the Company under applicable law or pursuant to the terms of any similar policy in any employment agreement, equity award agreement or similar agreement and any other legal remedies available to the Company.</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Nothing contained in this Policy limits any claims, damages or other legal remedies the Company or any of its affiliates may have against a Covered Executive arising out of, or resulting from, any actions or omissions by the Covered Executive.</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12.</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Exhibit Filing Requirement</w:t>
      </w:r>
    </w:p>
    <w:p>
      <w:pPr>
        <w:pStyle w:val="TextBody"/>
        <w:bidi w:val="0"/>
        <w:jc w:val="left"/>
        <w:rPr/>
      </w:pPr>
      <w:r>
        <w:rPr/>
        <w:t> </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 copy of this Policy and any amendments thereto shall be filed as an exhibit to the Company’s annual report on Form 10-K to the extent required by law.</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Adopted: November 7, 2023</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221483/000119312513361263/d505298dex99a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3.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1263/d505298dex99b1.htm" TargetMode="External"/><Relationship Id="rId13" Type="http://schemas.openxmlformats.org/officeDocument/2006/relationships/hyperlink" Target="https://www.sec.gov/Archives/edgar/data/1221483/000119312513361263/d505298dex99b1.htm" TargetMode="External"/><Relationship Id="rId14" Type="http://schemas.openxmlformats.org/officeDocument/2006/relationships/hyperlink" Target="https://www.sec.gov/Archives/edgar/data/1571329/000119312513376445/d505298dex99b2.htm" TargetMode="External"/><Relationship Id="rId15" Type="http://schemas.openxmlformats.org/officeDocument/2006/relationships/hyperlink" Target="https://www.sec.gov/Archives/edgar/data/1571329/000119312513376445/d505298dex99b2.htm" TargetMode="External"/><Relationship Id="rId16" Type="http://schemas.openxmlformats.org/officeDocument/2006/relationships/hyperlink" Target="https://www.sec.gov/Archives/edgar/data/1571329/000119312513376445/d505298dex99b3.htm" TargetMode="External"/><Relationship Id="rId17" Type="http://schemas.openxmlformats.org/officeDocument/2006/relationships/hyperlink" Target="https://www.sec.gov/Archives/edgar/data/1571329/000119312513376445/d505298dex99b3.htm" TargetMode="External"/><Relationship Id="rId18" Type="http://schemas.openxmlformats.org/officeDocument/2006/relationships/hyperlink" Target="https://www.sec.gov/Archives/edgar/data/1221483/000119312513361263/d505298dex99d1.htm" TargetMode="External"/><Relationship Id="rId19" Type="http://schemas.openxmlformats.org/officeDocument/2006/relationships/hyperlink" Target="https://www.sec.gov/Archives/edgar/data/1221483/000119312513361263/d505298dex99d1.htm" TargetMode="External"/><Relationship Id="rId20" Type="http://schemas.openxmlformats.org/officeDocument/2006/relationships/hyperlink" Target="https://www.sec.gov/Archives/edgar/data/1571329/000114420414032811/v373541_ex99d2.htm" TargetMode="External"/><Relationship Id="rId21" Type="http://schemas.openxmlformats.org/officeDocument/2006/relationships/hyperlink" Target="https://www.sec.gov/Archives/edgar/data/1571329/000114420414032811/v373541_ex99d2.htm" TargetMode="External"/><Relationship Id="rId22" Type="http://schemas.openxmlformats.org/officeDocument/2006/relationships/hyperlink" Target="https://www.sec.gov/Archives/edgar/data/1571329/000119312521315518/d207689dex41.htm" TargetMode="External"/><Relationship Id="rId23" Type="http://schemas.openxmlformats.org/officeDocument/2006/relationships/hyperlink" Target="https://www.sec.gov/Archives/edgar/data/1571329/000119312521315518/d207689dex41.htm" TargetMode="External"/><Relationship Id="rId24" Type="http://schemas.openxmlformats.org/officeDocument/2006/relationships/hyperlink" Target="https://www.sec.gov/Archives/edgar/data/1571329/000110465920027898/tm2010843d2_ex4-5.htm" TargetMode="External"/><Relationship Id="rId25" Type="http://schemas.openxmlformats.org/officeDocument/2006/relationships/hyperlink" Target="https://www.sec.gov/Archives/edgar/data/1571329/000110465920027898/tm2010843d2_ex4-5.htm" TargetMode="External"/><Relationship Id="rId26" Type="http://schemas.openxmlformats.org/officeDocument/2006/relationships/hyperlink" Target="https://www.sec.gov/Archives/edgar/data/1221483/000119312513361263/d505298dex99e.htm" TargetMode="External"/><Relationship Id="rId27" Type="http://schemas.openxmlformats.org/officeDocument/2006/relationships/hyperlink" Target="https://www.sec.gov/Archives/edgar/data/1221483/000119312513361263/d505298dex99e.htm" TargetMode="External"/><Relationship Id="rId28" Type="http://schemas.openxmlformats.org/officeDocument/2006/relationships/hyperlink" Target="https://www.sec.gov/Archives/edgar/data/1571329/000119312521206384/d145666dex101.htm" TargetMode="External"/><Relationship Id="rId29" Type="http://schemas.openxmlformats.org/officeDocument/2006/relationships/hyperlink" Target="https://www.sec.gov/Archives/edgar/data/1571329/000119312521206384/d145666dex101.htm" TargetMode="External"/><Relationship Id="rId30" Type="http://schemas.openxmlformats.org/officeDocument/2006/relationships/hyperlink" Target="https://www.sec.gov/Archives/edgar/data/1221483/000119312513361263/d505298dex99j.htm" TargetMode="External"/><Relationship Id="rId31" Type="http://schemas.openxmlformats.org/officeDocument/2006/relationships/hyperlink" Target="https://www.sec.gov/Archives/edgar/data/1221483/000119312513361263/d505298dex99j.htm" TargetMode="External"/><Relationship Id="rId32" Type="http://schemas.openxmlformats.org/officeDocument/2006/relationships/hyperlink" Target="https://www.sec.gov/Archives/edgar/data/1571329/000119312521206384/d145666dex103.htm" TargetMode="External"/><Relationship Id="rId33" Type="http://schemas.openxmlformats.org/officeDocument/2006/relationships/hyperlink" Target="https://www.sec.gov/Archives/edgar/data/1571329/000119312521206384/d145666dex103.htm" TargetMode="External"/><Relationship Id="rId34" Type="http://schemas.openxmlformats.org/officeDocument/2006/relationships/hyperlink" Target="https://www.sec.gov/Archives/edgar/data/1571329/000119312521206384/d145666dex103.htm" TargetMode="External"/><Relationship Id="rId35" Type="http://schemas.openxmlformats.org/officeDocument/2006/relationships/hyperlink" Target="https://www.sec.gov/Archives/edgar/data/1221483/000119312513361263/d505298dex99k2.htm" TargetMode="External"/><Relationship Id="rId36" Type="http://schemas.openxmlformats.org/officeDocument/2006/relationships/hyperlink" Target="https://www.sec.gov/Archives/edgar/data/1221483/000119312513361263/d505298dex99k2.htm" TargetMode="External"/><Relationship Id="rId37" Type="http://schemas.openxmlformats.org/officeDocument/2006/relationships/hyperlink" Target="https://www.sec.gov/Archives/edgar/data/1571329/000119312522266736/d252630d8k.htm" TargetMode="External"/><Relationship Id="rId38" Type="http://schemas.openxmlformats.org/officeDocument/2006/relationships/hyperlink" Target="https://www.sec.gov/Archives/edgar/data/1571329/000119312522266736/d252630d8k.htm" TargetMode="External"/><Relationship Id="rId39" Type="http://schemas.openxmlformats.org/officeDocument/2006/relationships/hyperlink" Target="https://www.sec.gov/Archives/edgar/data/1571329/000119312522266736/d252630d8k.htm" TargetMode="External"/><Relationship Id="rId40" Type="http://schemas.openxmlformats.org/officeDocument/2006/relationships/hyperlink" Target="https://www.sec.gov/Archives/edgar/data/1571329/000119312522097684/d329551dex41.htm" TargetMode="External"/><Relationship Id="rId41" Type="http://schemas.openxmlformats.org/officeDocument/2006/relationships/hyperlink" Target="https://www.sec.gov/Archives/edgar/data/1571329/000119312522097684/d329551dex41.htm" TargetMode="External"/><Relationship Id="rId42" Type="http://schemas.openxmlformats.org/officeDocument/2006/relationships/hyperlink" Target="https://www.sec.gov/Archives/edgar/data/1571329/000119312522097684/d329551dex41.htm" TargetMode="External"/><Relationship Id="rId43" Type="http://schemas.openxmlformats.org/officeDocument/2006/relationships/image" Target="media/image3.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113394</Words>
  <Characters>612858</Characters>
  <CharactersWithSpaces>730901</CharactersWithSpaces>
  <Paragraphs>20452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