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logan_ridge-10q-20220331.htm"/>
      <w:bookmarkStart w:id="1" w:name="kslogan_ridge10q20220331"/>
      <w:bookmarkEnd w:id="0"/>
      <w:bookmarkEnd w:id="1"/>
      <w:r>
        <w:rPr/>
        <w:t> </w:t>
      </w:r>
    </w:p>
    <w:p>
      <w:pPr>
        <w:pStyle w:val="TextBody"/>
        <w:pBdr>
          <w:top w:val="double" w:sz="6" w:space="1" w:color="000000"/>
        </w:pBdr>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UNITED STATES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SECURITIES AND EXCHANGE COMMISSION</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Washington, D.C. 20549</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FORM 10-Q</w:t>
      </w:r>
    </w:p>
    <w:p>
      <w:pPr>
        <w:pStyle w:val="TextBody"/>
        <w:spacing w:lineRule="auto" w:line="273" w:before="0" w:after="0"/>
        <w:jc w:val="center"/>
        <w:rPr/>
      </w:pPr>
      <w:r>
        <w:rPr/>
        <w:t> </w:t>
      </w:r>
    </w:p>
    <w:tbl>
      <w:tblPr>
        <w:tblW w:w="7948" w:type="dxa"/>
        <w:jc w:val="left"/>
        <w:tblInd w:w="0" w:type="dxa"/>
        <w:tblCellMar>
          <w:top w:w="28" w:type="dxa"/>
          <w:left w:w="28" w:type="dxa"/>
          <w:bottom w:w="28" w:type="dxa"/>
          <w:right w:w="28" w:type="dxa"/>
        </w:tblCellMar>
      </w:tblPr>
      <w:tblGrid>
        <w:gridCol w:w="161"/>
        <w:gridCol w:w="226"/>
        <w:gridCol w:w="7561"/>
      </w:tblGrid>
      <w:tr>
        <w:trPr/>
        <w:tc>
          <w:tcPr>
            <w:tcW w:w="16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5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rFonts w:ascii="Wingdings" w:hAnsi="Wingdings"/>
                <w:b w:val="false"/>
                <w:sz w:val="20"/>
              </w:rPr>
            </w:pPr>
            <w:r>
              <w:rPr>
                <w:rFonts w:ascii="Wingdings" w:hAnsi="Wingdings"/>
                <w:b w:val="false"/>
                <w:sz w:val="20"/>
              </w:rPr>
              <w:t>x</w:t>
            </w:r>
          </w:p>
        </w:tc>
        <w:tc>
          <w:tcPr>
            <w:tcW w:w="7561" w:type="dxa"/>
            <w:tcBorders/>
            <w:shd w:fill="auto" w:val="clear"/>
            <w:vAlign w:val="center"/>
          </w:tcPr>
          <w:p>
            <w:pPr>
              <w:pStyle w:val="TableContents"/>
              <w:spacing w:lineRule="auto" w:line="252" w:before="0" w:after="0"/>
              <w:ind w:left="0" w:right="0" w:hanging="0"/>
              <w:jc w:val="both"/>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For the quarterly period ended March 31, 2022</w:t>
      </w:r>
    </w:p>
    <w:p>
      <w:pPr>
        <w:pStyle w:val="TextBody"/>
        <w:spacing w:lineRule="auto" w:line="273" w:before="0" w:after="0"/>
        <w:jc w:val="center"/>
        <w:rPr/>
      </w:pPr>
      <w:r>
        <w:rPr/>
        <w:t> </w:t>
      </w:r>
    </w:p>
    <w:tbl>
      <w:tblPr>
        <w:tblW w:w="8083" w:type="dxa"/>
        <w:jc w:val="left"/>
        <w:tblInd w:w="0" w:type="dxa"/>
        <w:tblCellMar>
          <w:top w:w="28" w:type="dxa"/>
          <w:left w:w="28" w:type="dxa"/>
          <w:bottom w:w="28" w:type="dxa"/>
          <w:right w:w="28" w:type="dxa"/>
        </w:tblCellMar>
      </w:tblPr>
      <w:tblGrid>
        <w:gridCol w:w="161"/>
        <w:gridCol w:w="316"/>
        <w:gridCol w:w="7606"/>
      </w:tblGrid>
      <w:tr>
        <w:trPr/>
        <w:tc>
          <w:tcPr>
            <w:tcW w:w="1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6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7606" w:type="dxa"/>
            <w:tcBorders/>
            <w:shd w:fill="auto" w:val="clear"/>
            <w:vAlign w:val="center"/>
          </w:tcPr>
          <w:p>
            <w:pPr>
              <w:pStyle w:val="TableContents"/>
              <w:spacing w:lineRule="auto" w:line="252" w:before="0" w:after="0"/>
              <w:ind w:left="0" w:right="0" w:hanging="0"/>
              <w:jc w:val="both"/>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lineRule="auto" w:line="273" w:before="0" w:after="0"/>
        <w:jc w:val="left"/>
        <w:rPr/>
      </w:pPr>
      <w:r>
        <w:rPr/>
        <w:t> </w:t>
      </w:r>
    </w:p>
    <w:tbl>
      <w:tblPr>
        <w:tblW w:w="7555" w:type="dxa"/>
        <w:jc w:val="left"/>
        <w:tblInd w:w="0" w:type="dxa"/>
        <w:tblCellMar>
          <w:top w:w="28" w:type="dxa"/>
          <w:left w:w="28" w:type="dxa"/>
          <w:bottom w:w="28" w:type="dxa"/>
          <w:right w:w="28" w:type="dxa"/>
        </w:tblCellMar>
      </w:tblPr>
      <w:tblGrid>
        <w:gridCol w:w="1021"/>
        <w:gridCol w:w="146"/>
        <w:gridCol w:w="4486"/>
        <w:gridCol w:w="146"/>
        <w:gridCol w:w="1756"/>
      </w:tblGrid>
      <w:tr>
        <w:trPr/>
        <w:tc>
          <w:tcPr>
            <w:tcW w:w="1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r>
      <w:tr>
        <w:trPr/>
        <w:tc>
          <w:tcPr>
            <w:tcW w:w="102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Commission</w:t>
            </w:r>
            <w:r>
              <w:rPr>
                <w:rFonts w:ascii="Times New Roman" w:hAnsi="Times New Roman"/>
                <w:b w:val="false"/>
                <w:sz w:val="17"/>
              </w:rPr>
              <w:br/>
            </w:r>
            <w:r>
              <w:rPr>
                <w:rFonts w:ascii="Times New Roman" w:hAnsi="Times New Roman"/>
                <w:b/>
                <w:sz w:val="17"/>
              </w:rPr>
              <w:t>File Number</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48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Exact name of registrant as specified in its charter,</w:t>
            </w:r>
            <w:r>
              <w:rPr>
                <w:rFonts w:ascii="Times New Roman" w:hAnsi="Times New Roman"/>
                <w:b w:val="false"/>
                <w:sz w:val="17"/>
              </w:rPr>
              <w:br/>
            </w:r>
            <w:r>
              <w:rPr>
                <w:rFonts w:ascii="Times New Roman" w:hAnsi="Times New Roman"/>
                <w:b/>
                <w:sz w:val="17"/>
              </w:rPr>
              <w:t xml:space="preserve">address of principal executive office, telephone number, and </w:t>
            </w:r>
            <w:r>
              <w:rPr>
                <w:rFonts w:ascii="Times New Roman" w:hAnsi="Times New Roman"/>
                <w:b w:val="false"/>
                <w:sz w:val="17"/>
              </w:rPr>
              <w:br/>
            </w:r>
            <w:r>
              <w:rPr>
                <w:rFonts w:ascii="Times New Roman" w:hAnsi="Times New Roman"/>
                <w:b/>
                <w:sz w:val="17"/>
              </w:rPr>
              <w:t>state or other jurisdiction of incorporation or organization</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5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I.R.S. Employer</w:t>
            </w:r>
            <w:r>
              <w:rPr>
                <w:rFonts w:ascii="Times New Roman" w:hAnsi="Times New Roman"/>
                <w:b w:val="false"/>
                <w:sz w:val="17"/>
              </w:rPr>
              <w:br/>
            </w:r>
            <w:r>
              <w:rPr>
                <w:rFonts w:ascii="Times New Roman" w:hAnsi="Times New Roman"/>
                <w:b/>
                <w:sz w:val="17"/>
              </w:rPr>
              <w:t>Identification Number</w:t>
            </w:r>
          </w:p>
        </w:tc>
      </w:tr>
      <w:tr>
        <w:trPr/>
        <w:tc>
          <w:tcPr>
            <w:tcW w:w="1021" w:type="dxa"/>
            <w:tcBorders/>
            <w:shd w:fill="auto" w:val="cle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814-01022</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486" w:type="dxa"/>
            <w:tcBorders/>
            <w:shd w:fill="auto" w:val="clear"/>
            <w:vAlign w:val="center"/>
          </w:tcPr>
          <w:p>
            <w:pPr>
              <w:pStyle w:val="TableContents"/>
              <w:spacing w:lineRule="auto" w:line="252" w:before="0" w:after="0"/>
              <w:ind w:left="0" w:right="0" w:hanging="0"/>
              <w:jc w:val="center"/>
              <w:rPr>
                <w:rFonts w:ascii="Times New Roman" w:hAnsi="Times New Roman"/>
                <w:sz w:val="28"/>
              </w:rPr>
            </w:pPr>
            <w:r>
              <w:rPr>
                <w:rFonts w:ascii="Times New Roman" w:hAnsi="Times New Roman"/>
                <w:b/>
                <w:sz w:val="28"/>
              </w:rPr>
              <w:t>Logan Ridge Finance Corporation</w:t>
            </w:r>
            <w:r>
              <w:rPr>
                <w:rFonts w:ascii="Times New Roman" w:hAnsi="Times New Roman"/>
                <w:sz w:val="28"/>
              </w:rPr>
              <w:t xml:space="preserve"> </w:t>
            </w:r>
          </w:p>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650 Madison Avenue, 23rd Floor</w:t>
            </w:r>
          </w:p>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New York, New York 10022</w:t>
            </w:r>
            <w:r>
              <w:rPr>
                <w:rFonts w:ascii="Times New Roman" w:hAnsi="Times New Roman"/>
                <w:sz w:val="17"/>
              </w:rPr>
              <w:t xml:space="preserve"> </w:t>
            </w:r>
          </w:p>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State of Incorporation: Maryland</w:t>
            </w:r>
            <w:r>
              <w:rPr>
                <w:rFonts w:ascii="Times New Roman" w:hAnsi="Times New Roman"/>
                <w:sz w:val="17"/>
              </w:rPr>
              <w:t xml:space="preserve"> </w:t>
            </w:r>
          </w:p>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Telephone: (212) 891-2880</w:t>
            </w:r>
            <w:r>
              <w:rPr>
                <w:rFonts w:ascii="Times New Roman" w:hAnsi="Times New Roman"/>
                <w:sz w:val="17"/>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90-0945675</w:t>
            </w:r>
          </w:p>
        </w:tc>
      </w:tr>
    </w:tbl>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17"/>
        </w:rPr>
      </w:pPr>
      <w:r>
        <w:rPr>
          <w:rFonts w:ascii="Times New Roman" w:hAnsi="Times New Roman"/>
          <w:b/>
          <w:sz w:val="17"/>
        </w:rPr>
        <w:t>Securities registered pursuant to Section 12(b) of the Act:</w:t>
      </w:r>
    </w:p>
    <w:p>
      <w:pPr>
        <w:pStyle w:val="TextBody"/>
        <w:spacing w:lineRule="auto" w:line="273" w:before="0" w:after="0"/>
        <w:jc w:val="center"/>
        <w:rPr/>
      </w:pPr>
      <w:r>
        <w:rPr/>
        <w:t> </w:t>
      </w:r>
    </w:p>
    <w:tbl>
      <w:tblPr>
        <w:tblW w:w="7645" w:type="dxa"/>
        <w:jc w:val="left"/>
        <w:tblInd w:w="0" w:type="dxa"/>
        <w:tblCellMar>
          <w:top w:w="28" w:type="dxa"/>
          <w:left w:w="28" w:type="dxa"/>
          <w:bottom w:w="28" w:type="dxa"/>
          <w:right w:w="28" w:type="dxa"/>
        </w:tblCellMar>
      </w:tblPr>
      <w:tblGrid>
        <w:gridCol w:w="3226"/>
        <w:gridCol w:w="146"/>
        <w:gridCol w:w="1426"/>
        <w:gridCol w:w="146"/>
        <w:gridCol w:w="270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r>
      <w:tr>
        <w:trPr/>
        <w:tc>
          <w:tcPr>
            <w:tcW w:w="322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Title of Each Class</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2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Trading symbol(s)</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70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 xml:space="preserve">Name of Each Exchange on Which </w:t>
            </w:r>
            <w:r>
              <w:rPr>
                <w:rFonts w:ascii="Times New Roman" w:hAnsi="Times New Roman"/>
                <w:b w:val="false"/>
                <w:sz w:val="17"/>
              </w:rPr>
              <w:br/>
            </w:r>
            <w:r>
              <w:rPr>
                <w:rFonts w:ascii="Times New Roman" w:hAnsi="Times New Roman"/>
                <w:b/>
                <w:sz w:val="17"/>
              </w:rPr>
              <w:t>Registered</w:t>
            </w:r>
          </w:p>
        </w:tc>
      </w:tr>
      <w:tr>
        <w:trPr/>
        <w:tc>
          <w:tcPr>
            <w:tcW w:w="3226" w:type="dxa"/>
            <w:tcBorders/>
            <w:shd w:fill="auto" w:val="clear"/>
            <w:vAlign w:val="center"/>
          </w:tcPr>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Common Stock, par value $0.01 per share</w:t>
            </w:r>
            <w:r>
              <w:rPr>
                <w:rFonts w:ascii="Times New Roman" w:hAnsi="Times New Roman"/>
                <w:sz w:val="17"/>
              </w:rPr>
              <w:t xml:space="preserve"> </w:t>
            </w:r>
          </w:p>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5.75% Convertible Notes due 2022</w:t>
            </w:r>
            <w:r>
              <w:rPr>
                <w:rFonts w:ascii="Times New Roman" w:hAnsi="Times New Roman"/>
                <w:sz w:val="17"/>
              </w:rPr>
              <w:t xml:space="preserve"> </w:t>
            </w:r>
          </w:p>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6.00% Notes due 2022</w:t>
            </w:r>
            <w:r>
              <w:rPr>
                <w:rFonts w:ascii="Times New Roman" w:hAnsi="Times New Roman"/>
                <w:sz w:val="17"/>
              </w:rPr>
              <w:t xml:space="preserve">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26" w:type="dxa"/>
            <w:tcBorders/>
            <w:shd w:fill="auto" w:val="clear"/>
            <w:vAlign w:val="center"/>
          </w:tcPr>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LRFC</w:t>
            </w:r>
            <w:r>
              <w:rPr>
                <w:rFonts w:ascii="Times New Roman" w:hAnsi="Times New Roman"/>
                <w:sz w:val="17"/>
              </w:rPr>
              <w:t xml:space="preserve"> </w:t>
            </w:r>
          </w:p>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CPTAG</w:t>
            </w:r>
          </w:p>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CPTAL</w:t>
            </w:r>
            <w:r>
              <w:rPr>
                <w:rFonts w:ascii="Times New Roman" w:hAnsi="Times New Roman"/>
                <w:sz w:val="17"/>
              </w:rPr>
              <w:t xml:space="preserve">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701" w:type="dxa"/>
            <w:tcBorders/>
            <w:shd w:fill="auto" w:val="clear"/>
            <w:vAlign w:val="center"/>
          </w:tcPr>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NASDAQ Global Select Market</w:t>
            </w:r>
            <w:r>
              <w:rPr>
                <w:rFonts w:ascii="Times New Roman" w:hAnsi="Times New Roman"/>
                <w:sz w:val="17"/>
              </w:rPr>
              <w:t xml:space="preserve"> </w:t>
            </w:r>
          </w:p>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NASDAQ Capital Market</w:t>
            </w:r>
            <w:r>
              <w:rPr>
                <w:rFonts w:ascii="Times New Roman" w:hAnsi="Times New Roman"/>
                <w:sz w:val="17"/>
              </w:rPr>
              <w:t xml:space="preserve"> </w:t>
            </w:r>
          </w:p>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NASDAQ Global Select Market</w:t>
            </w:r>
            <w:r>
              <w:rPr>
                <w:rFonts w:ascii="Times New Roman" w:hAnsi="Times New Roman"/>
                <w:sz w:val="17"/>
              </w:rPr>
              <w:t xml:space="preserve">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273" w:before="0" w:after="0"/>
        <w:jc w:val="both"/>
        <w:rPr/>
      </w:pPr>
      <w:r>
        <w:rPr/>
        <w:t> </w:t>
      </w:r>
    </w:p>
    <w:tbl>
      <w:tblPr>
        <w:tblW w:w="1374" w:type="dxa"/>
        <w:jc w:val="left"/>
        <w:tblInd w:w="0" w:type="dxa"/>
        <w:tblCellMar>
          <w:top w:w="28" w:type="dxa"/>
          <w:left w:w="28" w:type="dxa"/>
          <w:bottom w:w="28" w:type="dxa"/>
          <w:right w:w="28" w:type="dxa"/>
        </w:tblCellMar>
      </w:tblPr>
      <w:tblGrid>
        <w:gridCol w:w="161"/>
        <w:gridCol w:w="146"/>
        <w:gridCol w:w="511"/>
        <w:gridCol w:w="556"/>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 xml:space="preserve">Yes </w:t>
            </w:r>
            <w:r>
              <w:rPr>
                <w:rFonts w:ascii="Wingdings" w:hAnsi="Wingdings"/>
                <w:b w:val="false"/>
                <w:sz w:val="16"/>
              </w:rPr>
              <w:t>x</w:t>
            </w:r>
          </w:p>
        </w:tc>
        <w:tc>
          <w:tcPr>
            <w:tcW w:w="55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 xml:space="preserve">No </w:t>
            </w:r>
            <w:r>
              <w:rPr>
                <w:rFonts w:ascii="Times New Roman" w:hAnsi="Times New Roman"/>
                <w:sz w:val="16"/>
              </w:rPr>
              <w:t>☐</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73" w:before="0" w:after="0"/>
        <w:jc w:val="both"/>
        <w:rPr/>
      </w:pPr>
      <w:r>
        <w:rPr/>
        <w:t> </w:t>
      </w:r>
    </w:p>
    <w:tbl>
      <w:tblPr>
        <w:tblW w:w="1419" w:type="dxa"/>
        <w:jc w:val="left"/>
        <w:tblInd w:w="0" w:type="dxa"/>
        <w:tblCellMar>
          <w:top w:w="28" w:type="dxa"/>
          <w:left w:w="28" w:type="dxa"/>
          <w:bottom w:w="28" w:type="dxa"/>
          <w:right w:w="28" w:type="dxa"/>
        </w:tblCellMar>
      </w:tblPr>
      <w:tblGrid>
        <w:gridCol w:w="161"/>
        <w:gridCol w:w="146"/>
        <w:gridCol w:w="556"/>
        <w:gridCol w:w="556"/>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 xml:space="preserve">Yes </w:t>
            </w:r>
            <w:r>
              <w:rPr>
                <w:rFonts w:ascii="Times New Roman" w:hAnsi="Times New Roman"/>
                <w:sz w:val="16"/>
              </w:rPr>
              <w:t>☐</w:t>
            </w:r>
          </w:p>
        </w:tc>
        <w:tc>
          <w:tcPr>
            <w:tcW w:w="55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 xml:space="preserve">No </w:t>
            </w:r>
            <w:r>
              <w:rPr>
                <w:rFonts w:ascii="Times New Roman" w:hAnsi="Times New Roman"/>
                <w:sz w:val="16"/>
              </w:rPr>
              <w:t>☐</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73" w:before="0" w:after="0"/>
        <w:jc w:val="both"/>
        <w:rPr/>
      </w:pPr>
      <w:r>
        <w:rPr/>
        <w:t> </w:t>
      </w:r>
    </w:p>
    <w:tbl>
      <w:tblPr>
        <w:tblW w:w="4605" w:type="dxa"/>
        <w:jc w:val="left"/>
        <w:tblInd w:w="0" w:type="dxa"/>
        <w:tblCellMar>
          <w:top w:w="28" w:type="dxa"/>
          <w:left w:w="28" w:type="dxa"/>
          <w:bottom w:w="28" w:type="dxa"/>
          <w:right w:w="28" w:type="dxa"/>
        </w:tblCellMar>
      </w:tblPr>
      <w:tblGrid>
        <w:gridCol w:w="161"/>
        <w:gridCol w:w="1696"/>
        <w:gridCol w:w="316"/>
        <w:gridCol w:w="2071"/>
        <w:gridCol w:w="361"/>
      </w:tblGrid>
      <w:tr>
        <w:trPr/>
        <w:tc>
          <w:tcPr>
            <w:tcW w:w="161"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Large accelerated filer</w:t>
            </w:r>
            <w:r>
              <w:rPr>
                <w:rFonts w:ascii="Times New Roman" w:hAnsi="Times New Roman"/>
                <w:sz w:val="16"/>
              </w:rPr>
              <w:t xml:space="preserve"> </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20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Accelerated filer</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2071"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Non-accelerated filer</w:t>
            </w:r>
          </w:p>
        </w:tc>
        <w:tc>
          <w:tcPr>
            <w:tcW w:w="316" w:type="dxa"/>
            <w:tcBorders/>
            <w:shd w:fill="auto" w:val="clear"/>
            <w:vAlign w:val="center"/>
          </w:tcPr>
          <w:p>
            <w:pPr>
              <w:pStyle w:val="TableContents"/>
              <w:spacing w:lineRule="auto" w:line="252" w:before="0" w:after="0"/>
              <w:ind w:left="0" w:right="0" w:hanging="0"/>
              <w:jc w:val="left"/>
              <w:rPr>
                <w:rFonts w:ascii="Wingdings" w:hAnsi="Wingdings"/>
                <w:b w:val="false"/>
                <w:sz w:val="16"/>
              </w:rPr>
            </w:pPr>
            <w:r>
              <w:rPr>
                <w:rFonts w:ascii="Wingdings" w:hAnsi="Wingdings"/>
                <w:b w:val="false"/>
                <w:sz w:val="16"/>
              </w:rPr>
              <w:t>x</w:t>
            </w:r>
          </w:p>
        </w:tc>
        <w:tc>
          <w:tcPr>
            <w:tcW w:w="20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Smaller reporting company</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2071"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20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Emerging growth company</w:t>
            </w:r>
            <w:r>
              <w:rPr>
                <w:rFonts w:ascii="Times New Roman" w:hAnsi="Times New Roman"/>
                <w:sz w:val="16"/>
              </w:rPr>
              <w:t xml:space="preserve"> </w:t>
            </w:r>
          </w:p>
        </w:tc>
        <w:tc>
          <w:tcPr>
            <w:tcW w:w="361" w:type="dxa"/>
            <w:tcBorders/>
            <w:shd w:fill="auto" w:val="clear"/>
            <w:vAlign w:val="center"/>
          </w:tcPr>
          <w:p>
            <w:pPr>
              <w:pStyle w:val="TableContents"/>
              <w:spacing w:lineRule="auto" w:line="252" w:before="0" w:after="0"/>
              <w:ind w:left="0" w:right="0" w:hanging="0"/>
              <w:jc w:val="left"/>
              <w:rPr/>
            </w:pPr>
            <w:r>
              <w:rPr/>
              <w:t>☐</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Indicate by check mark whether the registrant is a shell company (as defined in Rule 12b-2 of the Exchange Act).</w:t>
      </w:r>
    </w:p>
    <w:p>
      <w:pPr>
        <w:pStyle w:val="TextBody"/>
        <w:spacing w:lineRule="auto" w:line="273" w:before="0" w:after="0"/>
        <w:jc w:val="both"/>
        <w:rPr/>
      </w:pPr>
      <w:r>
        <w:rPr/>
        <w:t> </w:t>
      </w:r>
    </w:p>
    <w:tbl>
      <w:tblPr>
        <w:tblW w:w="1374" w:type="dxa"/>
        <w:jc w:val="left"/>
        <w:tblInd w:w="0" w:type="dxa"/>
        <w:tblCellMar>
          <w:top w:w="28" w:type="dxa"/>
          <w:left w:w="28" w:type="dxa"/>
          <w:bottom w:w="28" w:type="dxa"/>
          <w:right w:w="28" w:type="dxa"/>
        </w:tblCellMar>
      </w:tblPr>
      <w:tblGrid>
        <w:gridCol w:w="161"/>
        <w:gridCol w:w="146"/>
        <w:gridCol w:w="556"/>
        <w:gridCol w:w="511"/>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 xml:space="preserve">Yes </w:t>
            </w:r>
            <w:r>
              <w:rPr>
                <w:rFonts w:ascii="Times New Roman" w:hAnsi="Times New Roman"/>
                <w:sz w:val="16"/>
              </w:rPr>
              <w:t>☐</w:t>
            </w:r>
          </w:p>
        </w:tc>
        <w:tc>
          <w:tcPr>
            <w:tcW w:w="51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 xml:space="preserve">No </w:t>
            </w:r>
            <w:r>
              <w:rPr>
                <w:rFonts w:ascii="Wingdings" w:hAnsi="Wingdings"/>
                <w:b w:val="false"/>
                <w:sz w:val="16"/>
              </w:rPr>
              <w:t>x</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number of shares of Logan Ridge Finance Corporation’s common stock, $0.01 par value, outstanding as of May 12, 2022 was 2,711,068.</w:t>
      </w:r>
    </w:p>
    <w:p>
      <w:pPr>
        <w:pStyle w:val="TextBody"/>
        <w:pBdr>
          <w:bottom w:val="doub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TABLE OF CONTENTS</w:t>
      </w:r>
    </w:p>
    <w:p>
      <w:pPr>
        <w:pStyle w:val="TextBody"/>
        <w:spacing w:lineRule="auto" w:line="273" w:before="0" w:after="0"/>
        <w:jc w:val="center"/>
        <w:rPr/>
      </w:pPr>
      <w:r>
        <w:rPr/>
        <w:t> </w:t>
      </w:r>
    </w:p>
    <w:tbl>
      <w:tblPr>
        <w:tblW w:w="9483" w:type="dxa"/>
        <w:jc w:val="left"/>
        <w:tblInd w:w="0" w:type="dxa"/>
        <w:tblCellMar>
          <w:top w:w="28" w:type="dxa"/>
          <w:left w:w="28" w:type="dxa"/>
          <w:bottom w:w="28" w:type="dxa"/>
          <w:right w:w="28" w:type="dxa"/>
        </w:tblCellMar>
      </w:tblPr>
      <w:tblGrid>
        <w:gridCol w:w="781"/>
        <w:gridCol w:w="8191"/>
        <w:gridCol w:w="511"/>
      </w:tblGrid>
      <w:tr>
        <w:trPr/>
        <w:tc>
          <w:tcPr>
            <w:tcW w:w="781" w:type="dxa"/>
            <w:tcBorders/>
            <w:shd w:fill="auto" w:val="clear"/>
            <w:vAlign w:val="center"/>
          </w:tcPr>
          <w:p>
            <w:pPr>
              <w:pStyle w:val="TableContents"/>
              <w:spacing w:before="0" w:after="283"/>
              <w:rPr>
                <w:sz w:val="4"/>
                <w:szCs w:val="4"/>
              </w:rPr>
            </w:pPr>
            <w:r>
              <w:rPr>
                <w:sz w:val="4"/>
                <w:szCs w:val="4"/>
              </w:rPr>
            </w:r>
          </w:p>
        </w:tc>
        <w:tc>
          <w:tcPr>
            <w:tcW w:w="819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Page</w:t>
            </w:r>
          </w:p>
        </w:tc>
      </w:tr>
      <w:tr>
        <w:trPr/>
        <w:tc>
          <w:tcPr>
            <w:tcW w:w="781" w:type="dxa"/>
            <w:tcBorders/>
            <w:shd w:fill="auto" w:val="clear"/>
            <w:vAlign w:val="center"/>
          </w:tcPr>
          <w:p>
            <w:pPr>
              <w:pStyle w:val="TableContents"/>
              <w:spacing w:lineRule="auto" w:line="252" w:before="0" w:after="0"/>
              <w:ind w:left="0" w:right="0" w:hanging="0"/>
              <w:jc w:val="left"/>
              <w:rPr/>
            </w:pPr>
            <w:hyperlink w:anchor="part_i_financial_information">
              <w:r>
                <w:rPr>
                  <w:rStyle w:val="InternetLink"/>
                  <w:rFonts w:ascii="Times New Roman" w:hAnsi="Times New Roman"/>
                  <w:b/>
                  <w:sz w:val="16"/>
                  <w:u w:val="single"/>
                </w:rPr>
                <w:t>PART I.</w:t>
              </w:r>
            </w:hyperlink>
          </w:p>
        </w:tc>
        <w:tc>
          <w:tcPr>
            <w:tcW w:w="8191" w:type="dxa"/>
            <w:tcBorders/>
            <w:shd w:fill="auto" w:val="clear"/>
            <w:vAlign w:val="center"/>
          </w:tcPr>
          <w:p>
            <w:pPr>
              <w:pStyle w:val="TableContents"/>
              <w:spacing w:lineRule="auto" w:line="252" w:before="0" w:after="0"/>
              <w:ind w:left="0" w:right="0" w:hanging="0"/>
              <w:jc w:val="left"/>
              <w:rPr/>
            </w:pPr>
            <w:hyperlink w:anchor="part_i_financial_information">
              <w:r>
                <w:rPr>
                  <w:rStyle w:val="InternetLink"/>
                  <w:rFonts w:ascii="Times New Roman" w:hAnsi="Times New Roman"/>
                  <w:b/>
                  <w:sz w:val="16"/>
                  <w:u w:val="single"/>
                </w:rPr>
                <w:t>FINANCIAL INFORMATION</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Item 1.</w:t>
            </w:r>
          </w:p>
        </w:tc>
        <w:tc>
          <w:tcPr>
            <w:tcW w:w="819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Consolidated Financial Statements</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hyperlink w:anchor="statements_of_assets_and_liabilities">
              <w:r>
                <w:rPr>
                  <w:rStyle w:val="InternetLink"/>
                  <w:rFonts w:ascii="Times New Roman" w:hAnsi="Times New Roman"/>
                  <w:b w:val="false"/>
                  <w:sz w:val="16"/>
                  <w:u w:val="single"/>
                </w:rPr>
                <w:t>Consolidated Statements of Assets and Liabilities as of March 31, 2022 (unaudited) and December 31, 2021</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hyperlink w:anchor="statements_of_operations">
              <w:r>
                <w:rPr>
                  <w:rStyle w:val="InternetLink"/>
                  <w:rFonts w:ascii="Times New Roman" w:hAnsi="Times New Roman"/>
                  <w:b w:val="false"/>
                  <w:sz w:val="16"/>
                  <w:u w:val="single"/>
                </w:rPr>
                <w:t>Consolidated Statements of Operations for the three months ended March 31, 2022 and 2021 (unaudited)</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hyperlink w:anchor="statements_of_changes_in_net_assets">
              <w:r>
                <w:rPr>
                  <w:rStyle w:val="InternetLink"/>
                  <w:rFonts w:ascii="Times New Roman" w:hAnsi="Times New Roman"/>
                  <w:b w:val="false"/>
                  <w:sz w:val="16"/>
                  <w:u w:val="single"/>
                </w:rPr>
                <w:t>Consolidated Statements of Changes in Net Assets for the three months ended March 31, 2022 and 2021 (unaudited)</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hyperlink w:anchor="statements_of_cash_flows">
              <w:r>
                <w:rPr>
                  <w:rStyle w:val="InternetLink"/>
                  <w:rFonts w:ascii="Times New Roman" w:hAnsi="Times New Roman"/>
                  <w:b w:val="false"/>
                  <w:sz w:val="16"/>
                  <w:u w:val="single"/>
                </w:rPr>
                <w:t>Consolidated Statements of Cash Flows for the three months ended March 31, 2022 and 2021 (unaudited)</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hyperlink w:anchor="schedule_of_investments">
              <w:r>
                <w:rPr>
                  <w:rStyle w:val="InternetLink"/>
                  <w:rFonts w:ascii="Times New Roman" w:hAnsi="Times New Roman"/>
                  <w:b w:val="false"/>
                  <w:sz w:val="16"/>
                  <w:u w:val="single"/>
                </w:rPr>
                <w:t>Consolidated Schedules of Investments as of March 31, 2022 (unaudited) and December 31, 2021</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hyperlink w:anchor="notes_to_consolidated_financial">
              <w:r>
                <w:rPr>
                  <w:rStyle w:val="InternetLink"/>
                  <w:rFonts w:ascii="Times New Roman" w:hAnsi="Times New Roman"/>
                  <w:b w:val="false"/>
                  <w:sz w:val="16"/>
                  <w:u w:val="single"/>
                </w:rPr>
                <w:t>Notes to Consolidated Financial Statements as of and for the period ended March 31, 2022 (unaudited)</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2_management_discussion">
              <w:r>
                <w:rPr>
                  <w:rStyle w:val="InternetLink"/>
                  <w:rFonts w:ascii="Times New Roman" w:hAnsi="Times New Roman"/>
                  <w:b w:val="false"/>
                  <w:sz w:val="16"/>
                  <w:u w:val="single"/>
                </w:rPr>
                <w:t>Item 2.</w:t>
              </w:r>
            </w:hyperlink>
          </w:p>
        </w:tc>
        <w:tc>
          <w:tcPr>
            <w:tcW w:w="8191" w:type="dxa"/>
            <w:tcBorders/>
            <w:shd w:fill="auto" w:val="clear"/>
            <w:vAlign w:val="center"/>
          </w:tcPr>
          <w:p>
            <w:pPr>
              <w:pStyle w:val="TableContents"/>
              <w:spacing w:lineRule="auto" w:line="252" w:before="0" w:after="0"/>
              <w:ind w:left="0" w:right="0" w:hanging="0"/>
              <w:jc w:val="left"/>
              <w:rPr/>
            </w:pPr>
            <w:hyperlink w:anchor="item_2_management_discussion">
              <w:r>
                <w:rPr>
                  <w:rStyle w:val="InternetLink"/>
                  <w:rFonts w:ascii="Times New Roman" w:hAnsi="Times New Roman"/>
                  <w:b w:val="false"/>
                  <w:sz w:val="16"/>
                  <w:u w:val="single"/>
                </w:rPr>
                <w:t>Management’s Discussion and Analysis of Financial Condition and Results of Operations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3_quantitative_and_qualitative">
              <w:r>
                <w:rPr>
                  <w:rStyle w:val="InternetLink"/>
                  <w:rFonts w:ascii="Times New Roman" w:hAnsi="Times New Roman"/>
                  <w:b w:val="false"/>
                  <w:sz w:val="16"/>
                  <w:u w:val="single"/>
                </w:rPr>
                <w:t>Item 3.</w:t>
              </w:r>
            </w:hyperlink>
          </w:p>
        </w:tc>
        <w:tc>
          <w:tcPr>
            <w:tcW w:w="8191" w:type="dxa"/>
            <w:tcBorders/>
            <w:shd w:fill="auto" w:val="clear"/>
            <w:vAlign w:val="center"/>
          </w:tcPr>
          <w:p>
            <w:pPr>
              <w:pStyle w:val="TableContents"/>
              <w:spacing w:lineRule="auto" w:line="252" w:before="0" w:after="0"/>
              <w:ind w:left="0" w:right="0" w:hanging="0"/>
              <w:jc w:val="left"/>
              <w:rPr/>
            </w:pPr>
            <w:hyperlink w:anchor="item_3_quantitative_and_qualitative">
              <w:r>
                <w:rPr>
                  <w:rStyle w:val="InternetLink"/>
                  <w:rFonts w:ascii="Times New Roman" w:hAnsi="Times New Roman"/>
                  <w:b w:val="false"/>
                  <w:sz w:val="16"/>
                  <w:u w:val="single"/>
                </w:rPr>
                <w:t>Quantitative and Qualitative Disclosures About Market Risk</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4_controls_and_procedures">
              <w:r>
                <w:rPr>
                  <w:rStyle w:val="InternetLink"/>
                  <w:rFonts w:ascii="Times New Roman" w:hAnsi="Times New Roman"/>
                  <w:b w:val="false"/>
                  <w:sz w:val="16"/>
                  <w:u w:val="single"/>
                </w:rPr>
                <w:t>Item 4.</w:t>
              </w:r>
            </w:hyperlink>
          </w:p>
        </w:tc>
        <w:tc>
          <w:tcPr>
            <w:tcW w:w="8191" w:type="dxa"/>
            <w:tcBorders/>
            <w:shd w:fill="auto" w:val="clear"/>
            <w:vAlign w:val="center"/>
          </w:tcPr>
          <w:p>
            <w:pPr>
              <w:pStyle w:val="TableContents"/>
              <w:spacing w:lineRule="auto" w:line="252" w:before="0" w:after="0"/>
              <w:ind w:left="0" w:right="0" w:hanging="0"/>
              <w:jc w:val="left"/>
              <w:rPr/>
            </w:pPr>
            <w:hyperlink w:anchor="item_4_controls_and_procedures">
              <w:r>
                <w:rPr>
                  <w:rStyle w:val="InternetLink"/>
                  <w:rFonts w:ascii="Times New Roman" w:hAnsi="Times New Roman"/>
                  <w:b w:val="false"/>
                  <w:sz w:val="16"/>
                  <w:u w:val="single"/>
                </w:rPr>
                <w:t>Controls and Procedures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part_ii_other_information">
              <w:r>
                <w:rPr>
                  <w:rStyle w:val="InternetLink"/>
                  <w:rFonts w:ascii="Times New Roman" w:hAnsi="Times New Roman"/>
                  <w:b/>
                  <w:sz w:val="16"/>
                  <w:u w:val="single"/>
                </w:rPr>
                <w:t>PART II.</w:t>
              </w:r>
            </w:hyperlink>
          </w:p>
        </w:tc>
        <w:tc>
          <w:tcPr>
            <w:tcW w:w="8191" w:type="dxa"/>
            <w:tcBorders/>
            <w:shd w:fill="auto" w:val="clear"/>
            <w:vAlign w:val="center"/>
          </w:tcPr>
          <w:p>
            <w:pPr>
              <w:pStyle w:val="TableContents"/>
              <w:spacing w:lineRule="auto" w:line="252" w:before="0" w:after="0"/>
              <w:ind w:left="0" w:right="0" w:hanging="0"/>
              <w:jc w:val="left"/>
              <w:rPr/>
            </w:pPr>
            <w:hyperlink w:anchor="part_ii_other_information">
              <w:r>
                <w:rPr>
                  <w:rStyle w:val="InternetLink"/>
                  <w:rFonts w:ascii="Times New Roman" w:hAnsi="Times New Roman"/>
                  <w:b/>
                  <w:sz w:val="16"/>
                  <w:u w:val="single"/>
                </w:rPr>
                <w:t>OTHER INFORMATION</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1_legal_proceedings">
              <w:r>
                <w:rPr>
                  <w:rStyle w:val="InternetLink"/>
                  <w:rFonts w:ascii="Times New Roman" w:hAnsi="Times New Roman"/>
                  <w:b w:val="false"/>
                  <w:sz w:val="16"/>
                  <w:u w:val="single"/>
                </w:rPr>
                <w:t>Item 1.</w:t>
              </w:r>
            </w:hyperlink>
          </w:p>
        </w:tc>
        <w:tc>
          <w:tcPr>
            <w:tcW w:w="8191" w:type="dxa"/>
            <w:tcBorders/>
            <w:shd w:fill="auto" w:val="clear"/>
            <w:vAlign w:val="center"/>
          </w:tcPr>
          <w:p>
            <w:pPr>
              <w:pStyle w:val="TableContents"/>
              <w:spacing w:lineRule="auto" w:line="252" w:before="0" w:after="0"/>
              <w:ind w:left="0" w:right="0" w:hanging="0"/>
              <w:jc w:val="left"/>
              <w:rPr/>
            </w:pPr>
            <w:hyperlink w:anchor="item_1_legal_proceedings">
              <w:r>
                <w:rPr>
                  <w:rStyle w:val="InternetLink"/>
                  <w:rFonts w:ascii="Times New Roman" w:hAnsi="Times New Roman"/>
                  <w:b w:val="false"/>
                  <w:sz w:val="16"/>
                  <w:u w:val="single"/>
                </w:rPr>
                <w:t>Legal Proceedings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1a_risk_factors">
              <w:r>
                <w:rPr>
                  <w:rStyle w:val="InternetLink"/>
                  <w:rFonts w:ascii="Times New Roman" w:hAnsi="Times New Roman"/>
                  <w:b w:val="false"/>
                  <w:sz w:val="16"/>
                  <w:u w:val="single"/>
                </w:rPr>
                <w:t>Item 1A.</w:t>
              </w:r>
            </w:hyperlink>
          </w:p>
        </w:tc>
        <w:tc>
          <w:tcPr>
            <w:tcW w:w="8191" w:type="dxa"/>
            <w:tcBorders/>
            <w:shd w:fill="auto" w:val="clear"/>
            <w:vAlign w:val="center"/>
          </w:tcPr>
          <w:p>
            <w:pPr>
              <w:pStyle w:val="TableContents"/>
              <w:spacing w:lineRule="auto" w:line="252" w:before="0" w:after="0"/>
              <w:ind w:left="0" w:right="0" w:hanging="0"/>
              <w:jc w:val="left"/>
              <w:rPr/>
            </w:pPr>
            <w:hyperlink w:anchor="item_1a_risk_factors">
              <w:r>
                <w:rPr>
                  <w:rStyle w:val="InternetLink"/>
                  <w:rFonts w:ascii="Times New Roman" w:hAnsi="Times New Roman"/>
                  <w:b w:val="false"/>
                  <w:sz w:val="16"/>
                  <w:u w:val="single"/>
                </w:rPr>
                <w:t>Risk Factors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2_unregistered_sales_of_equity">
              <w:r>
                <w:rPr>
                  <w:rStyle w:val="InternetLink"/>
                  <w:rFonts w:ascii="Times New Roman" w:hAnsi="Times New Roman"/>
                  <w:b w:val="false"/>
                  <w:sz w:val="16"/>
                  <w:u w:val="single"/>
                </w:rPr>
                <w:t>Item 2.</w:t>
              </w:r>
            </w:hyperlink>
          </w:p>
        </w:tc>
        <w:tc>
          <w:tcPr>
            <w:tcW w:w="8191" w:type="dxa"/>
            <w:tcBorders/>
            <w:shd w:fill="auto" w:val="clear"/>
            <w:vAlign w:val="center"/>
          </w:tcPr>
          <w:p>
            <w:pPr>
              <w:pStyle w:val="TableContents"/>
              <w:spacing w:lineRule="auto" w:line="252" w:before="0" w:after="0"/>
              <w:ind w:left="0" w:right="0" w:hanging="0"/>
              <w:jc w:val="left"/>
              <w:rPr/>
            </w:pPr>
            <w:hyperlink w:anchor="item_2_unregistered_sales_of_equity">
              <w:r>
                <w:rPr>
                  <w:rStyle w:val="InternetLink"/>
                  <w:rFonts w:ascii="Times New Roman" w:hAnsi="Times New Roman"/>
                  <w:b w:val="false"/>
                  <w:sz w:val="16"/>
                  <w:u w:val="single"/>
                </w:rPr>
                <w:t>Unregistered Sales of Equity Securities and Use of Proceeds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3_defaults_upon_senior_securities">
              <w:r>
                <w:rPr>
                  <w:rStyle w:val="InternetLink"/>
                  <w:rFonts w:ascii="Times New Roman" w:hAnsi="Times New Roman"/>
                  <w:b w:val="false"/>
                  <w:sz w:val="16"/>
                  <w:u w:val="single"/>
                </w:rPr>
                <w:t>Item 3.</w:t>
              </w:r>
            </w:hyperlink>
          </w:p>
        </w:tc>
        <w:tc>
          <w:tcPr>
            <w:tcW w:w="8191" w:type="dxa"/>
            <w:tcBorders/>
            <w:shd w:fill="auto" w:val="clear"/>
            <w:vAlign w:val="center"/>
          </w:tcPr>
          <w:p>
            <w:pPr>
              <w:pStyle w:val="TableContents"/>
              <w:spacing w:lineRule="auto" w:line="252" w:before="0" w:after="0"/>
              <w:ind w:left="0" w:right="0" w:hanging="0"/>
              <w:jc w:val="left"/>
              <w:rPr/>
            </w:pPr>
            <w:hyperlink w:anchor="item_3_defaults_upon_senior_securities">
              <w:r>
                <w:rPr>
                  <w:rStyle w:val="InternetLink"/>
                  <w:rFonts w:ascii="Times New Roman" w:hAnsi="Times New Roman"/>
                  <w:b w:val="false"/>
                  <w:sz w:val="16"/>
                  <w:u w:val="single"/>
                </w:rPr>
                <w:t>Defaults Upon Senior Securities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4_mine_safety_disclosures">
              <w:r>
                <w:rPr>
                  <w:rStyle w:val="InternetLink"/>
                  <w:rFonts w:ascii="Times New Roman" w:hAnsi="Times New Roman"/>
                  <w:b w:val="false"/>
                  <w:sz w:val="16"/>
                  <w:u w:val="single"/>
                </w:rPr>
                <w:t>Item 4.</w:t>
              </w:r>
            </w:hyperlink>
          </w:p>
        </w:tc>
        <w:tc>
          <w:tcPr>
            <w:tcW w:w="8191" w:type="dxa"/>
            <w:tcBorders/>
            <w:shd w:fill="auto" w:val="clear"/>
            <w:vAlign w:val="center"/>
          </w:tcPr>
          <w:p>
            <w:pPr>
              <w:pStyle w:val="TableContents"/>
              <w:spacing w:lineRule="auto" w:line="252" w:before="0" w:after="0"/>
              <w:ind w:left="0" w:right="0" w:hanging="0"/>
              <w:jc w:val="left"/>
              <w:rPr/>
            </w:pPr>
            <w:hyperlink w:anchor="item_4_mine_safety_disclosures">
              <w:r>
                <w:rPr>
                  <w:rStyle w:val="InternetLink"/>
                  <w:rFonts w:ascii="Times New Roman" w:hAnsi="Times New Roman"/>
                  <w:b w:val="false"/>
                  <w:sz w:val="16"/>
                  <w:u w:val="single"/>
                </w:rPr>
                <w:t>Mine Safety Disclosures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5_other_information">
              <w:r>
                <w:rPr>
                  <w:rStyle w:val="InternetLink"/>
                  <w:rFonts w:ascii="Times New Roman" w:hAnsi="Times New Roman"/>
                  <w:b w:val="false"/>
                  <w:sz w:val="16"/>
                  <w:u w:val="single"/>
                </w:rPr>
                <w:t>Item 5.</w:t>
              </w:r>
            </w:hyperlink>
          </w:p>
        </w:tc>
        <w:tc>
          <w:tcPr>
            <w:tcW w:w="8191" w:type="dxa"/>
            <w:tcBorders/>
            <w:shd w:fill="auto" w:val="clear"/>
            <w:vAlign w:val="center"/>
          </w:tcPr>
          <w:p>
            <w:pPr>
              <w:pStyle w:val="TableContents"/>
              <w:spacing w:lineRule="auto" w:line="252" w:before="0" w:after="0"/>
              <w:ind w:left="0" w:right="0" w:hanging="0"/>
              <w:jc w:val="left"/>
              <w:rPr/>
            </w:pPr>
            <w:hyperlink w:anchor="item_5_other_information">
              <w:r>
                <w:rPr>
                  <w:rStyle w:val="InternetLink"/>
                  <w:rFonts w:ascii="Times New Roman" w:hAnsi="Times New Roman"/>
                  <w:b w:val="false"/>
                  <w:sz w:val="16"/>
                  <w:u w:val="single"/>
                </w:rPr>
                <w:t>Other Information</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819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781" w:type="dxa"/>
            <w:tcBorders/>
            <w:shd w:fill="auto" w:val="clear"/>
            <w:vAlign w:val="center"/>
          </w:tcPr>
          <w:p>
            <w:pPr>
              <w:pStyle w:val="TableContents"/>
              <w:spacing w:lineRule="auto" w:line="252" w:before="0" w:after="0"/>
              <w:ind w:left="0" w:right="0" w:hanging="0"/>
              <w:jc w:val="left"/>
              <w:rPr/>
            </w:pPr>
            <w:hyperlink w:anchor="item_6_exhibits">
              <w:r>
                <w:rPr>
                  <w:rStyle w:val="InternetLink"/>
                  <w:rFonts w:ascii="Times New Roman" w:hAnsi="Times New Roman"/>
                  <w:b w:val="false"/>
                  <w:sz w:val="16"/>
                  <w:u w:val="single"/>
                </w:rPr>
                <w:t>Item 6.</w:t>
              </w:r>
            </w:hyperlink>
          </w:p>
        </w:tc>
        <w:tc>
          <w:tcPr>
            <w:tcW w:w="8191" w:type="dxa"/>
            <w:tcBorders/>
            <w:shd w:fill="auto" w:val="clear"/>
            <w:vAlign w:val="center"/>
          </w:tcPr>
          <w:p>
            <w:pPr>
              <w:pStyle w:val="TableContents"/>
              <w:spacing w:lineRule="auto" w:line="252" w:before="0" w:after="0"/>
              <w:ind w:left="0" w:right="0" w:hanging="0"/>
              <w:jc w:val="left"/>
              <w:rPr/>
            </w:pPr>
            <w:hyperlink w:anchor="item_6_exhibits">
              <w:r>
                <w:rPr>
                  <w:rStyle w:val="InternetLink"/>
                  <w:rFonts w:ascii="Times New Roman" w:hAnsi="Times New Roman"/>
                  <w:b w:val="false"/>
                  <w:sz w:val="16"/>
                  <w:u w:val="single"/>
                </w:rPr>
                <w:t>Exhibits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42</w:t>
            </w:r>
          </w:p>
        </w:tc>
      </w:tr>
      <w:tr>
        <w:trPr/>
        <w:tc>
          <w:tcPr>
            <w:tcW w:w="8972"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8972" w:type="dxa"/>
            <w:gridSpan w:val="2"/>
            <w:tcBorders/>
            <w:shd w:fill="auto" w:val="cle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16"/>
                  <w:u w:val="single"/>
                </w:rPr>
                <w:t>Signatures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bookmarkStart w:id="2" w:name="part_i_financial_information"/>
      <w:bookmarkEnd w:id="2"/>
      <w:r>
        <w:rPr>
          <w:rFonts w:ascii="Times New Roman" w:hAnsi="Times New Roman"/>
          <w:b/>
          <w:sz w:val="16"/>
        </w:rPr>
        <w:t>PART I. FINANCIAL INFORMATION</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bookmarkStart w:id="3" w:name="statements_of_assets_and_liabilities"/>
      <w:bookmarkEnd w:id="3"/>
      <w:r>
        <w:rPr>
          <w:rFonts w:ascii="Times New Roman" w:hAnsi="Times New Roman"/>
          <w:b/>
          <w:sz w:val="16"/>
        </w:rPr>
        <w:t>Consolidated Statements of Assets and Liabilities</w:t>
      </w:r>
    </w:p>
    <w:p>
      <w:pPr>
        <w:pStyle w:val="TextBody"/>
        <w:spacing w:lineRule="auto" w:line="273" w:before="0" w:after="0"/>
        <w:jc w:val="center"/>
        <w:rPr>
          <w:rFonts w:ascii="Times New Roman" w:hAnsi="Times New Roman"/>
          <w:b/>
          <w:sz w:val="16"/>
        </w:rPr>
      </w:pPr>
      <w:r>
        <w:rPr>
          <w:rFonts w:ascii="Times New Roman" w:hAnsi="Times New Roman"/>
          <w:b/>
          <w:sz w:val="16"/>
        </w:rPr>
        <w:t>(in thousands, except share and per share data)</w:t>
      </w:r>
    </w:p>
    <w:p>
      <w:pPr>
        <w:pStyle w:val="TextBody"/>
        <w:spacing w:lineRule="auto" w:line="273" w:before="0" w:after="0"/>
        <w:jc w:val="center"/>
        <w:rPr/>
      </w:pPr>
      <w:r>
        <w:rPr/>
        <w:t> </w:t>
      </w:r>
    </w:p>
    <w:tbl>
      <w:tblPr>
        <w:tblW w:w="10205" w:type="dxa"/>
        <w:jc w:val="left"/>
        <w:tblInd w:w="0" w:type="dxa"/>
        <w:tblCellMar>
          <w:top w:w="28" w:type="dxa"/>
          <w:left w:w="28" w:type="dxa"/>
          <w:bottom w:w="28" w:type="dxa"/>
          <w:right w:w="28" w:type="dxa"/>
        </w:tblCellMar>
      </w:tblPr>
      <w:tblGrid>
        <w:gridCol w:w="6948"/>
        <w:gridCol w:w="146"/>
        <w:gridCol w:w="247"/>
        <w:gridCol w:w="874"/>
        <w:gridCol w:w="166"/>
        <w:gridCol w:w="146"/>
        <w:gridCol w:w="279"/>
        <w:gridCol w:w="986"/>
        <w:gridCol w:w="413"/>
      </w:tblGrid>
      <w:tr>
        <w:trPr/>
        <w:tc>
          <w:tcPr>
            <w:tcW w:w="69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6948"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6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As of December 31,</w:t>
            </w:r>
          </w:p>
        </w:tc>
        <w:tc>
          <w:tcPr>
            <w:tcW w:w="4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6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4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948"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(unaudited)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65" w:type="dxa"/>
            <w:gridSpan w:val="2"/>
            <w:tcBorders/>
            <w:shd w:fill="auto" w:val="clear"/>
            <w:vAlign w:val="center"/>
          </w:tcPr>
          <w:p>
            <w:pPr>
              <w:pStyle w:val="TableContents"/>
              <w:spacing w:lineRule="auto" w:line="252" w:before="0" w:after="0"/>
              <w:ind w:left="0" w:right="0" w:hanging="0"/>
              <w:jc w:val="center"/>
              <w:rPr/>
            </w:pPr>
            <w:r>
              <w:rPr/>
              <w:t> </w:t>
            </w:r>
          </w:p>
        </w:tc>
        <w:tc>
          <w:tcPr>
            <w:tcW w:w="413" w:type="dxa"/>
            <w:tcBorders/>
            <w:shd w:fill="auto" w:val="clear"/>
            <w:vAlign w:val="center"/>
          </w:tcPr>
          <w:p>
            <w:pPr>
              <w:pStyle w:val="TableContents"/>
              <w:spacing w:lineRule="auto" w:line="252" w:before="0" w:after="0"/>
              <w:ind w:left="0" w:right="0" w:hanging="0"/>
              <w:jc w:val="center"/>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1"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65" w:type="dxa"/>
            <w:gridSpan w:val="2"/>
            <w:tcBorders/>
            <w:shd w:fill="auto" w:val="clear"/>
            <w:vAlign w:val="center"/>
          </w:tcPr>
          <w:p>
            <w:pPr>
              <w:pStyle w:val="TableContents"/>
              <w:spacing w:lineRule="auto" w:line="252" w:before="0" w:after="0"/>
              <w:ind w:left="0" w:right="0" w:hanging="0"/>
              <w:jc w:val="center"/>
              <w:rPr/>
            </w:pPr>
            <w:r>
              <w:rPr/>
              <w:t> </w:t>
            </w:r>
          </w:p>
        </w:tc>
        <w:tc>
          <w:tcPr>
            <w:tcW w:w="413" w:type="dxa"/>
            <w:tcBorders/>
            <w:shd w:fill="auto" w:val="clear"/>
            <w:vAlign w:val="center"/>
          </w:tcPr>
          <w:p>
            <w:pPr>
              <w:pStyle w:val="TableContents"/>
              <w:spacing w:lineRule="auto" w:line="252" w:before="0" w:after="0"/>
              <w:ind w:left="0" w:right="0" w:hanging="0"/>
              <w:jc w:val="center"/>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Investments at fair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5" w:type="dxa"/>
            <w:gridSpan w:val="2"/>
            <w:tcBorders/>
            <w:shd w:fill="auto" w:val="clear"/>
            <w:vAlign w:val="center"/>
          </w:tcPr>
          <w:p>
            <w:pPr>
              <w:pStyle w:val="TableContents"/>
              <w:spacing w:lineRule="auto" w:line="252" w:before="0" w:after="0"/>
              <w:ind w:left="0" w:right="0" w:hanging="0"/>
              <w:jc w:val="left"/>
              <w:rPr/>
            </w:pPr>
            <w:r>
              <w:rPr/>
              <w:t> </w:t>
            </w:r>
          </w:p>
        </w:tc>
        <w:tc>
          <w:tcPr>
            <w:tcW w:w="413" w:type="dxa"/>
            <w:tcBorders/>
            <w:shd w:fill="auto" w:val="clear"/>
            <w:vAlign w:val="center"/>
          </w:tcPr>
          <w:p>
            <w:pPr>
              <w:pStyle w:val="TableContents"/>
              <w:spacing w:lineRule="auto" w:line="252" w:before="0" w:after="0"/>
              <w:ind w:left="0" w:right="0" w:firstLine="200"/>
              <w:jc w:val="left"/>
              <w:rPr/>
            </w:pPr>
            <w:r>
              <w:rPr/>
              <w:t> </w:t>
            </w:r>
          </w:p>
        </w:tc>
      </w:tr>
      <w:tr>
        <w:trPr/>
        <w:tc>
          <w:tcPr>
            <w:tcW w:w="694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Non-control/non-affiliate investments (amortized cost of $140,329 and $131,829,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137,341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129,991</w:t>
            </w:r>
          </w:p>
        </w:tc>
        <w:tc>
          <w:tcPr>
            <w:tcW w:w="413" w:type="dxa"/>
            <w:tcBorders/>
            <w:shd w:fill="auto" w:val="clear"/>
            <w:vAlign w:val="center"/>
          </w:tcPr>
          <w:p>
            <w:pPr>
              <w:pStyle w:val="TableContents"/>
              <w:spacing w:lineRule="auto" w:line="252" w:before="0" w:after="0"/>
              <w:ind w:left="0" w:right="0" w:firstLine="200"/>
              <w:jc w:val="left"/>
              <w:rPr/>
            </w:pPr>
            <w:r>
              <w:rPr/>
              <w:t> </w:t>
            </w:r>
          </w:p>
        </w:tc>
      </w:tr>
      <w:tr>
        <w:trPr/>
        <w:tc>
          <w:tcPr>
            <w:tcW w:w="694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Affiliate investments (amortized cost of $49,790 and $49,803,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62,649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61,359</w:t>
            </w:r>
          </w:p>
        </w:tc>
        <w:tc>
          <w:tcPr>
            <w:tcW w:w="413" w:type="dxa"/>
            <w:tcBorders/>
            <w:shd w:fill="auto" w:val="clear"/>
            <w:vAlign w:val="center"/>
          </w:tcPr>
          <w:p>
            <w:pPr>
              <w:pStyle w:val="TableContents"/>
              <w:spacing w:lineRule="auto" w:line="252" w:before="0" w:after="0"/>
              <w:ind w:left="0" w:right="0" w:firstLine="200"/>
              <w:jc w:val="left"/>
              <w:rPr/>
            </w:pPr>
            <w:r>
              <w:rPr/>
              <w:t> </w:t>
            </w:r>
          </w:p>
        </w:tc>
      </w:tr>
      <w:tr>
        <w:trPr/>
        <w:tc>
          <w:tcPr>
            <w:tcW w:w="694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Control investments (amortized cost of $8,850 and $8,850,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6,915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6,839</w:t>
            </w:r>
          </w:p>
        </w:tc>
        <w:tc>
          <w:tcPr>
            <w:tcW w:w="4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94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investments at fair value (amortized cost of $198,969 and $190,482,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206,905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198,189</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15,838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39,056</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and dividend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1,025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929</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Prepaid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3,358</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Receivable for unsettled trades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7,086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685</w:t>
            </w:r>
          </w:p>
        </w:tc>
        <w:tc>
          <w:tcPr>
            <w:tcW w:w="413" w:type="dxa"/>
            <w:tcBorders/>
            <w:shd w:fill="auto" w:val="clear"/>
            <w:vAlign w:val="center"/>
          </w:tcPr>
          <w:p>
            <w:pPr>
              <w:pStyle w:val="TableContents"/>
              <w:spacing w:lineRule="auto" w:line="252" w:before="0" w:after="0"/>
              <w:ind w:left="0" w:right="0" w:firstLine="200"/>
              <w:jc w:val="left"/>
              <w:rPr/>
            </w:pPr>
            <w:r>
              <w:rPr/>
              <w:t> </w:t>
            </w:r>
          </w:p>
        </w:tc>
      </w:tr>
      <w:tr>
        <w:trPr/>
        <w:tc>
          <w:tcPr>
            <w:tcW w:w="694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74"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233,991</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8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242,217</w:t>
            </w:r>
          </w:p>
        </w:tc>
        <w:tc>
          <w:tcPr>
            <w:tcW w:w="413"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5" w:type="dxa"/>
            <w:gridSpan w:val="2"/>
            <w:tcBorders/>
            <w:shd w:fill="auto" w:val="clear"/>
            <w:vAlign w:val="center"/>
          </w:tcPr>
          <w:p>
            <w:pPr>
              <w:pStyle w:val="TableContents"/>
              <w:spacing w:lineRule="auto" w:line="252" w:before="0" w:after="0"/>
              <w:ind w:left="0" w:right="0" w:hanging="0"/>
              <w:jc w:val="left"/>
              <w:rPr/>
            </w:pPr>
            <w:r>
              <w:rPr/>
              <w:t> </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2022 Notes (net of deferred financing costs of $18 and $46,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22,815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22,787</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2022 Convertible Notes (net of deferred financing costs of $67 and $167,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52,020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51,921</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2026 Notes (net of deferred financing costs and original issue discount of $1,540 and $1,552,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48,460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48,448</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KeyBank Credit Facility (net of deferred financing costs of $305 and $353,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(353</w:t>
            </w:r>
          </w:p>
        </w:tc>
        <w:tc>
          <w:tcPr>
            <w:tcW w:w="413"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Management and incentive fees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1,065</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and financing fees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1,595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911</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Payable for unsettled trades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1,478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9,265</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Accounts payable and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1,144</w:t>
            </w:r>
          </w:p>
        </w:tc>
        <w:tc>
          <w:tcPr>
            <w:tcW w:w="4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94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127,820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135,188</w:t>
            </w:r>
          </w:p>
        </w:tc>
        <w:tc>
          <w:tcPr>
            <w:tcW w:w="4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Commitments and contingencies (Note 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5" w:type="dxa"/>
            <w:gridSpan w:val="2"/>
            <w:tcBorders/>
            <w:shd w:fill="auto" w:val="clear"/>
            <w:vAlign w:val="center"/>
          </w:tcPr>
          <w:p>
            <w:pPr>
              <w:pStyle w:val="TableContents"/>
              <w:spacing w:lineRule="auto" w:line="252" w:before="0" w:after="0"/>
              <w:ind w:left="0" w:right="0" w:hanging="0"/>
              <w:jc w:val="left"/>
              <w:rPr/>
            </w:pPr>
            <w:r>
              <w:rPr/>
              <w:t> </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5" w:type="dxa"/>
            <w:gridSpan w:val="2"/>
            <w:tcBorders/>
            <w:shd w:fill="auto" w:val="clear"/>
            <w:vAlign w:val="center"/>
          </w:tcPr>
          <w:p>
            <w:pPr>
              <w:pStyle w:val="TableContents"/>
              <w:spacing w:lineRule="auto" w:line="252" w:before="0" w:after="0"/>
              <w:ind w:left="0" w:right="0" w:hanging="0"/>
              <w:jc w:val="left"/>
              <w:rPr/>
            </w:pPr>
            <w:r>
              <w:rPr/>
              <w:t> </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Common stock, par value $0.01, 100,000,000 common shares authorized, 2,711,068 and 2,711,068 common shares issued and outstanding,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Additional paid 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188,846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188,846</w:t>
            </w:r>
          </w:p>
        </w:tc>
        <w:tc>
          <w:tcPr>
            <w:tcW w:w="413" w:type="dxa"/>
            <w:tcBorders/>
            <w:shd w:fill="auto" w:val="cle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distributable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(82,702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(81,844</w:t>
            </w:r>
          </w:p>
        </w:tc>
        <w:tc>
          <w:tcPr>
            <w:tcW w:w="4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694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net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106,171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107,029</w:t>
            </w:r>
          </w:p>
        </w:tc>
        <w:tc>
          <w:tcPr>
            <w:tcW w:w="4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liabilities and net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233,991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242,217</w:t>
            </w:r>
          </w:p>
        </w:tc>
        <w:tc>
          <w:tcPr>
            <w:tcW w:w="4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9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asset value per share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7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39.16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8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39.48</w:t>
            </w:r>
          </w:p>
        </w:tc>
        <w:tc>
          <w:tcPr>
            <w:tcW w:w="413"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sz w:val="20"/>
        </w:rPr>
      </w:pPr>
      <w:bookmarkStart w:id="4" w:name="statements_of_operations"/>
      <w:bookmarkEnd w:id="4"/>
      <w:r>
        <w:rPr>
          <w:rFonts w:ascii="Times New Roman" w:hAnsi="Times New Roman"/>
          <w:b/>
          <w:sz w:val="16"/>
        </w:rPr>
        <w:t>Consolidated Statements of Operations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6"/>
        </w:rPr>
        <w:t>(in thousands, except share and per share data)</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center"/>
        <w:rPr/>
      </w:pPr>
      <w:r>
        <w:rPr/>
        <w:t> </w:t>
      </w:r>
    </w:p>
    <w:tbl>
      <w:tblPr>
        <w:tblW w:w="9676" w:type="dxa"/>
        <w:jc w:val="left"/>
        <w:tblInd w:w="0" w:type="dxa"/>
        <w:tblCellMar>
          <w:top w:w="28" w:type="dxa"/>
          <w:left w:w="28" w:type="dxa"/>
          <w:bottom w:w="28" w:type="dxa"/>
          <w:right w:w="28" w:type="dxa"/>
        </w:tblCellMar>
      </w:tblPr>
      <w:tblGrid>
        <w:gridCol w:w="6136"/>
        <w:gridCol w:w="146"/>
        <w:gridCol w:w="248"/>
        <w:gridCol w:w="1046"/>
        <w:gridCol w:w="210"/>
        <w:gridCol w:w="185"/>
        <w:gridCol w:w="248"/>
        <w:gridCol w:w="1046"/>
        <w:gridCol w:w="411"/>
      </w:tblGrid>
      <w:tr>
        <w:trPr/>
        <w:tc>
          <w:tcPr>
            <w:tcW w:w="61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1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INVESTMENT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Non-control/non-affiliate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2,383</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3,197</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719</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1,297</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Control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95</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98</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interest and fee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3,197</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4,592</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Payment-in-kind interest and dividend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Non-control/non-affiliate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85</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47</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payment-in-kind interest and dividend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132</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Dividend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155</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dividend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155</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Other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other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investment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3,337</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4,926</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and financing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2,188</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3,037</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Base management fee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1,027</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1,398</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Directors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103</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103</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Administrative service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120</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350</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General and administrative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950</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821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4,388</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5,709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NET INVESTMENT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(1,051</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(783</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REALIZED AND UNREALIZED GAIN (LOSS)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realized loss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Non-control/non-affiliate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(14,023</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Net realized loss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(14,023</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change in unrealized appreciation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Non-control/non-affiliate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(1,150</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23,212</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1,303</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3,972</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Control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76</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(24</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Net change in unrealized appreciation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229</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27,160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136"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net realized and unrealized gain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193</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13,137</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(DECREASE) INCREASE IN NET ASSETS RESULTING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(858</w:t>
            </w:r>
          </w:p>
        </w:tc>
        <w:tc>
          <w:tcPr>
            <w:tcW w:w="2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12,354</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(DECREASE) INCREASE IN NET ASSETS PER SHARE RESULTING FROM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(0.32</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4.56</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16"/>
              </w:rPr>
              <w:t>OPERATIONS – BASIC (SEE NOTE 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COMMON STOCK OUTSTANDING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16"/>
              </w:rPr>
              <w:t>BASIC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(DECREASE) INCREASE IN NET ASSETS PER SHARE RESULTING FROM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(0.32</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4.04</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16"/>
              </w:rPr>
              <w:t>OPERATIONS – DILUTED (SEE NOTE 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shd w:fill="auto" w:val="clear"/>
            <w:vAlign w:val="center"/>
          </w:tcPr>
          <w:p>
            <w:pPr>
              <w:pStyle w:val="TableContents"/>
              <w:spacing w:lineRule="auto" w:line="252" w:before="0" w:after="0"/>
              <w:ind w:left="0" w:right="0" w:hanging="0"/>
              <w:jc w:val="left"/>
              <w:rPr/>
            </w:pPr>
            <w:r>
              <w:rPr/>
              <w:t> </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COMMON STOCK OUTSTANDING -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3,263,647</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61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DISTRIBUTIONS PAID PER SHARE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pPr>
            <w:r>
              <w:rPr/>
              <w:t>—</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pPr>
            <w:r>
              <w:rPr/>
              <w:t>—</w:t>
            </w:r>
          </w:p>
        </w:tc>
        <w:tc>
          <w:tcPr>
            <w:tcW w:w="41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both"/>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sz w:val="20"/>
        </w:rPr>
      </w:pPr>
      <w:bookmarkStart w:id="5" w:name="statements_of_changes_in_net_assets"/>
      <w:bookmarkEnd w:id="5"/>
      <w:r>
        <w:rPr>
          <w:rFonts w:ascii="Times New Roman" w:hAnsi="Times New Roman"/>
          <w:b/>
          <w:sz w:val="16"/>
        </w:rPr>
        <w:t>Consolidated Statements of</w:t>
      </w:r>
      <w:r>
        <w:rPr>
          <w:rFonts w:ascii="Times New Roman" w:hAnsi="Times New Roman"/>
          <w:sz w:val="20"/>
        </w:rPr>
        <w:t xml:space="preserve"> </w:t>
      </w:r>
      <w:r>
        <w:rPr>
          <w:rFonts w:ascii="Times New Roman" w:hAnsi="Times New Roman"/>
          <w:b/>
          <w:sz w:val="16"/>
        </w:rPr>
        <w:t>Changes in Net Assets</w:t>
      </w:r>
    </w:p>
    <w:p>
      <w:pPr>
        <w:pStyle w:val="TextBody"/>
        <w:spacing w:lineRule="auto" w:line="273" w:before="0" w:after="0"/>
        <w:jc w:val="center"/>
        <w:rPr>
          <w:rFonts w:ascii="Times New Roman" w:hAnsi="Times New Roman"/>
          <w:b/>
          <w:sz w:val="16"/>
        </w:rPr>
      </w:pPr>
      <w:r>
        <w:rPr>
          <w:rFonts w:ascii="Times New Roman" w:hAnsi="Times New Roman"/>
          <w:b/>
          <w:sz w:val="16"/>
        </w:rPr>
        <w:t>(in thousands, except share data)</w:t>
      </w:r>
    </w:p>
    <w:p>
      <w:pPr>
        <w:pStyle w:val="TextBody"/>
        <w:spacing w:lineRule="auto" w:line="273" w:before="0" w:after="0"/>
        <w:jc w:val="center"/>
        <w:rPr>
          <w:rFonts w:ascii="Times New Roman" w:hAnsi="Times New Roman"/>
          <w:sz w:val="20"/>
        </w:rPr>
      </w:pPr>
      <w:r>
        <w:rPr>
          <w:rFonts w:ascii="Times New Roman" w:hAnsi="Times New Roman"/>
          <w:b/>
          <w:sz w:val="16"/>
        </w:rPr>
        <w:t>(unaudited</w:t>
      </w:r>
      <w:r>
        <w:rPr>
          <w:rFonts w:ascii="Times New Roman" w:hAnsi="Times New Roman"/>
          <w:b/>
          <w:sz w:val="20"/>
        </w:rPr>
        <w:t>)</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4010"/>
        <w:gridCol w:w="146"/>
        <w:gridCol w:w="826"/>
        <w:gridCol w:w="146"/>
        <w:gridCol w:w="146"/>
        <w:gridCol w:w="300"/>
        <w:gridCol w:w="529"/>
        <w:gridCol w:w="146"/>
        <w:gridCol w:w="146"/>
        <w:gridCol w:w="201"/>
        <w:gridCol w:w="712"/>
        <w:gridCol w:w="146"/>
        <w:gridCol w:w="146"/>
        <w:gridCol w:w="225"/>
        <w:gridCol w:w="867"/>
        <w:gridCol w:w="166"/>
        <w:gridCol w:w="146"/>
        <w:gridCol w:w="196"/>
        <w:gridCol w:w="691"/>
        <w:gridCol w:w="314"/>
      </w:tblGrid>
      <w:tr>
        <w:trPr/>
        <w:tc>
          <w:tcPr>
            <w:tcW w:w="40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r>
      <w:tr>
        <w:trPr/>
        <w:tc>
          <w:tcPr>
            <w:tcW w:w="4010" w:type="dxa"/>
            <w:tcBorders/>
            <w:shd w:fill="auto" w:val="clear"/>
            <w:vAlign w:val="center"/>
          </w:tcPr>
          <w:p>
            <w:pPr>
              <w:pStyle w:val="TableContents"/>
              <w:spacing w:lineRule="auto" w:line="252" w:before="0" w:after="0"/>
              <w:ind w:left="0" w:right="0" w:hanging="0"/>
              <w:jc w:val="left"/>
              <w:rPr/>
            </w:pPr>
            <w:r>
              <w:rPr/>
              <w:t> </w:t>
            </w:r>
          </w:p>
        </w:tc>
        <w:tc>
          <w:tcPr>
            <w:tcW w:w="2093"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3"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2"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314" w:type="dxa"/>
            <w:tcBorders/>
            <w:shd w:fill="auto" w:val="clear"/>
            <w:vAlign w:val="center"/>
          </w:tcPr>
          <w:p>
            <w:pPr>
              <w:pStyle w:val="TableContents"/>
              <w:spacing w:lineRule="auto" w:line="252" w:before="0" w:after="0"/>
              <w:ind w:left="0" w:right="0" w:hanging="0"/>
              <w:jc w:val="center"/>
              <w:rPr/>
            </w:pPr>
            <w:r>
              <w:rPr/>
              <w:t> </w:t>
            </w:r>
          </w:p>
        </w:tc>
      </w:tr>
      <w:tr>
        <w:trPr/>
        <w:tc>
          <w:tcPr>
            <w:tcW w:w="4010"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For the Three Months Ended March 31, 2022 and 2021</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Number of </w:t>
              <w:b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1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 xml:space="preserve">Additional </w:t>
              <w:br/>
              <w:t xml:space="preserve">Paid in </w:t>
              <w:br/>
              <w:t xml:space="preserve">Capital </w:t>
            </w:r>
            <w:r>
              <w:rPr>
                <w:rFonts w:ascii="Times New Roman" w:hAnsi="Times New Roman"/>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Total </w:t>
              <w:br/>
              <w:t xml:space="preserve">Distributable </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3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BALANCE,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52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1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188,846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(81,844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107,029</w:t>
            </w:r>
          </w:p>
        </w:tc>
        <w:tc>
          <w:tcPr>
            <w:tcW w:w="314" w:type="dxa"/>
            <w:tcBorders/>
            <w:shd w:fill="auto" w:val="clear"/>
            <w:vAlign w:val="center"/>
          </w:tcPr>
          <w:p>
            <w:pPr>
              <w:pStyle w:val="TableContents"/>
              <w:spacing w:lineRule="auto" w:line="252" w:before="0" w:after="0"/>
              <w:ind w:left="0" w:right="0" w:firstLine="100"/>
              <w:jc w:val="left"/>
              <w:rPr/>
            </w:pPr>
            <w:r>
              <w:rPr/>
              <w:t> </w:t>
            </w:r>
          </w:p>
        </w:tc>
      </w:tr>
      <w:tr>
        <w:trPr/>
        <w:tc>
          <w:tcPr>
            <w:tcW w:w="4010" w:type="dxa"/>
            <w:tcBorders/>
            <w:shd w:fill="auto" w:val="clear"/>
            <w:vAlign w:val="center"/>
          </w:tcPr>
          <w:p>
            <w:pPr>
              <w:pStyle w:val="TableContents"/>
              <w:spacing w:lineRule="auto" w:line="252" w:before="0" w:after="0"/>
              <w:ind w:left="100" w:right="0" w:hanging="0"/>
              <w:jc w:val="left"/>
              <w:rPr/>
            </w:pPr>
            <w:r>
              <w:rPr/>
              <w:t>   </w:t>
            </w:r>
            <w:r>
              <w:rPr>
                <w:rFonts w:ascii="Times New Roman" w:hAnsi="Times New Roman"/>
                <w:b w:val="false"/>
                <w:sz w:val="16"/>
              </w:rPr>
              <w:t>Net investment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(1,051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(1,051</w:t>
            </w:r>
          </w:p>
        </w:tc>
        <w:tc>
          <w:tcPr>
            <w:tcW w:w="314" w:type="dxa"/>
            <w:tcBorders/>
            <w:shd w:fill="auto" w:val="clear"/>
            <w:vAlign w:val="center"/>
          </w:tcPr>
          <w:p>
            <w:pPr>
              <w:pStyle w:val="TableContents"/>
              <w:spacing w:lineRule="auto" w:line="25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4010" w:type="dxa"/>
            <w:tcBorders/>
            <w:shd w:fill="auto" w:val="clear"/>
            <w:vAlign w:val="center"/>
          </w:tcPr>
          <w:p>
            <w:pPr>
              <w:pStyle w:val="TableContents"/>
              <w:spacing w:lineRule="auto" w:line="252" w:before="0" w:after="0"/>
              <w:ind w:left="100" w:right="0" w:hanging="0"/>
              <w:jc w:val="left"/>
              <w:rPr/>
            </w:pPr>
            <w:r>
              <w:rPr/>
              <w:t>   </w:t>
            </w:r>
            <w:r>
              <w:rPr>
                <w:rFonts w:ascii="Times New Roman" w:hAnsi="Times New Roman"/>
                <w:b w:val="false"/>
                <w:sz w:val="16"/>
              </w:rPr>
              <w:t>Net realized loss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314" w:type="dxa"/>
            <w:tcBorders/>
            <w:shd w:fill="auto" w:val="clear"/>
            <w:vAlign w:val="center"/>
          </w:tcPr>
          <w:p>
            <w:pPr>
              <w:pStyle w:val="TableContents"/>
              <w:spacing w:lineRule="auto" w:line="25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4010" w:type="dxa"/>
            <w:tcBorders/>
            <w:shd w:fill="auto" w:val="clear"/>
            <w:vAlign w:val="center"/>
          </w:tcPr>
          <w:p>
            <w:pPr>
              <w:pStyle w:val="TableContents"/>
              <w:spacing w:lineRule="auto" w:line="252" w:before="0" w:after="0"/>
              <w:ind w:left="100" w:right="0" w:hanging="0"/>
              <w:jc w:val="left"/>
              <w:rPr/>
            </w:pPr>
            <w:r>
              <w:rPr/>
              <w:t>   </w:t>
            </w:r>
            <w:r>
              <w:rPr>
                <w:rFonts w:ascii="Times New Roman" w:hAnsi="Times New Roman"/>
                <w:b w:val="false"/>
                <w:sz w:val="16"/>
              </w:rPr>
              <w:t>Net change in unrealized appreciation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229</w:t>
            </w:r>
          </w:p>
        </w:tc>
        <w:tc>
          <w:tcPr>
            <w:tcW w:w="314" w:type="dxa"/>
            <w:tcBorders/>
            <w:shd w:fill="auto" w:val="clear"/>
            <w:vAlign w:val="center"/>
          </w:tcPr>
          <w:p>
            <w:pPr>
              <w:pStyle w:val="TableContents"/>
              <w:spacing w:lineRule="auto" w:line="252" w:before="0" w:after="0"/>
              <w:ind w:left="0" w:right="0" w:hanging="0"/>
              <w:jc w:val="left"/>
              <w:rPr/>
            </w:pPr>
            <w:r>
              <w:rPr/>
              <w:t> </w:t>
            </w:r>
          </w:p>
        </w:tc>
      </w:tr>
      <w:tr>
        <w:trPr/>
        <w:tc>
          <w:tcPr>
            <w:tcW w:w="40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BALANCE, March 31, 2022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82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529"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12"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188,846</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7"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(82,702</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106,171</w:t>
            </w:r>
          </w:p>
        </w:tc>
        <w:tc>
          <w:tcPr>
            <w:tcW w:w="314"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firstLine="100"/>
              <w:jc w:val="left"/>
              <w:rPr/>
            </w:pPr>
            <w:r>
              <w:rPr/>
              <w:t> </w:t>
            </w:r>
          </w:p>
        </w:tc>
      </w:tr>
      <w:tr>
        <w:trPr/>
        <w:tc>
          <w:tcPr>
            <w:tcW w:w="4010" w:type="dxa"/>
            <w:tcBorders/>
            <w:shd w:fill="auto" w:val="clear"/>
            <w:vAlign w:val="center"/>
          </w:tcPr>
          <w:p>
            <w:pPr>
              <w:pStyle w:val="TableContents"/>
              <w:spacing w:lineRule="auto" w:line="252" w:before="0" w:after="0"/>
              <w:ind w:left="100" w:right="0" w:hanging="0"/>
              <w:jc w:val="left"/>
              <w:rPr/>
            </w:pPr>
            <w:r>
              <w:rPr/>
              <w:t> </w:t>
            </w:r>
          </w:p>
        </w:tc>
        <w:tc>
          <w:tcPr>
            <w:tcW w:w="97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829"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13"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314" w:type="dxa"/>
            <w:tcBorders/>
            <w:shd w:fill="auto" w:val="clear"/>
            <w:vAlign w:val="center"/>
          </w:tcPr>
          <w:p>
            <w:pPr>
              <w:pStyle w:val="TableContents"/>
              <w:spacing w:lineRule="auto" w:line="252" w:before="0" w:after="0"/>
              <w:ind w:left="0" w:right="0" w:hanging="0"/>
              <w:jc w:val="right"/>
              <w:rPr/>
            </w:pPr>
            <w:r>
              <w:rPr/>
              <w:t> </w:t>
            </w:r>
          </w:p>
        </w:tc>
      </w:tr>
      <w:tr>
        <w:trPr/>
        <w:tc>
          <w:tcPr>
            <w:tcW w:w="40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BALANCE,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52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1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229,481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(120,561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108,947</w:t>
            </w:r>
          </w:p>
        </w:tc>
        <w:tc>
          <w:tcPr>
            <w:tcW w:w="314" w:type="dxa"/>
            <w:tcBorders/>
            <w:shd w:fill="auto" w:val="clear"/>
            <w:vAlign w:val="center"/>
          </w:tcPr>
          <w:p>
            <w:pPr>
              <w:pStyle w:val="TableContents"/>
              <w:spacing w:lineRule="auto" w:line="252" w:before="0" w:after="0"/>
              <w:ind w:left="0" w:right="0" w:firstLine="100"/>
              <w:jc w:val="left"/>
              <w:rPr/>
            </w:pPr>
            <w:r>
              <w:rPr/>
              <w:t> </w:t>
            </w:r>
          </w:p>
        </w:tc>
      </w:tr>
      <w:tr>
        <w:trPr/>
        <w:tc>
          <w:tcPr>
            <w:tcW w:w="4010" w:type="dxa"/>
            <w:tcBorders/>
            <w:shd w:fill="auto" w:val="clear"/>
            <w:vAlign w:val="center"/>
          </w:tcPr>
          <w:p>
            <w:pPr>
              <w:pStyle w:val="TableContents"/>
              <w:spacing w:lineRule="auto" w:line="252" w:before="0" w:after="0"/>
              <w:ind w:left="100" w:right="0" w:hanging="0"/>
              <w:jc w:val="left"/>
              <w:rPr/>
            </w:pPr>
            <w:r>
              <w:rPr/>
              <w:t>   </w:t>
            </w:r>
            <w:r>
              <w:rPr>
                <w:rFonts w:ascii="Times New Roman" w:hAnsi="Times New Roman"/>
                <w:b w:val="false"/>
                <w:sz w:val="16"/>
              </w:rPr>
              <w:t>Net investment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(783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(783</w:t>
            </w:r>
          </w:p>
        </w:tc>
        <w:tc>
          <w:tcPr>
            <w:tcW w:w="314" w:type="dxa"/>
            <w:tcBorders/>
            <w:shd w:fill="auto" w:val="clear"/>
            <w:vAlign w:val="center"/>
          </w:tcPr>
          <w:p>
            <w:pPr>
              <w:pStyle w:val="TableContents"/>
              <w:spacing w:lineRule="auto" w:line="25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4010" w:type="dxa"/>
            <w:tcBorders/>
            <w:shd w:fill="auto" w:val="clear"/>
            <w:vAlign w:val="center"/>
          </w:tcPr>
          <w:p>
            <w:pPr>
              <w:pStyle w:val="TableContents"/>
              <w:spacing w:lineRule="auto" w:line="252" w:before="0" w:after="0"/>
              <w:ind w:left="100" w:right="0" w:hanging="0"/>
              <w:jc w:val="left"/>
              <w:rPr/>
            </w:pPr>
            <w:r>
              <w:rPr/>
              <w:t>   </w:t>
            </w:r>
            <w:r>
              <w:rPr>
                <w:rFonts w:ascii="Times New Roman" w:hAnsi="Times New Roman"/>
                <w:b w:val="false"/>
                <w:sz w:val="16"/>
              </w:rPr>
              <w:t>Net realized loss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(14,023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(14,023</w:t>
            </w:r>
          </w:p>
        </w:tc>
        <w:tc>
          <w:tcPr>
            <w:tcW w:w="314" w:type="dxa"/>
            <w:tcBorders/>
            <w:shd w:fill="auto" w:val="clear"/>
            <w:vAlign w:val="center"/>
          </w:tcPr>
          <w:p>
            <w:pPr>
              <w:pStyle w:val="TableContents"/>
              <w:spacing w:lineRule="auto" w:line="25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4010" w:type="dxa"/>
            <w:tcBorders/>
            <w:shd w:fill="auto" w:val="clear"/>
            <w:vAlign w:val="center"/>
          </w:tcPr>
          <w:p>
            <w:pPr>
              <w:pStyle w:val="TableContents"/>
              <w:spacing w:lineRule="auto" w:line="252" w:before="0" w:after="0"/>
              <w:ind w:left="100" w:right="0" w:hanging="0"/>
              <w:jc w:val="left"/>
              <w:rPr/>
            </w:pPr>
            <w:r>
              <w:rPr/>
              <w:t>   </w:t>
            </w:r>
            <w:r>
              <w:rPr>
                <w:rFonts w:ascii="Times New Roman" w:hAnsi="Times New Roman"/>
                <w:b w:val="false"/>
                <w:sz w:val="16"/>
              </w:rPr>
              <w:t>Net change in unrealized appreciation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27,160</w:t>
            </w:r>
          </w:p>
        </w:tc>
        <w:tc>
          <w:tcPr>
            <w:tcW w:w="314" w:type="dxa"/>
            <w:tcBorders/>
            <w:shd w:fill="auto" w:val="clear"/>
            <w:vAlign w:val="center"/>
          </w:tcPr>
          <w:p>
            <w:pPr>
              <w:pStyle w:val="TableContents"/>
              <w:spacing w:lineRule="auto" w:line="252" w:before="0" w:after="0"/>
              <w:ind w:left="0" w:right="0" w:hanging="0"/>
              <w:jc w:val="left"/>
              <w:rPr/>
            </w:pPr>
            <w:r>
              <w:rPr/>
              <w:t> </w:t>
            </w:r>
          </w:p>
        </w:tc>
      </w:tr>
      <w:tr>
        <w:trPr/>
        <w:tc>
          <w:tcPr>
            <w:tcW w:w="40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BALANCE, March 31, 2021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82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0"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529"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12"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229,481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5"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7"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(108,207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121,301</w:t>
            </w:r>
          </w:p>
        </w:tc>
        <w:tc>
          <w:tcPr>
            <w:tcW w:w="314"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bookmarkStart w:id="6" w:name="statements_of_cash_flows"/>
      <w:bookmarkEnd w:id="6"/>
      <w:r>
        <w:rPr>
          <w:rFonts w:ascii="Times New Roman" w:hAnsi="Times New Roman"/>
          <w:b/>
          <w:sz w:val="16"/>
        </w:rPr>
        <w:t>Consolidated Statements of Cash Flows</w:t>
      </w:r>
    </w:p>
    <w:p>
      <w:pPr>
        <w:pStyle w:val="TextBody"/>
        <w:spacing w:lineRule="auto" w:line="273" w:before="0" w:after="0"/>
        <w:jc w:val="center"/>
        <w:rPr>
          <w:rFonts w:ascii="Times New Roman" w:hAnsi="Times New Roman"/>
          <w:b/>
          <w:sz w:val="16"/>
        </w:rPr>
      </w:pPr>
      <w:r>
        <w:rPr>
          <w:rFonts w:ascii="Times New Roman" w:hAnsi="Times New Roman"/>
          <w:b/>
          <w:sz w:val="16"/>
        </w:rPr>
        <w:t>(in thousands)</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tbl>
      <w:tblPr>
        <w:tblW w:w="10205" w:type="dxa"/>
        <w:jc w:val="left"/>
        <w:tblInd w:w="0" w:type="dxa"/>
        <w:tblCellMar>
          <w:top w:w="28" w:type="dxa"/>
          <w:left w:w="28" w:type="dxa"/>
          <w:bottom w:w="28" w:type="dxa"/>
          <w:right w:w="28" w:type="dxa"/>
        </w:tblCellMar>
      </w:tblPr>
      <w:tblGrid>
        <w:gridCol w:w="6898"/>
        <w:gridCol w:w="146"/>
        <w:gridCol w:w="255"/>
        <w:gridCol w:w="864"/>
        <w:gridCol w:w="216"/>
        <w:gridCol w:w="190"/>
        <w:gridCol w:w="255"/>
        <w:gridCol w:w="864"/>
        <w:gridCol w:w="517"/>
      </w:tblGrid>
      <w:tr>
        <w:trPr/>
        <w:tc>
          <w:tcPr>
            <w:tcW w:w="68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r>
      <w:tr>
        <w:trPr/>
        <w:tc>
          <w:tcPr>
            <w:tcW w:w="6898"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4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5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898"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1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0" w:type="dxa"/>
            <w:tcBorders/>
            <w:shd w:fill="auto" w:val="clear"/>
            <w:vAlign w:val="center"/>
          </w:tcPr>
          <w:p>
            <w:pPr>
              <w:pStyle w:val="TableContents"/>
              <w:spacing w:lineRule="auto" w:line="252" w:before="0" w:after="0"/>
              <w:ind w:left="0" w:right="0" w:hanging="0"/>
              <w:jc w:val="center"/>
              <w:rPr/>
            </w:pPr>
            <w:r>
              <w:rPr/>
              <w:t> </w:t>
            </w:r>
          </w:p>
        </w:tc>
        <w:tc>
          <w:tcPr>
            <w:tcW w:w="111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5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898"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CASH FLOWS FROM OPERATING ACTIVITIES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216" w:type="dxa"/>
            <w:tcBorders/>
            <w:shd w:fill="auto" w:val="clear"/>
            <w:vAlign w:val="center"/>
          </w:tcPr>
          <w:p>
            <w:pPr>
              <w:pStyle w:val="TableContents"/>
              <w:spacing w:lineRule="auto" w:line="252" w:before="0" w:after="0"/>
              <w:ind w:left="0" w:right="0" w:hanging="0"/>
              <w:jc w:val="righ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517" w:type="dxa"/>
            <w:tcBorders/>
            <w:shd w:fill="auto" w:val="clear"/>
            <w:vAlign w:val="center"/>
          </w:tcPr>
          <w:p>
            <w:pPr>
              <w:pStyle w:val="TableContents"/>
              <w:spacing w:lineRule="auto" w:line="252" w:before="0" w:after="0"/>
              <w:ind w:left="0" w:right="0" w:firstLine="100"/>
              <w:jc w:val="right"/>
              <w:rPr/>
            </w:pPr>
            <w:r>
              <w:rPr/>
              <w:t> </w:t>
            </w:r>
          </w:p>
        </w:tc>
      </w:tr>
      <w:tr>
        <w:trPr/>
        <w:tc>
          <w:tcPr>
            <w:tcW w:w="6898" w:type="dxa"/>
            <w:tcBorders/>
            <w:shd w:fill="auto" w:val="clear"/>
            <w:vAlign w:val="center"/>
          </w:tcPr>
          <w:p>
            <w:pPr>
              <w:pStyle w:val="TableContents"/>
              <w:spacing w:lineRule="auto" w:line="252" w:before="0" w:after="0"/>
              <w:ind w:left="100" w:right="0" w:hanging="0"/>
              <w:jc w:val="left"/>
              <w:rPr>
                <w:rFonts w:ascii="Times New Roman" w:hAnsi="Times New Roman"/>
                <w:b w:val="false"/>
                <w:sz w:val="16"/>
              </w:rPr>
            </w:pPr>
            <w:r>
              <w:rPr>
                <w:rFonts w:ascii="Times New Roman" w:hAnsi="Times New Roman"/>
                <w:b w:val="false"/>
                <w:sz w:val="16"/>
              </w:rPr>
              <w:t>Net (decrease) increase in net assets resulting from operations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(858</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12,354</w:t>
            </w:r>
          </w:p>
        </w:tc>
        <w:tc>
          <w:tcPr>
            <w:tcW w:w="517" w:type="dxa"/>
            <w:tcBorders/>
            <w:shd w:fill="auto" w:val="clear"/>
            <w:vAlign w:val="center"/>
          </w:tcPr>
          <w:p>
            <w:pPr>
              <w:pStyle w:val="TableContents"/>
              <w:spacing w:lineRule="auto" w:line="252" w:before="0" w:after="0"/>
              <w:ind w:left="0" w:right="0" w:firstLine="100"/>
              <w:jc w:val="left"/>
              <w:rPr/>
            </w:pPr>
            <w:r>
              <w:rPr/>
              <w:t> </w:t>
            </w:r>
          </w:p>
        </w:tc>
      </w:tr>
      <w:tr>
        <w:trPr/>
        <w:tc>
          <w:tcPr>
            <w:tcW w:w="6898" w:type="dxa"/>
            <w:tcBorders/>
            <w:shd w:fill="auto" w:val="clear"/>
            <w:vAlign w:val="center"/>
          </w:tcPr>
          <w:p>
            <w:pPr>
              <w:pStyle w:val="TableContents"/>
              <w:spacing w:lineRule="auto" w:line="252" w:before="0" w:after="0"/>
              <w:ind w:left="100" w:right="0" w:hanging="0"/>
              <w:jc w:val="left"/>
              <w:rPr>
                <w:rFonts w:ascii="Times New Roman" w:hAnsi="Times New Roman"/>
                <w:b w:val="false"/>
                <w:sz w:val="16"/>
              </w:rPr>
            </w:pPr>
            <w:r>
              <w:rPr>
                <w:rFonts w:ascii="Times New Roman" w:hAnsi="Times New Roman"/>
                <w:b w:val="false"/>
                <w:sz w:val="16"/>
              </w:rPr>
              <w:t>Adjustments to reconcile net (decrease) increase in net assets resulting from operations to net cash (used in) provided by operating activities: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216" w:type="dxa"/>
            <w:tcBorders/>
            <w:shd w:fill="auto" w:val="clear"/>
            <w:vAlign w:val="center"/>
          </w:tcPr>
          <w:p>
            <w:pPr>
              <w:pStyle w:val="TableContents"/>
              <w:spacing w:lineRule="auto" w:line="252" w:before="0" w:after="0"/>
              <w:ind w:left="0" w:right="0" w:hanging="0"/>
              <w:jc w:val="righ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517" w:type="dxa"/>
            <w:tcBorders/>
            <w:shd w:fill="auto" w:val="clear"/>
            <w:vAlign w:val="center"/>
          </w:tcPr>
          <w:p>
            <w:pPr>
              <w:pStyle w:val="TableContents"/>
              <w:spacing w:lineRule="auto" w:line="252" w:before="0" w:after="0"/>
              <w:ind w:left="0" w:right="0" w:firstLine="200"/>
              <w:jc w:val="right"/>
              <w:rPr/>
            </w:pPr>
            <w:r>
              <w:rPr/>
              <w:t> </w:t>
            </w:r>
          </w:p>
        </w:tc>
      </w:tr>
      <w:tr>
        <w:trPr/>
        <w:tc>
          <w:tcPr>
            <w:tcW w:w="689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Purchase of investments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(16,393</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pPr>
            <w:r>
              <w:rPr/>
              <w:t>—</w:t>
            </w:r>
          </w:p>
        </w:tc>
        <w:tc>
          <w:tcPr>
            <w:tcW w:w="517" w:type="dxa"/>
            <w:tcBorders/>
            <w:shd w:fill="auto" w:val="clear"/>
            <w:vAlign w:val="center"/>
          </w:tcPr>
          <w:p>
            <w:pPr>
              <w:pStyle w:val="TableContents"/>
              <w:spacing w:lineRule="auto" w:line="252" w:before="0" w:after="0"/>
              <w:ind w:left="0" w:right="0" w:firstLine="200"/>
              <w:jc w:val="left"/>
              <w:rPr/>
            </w:pPr>
            <w:r>
              <w:rPr/>
              <w:t> </w:t>
            </w:r>
          </w:p>
        </w:tc>
      </w:tr>
      <w:tr>
        <w:trPr/>
        <w:tc>
          <w:tcPr>
            <w:tcW w:w="689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Repayments and sales of investments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8,401</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29,906</w:t>
            </w:r>
          </w:p>
        </w:tc>
        <w:tc>
          <w:tcPr>
            <w:tcW w:w="517" w:type="dxa"/>
            <w:tcBorders/>
            <w:shd w:fill="auto" w:val="clear"/>
            <w:vAlign w:val="center"/>
          </w:tcPr>
          <w:p>
            <w:pPr>
              <w:pStyle w:val="TableContents"/>
              <w:spacing w:lineRule="auto" w:line="252" w:before="0" w:after="0"/>
              <w:ind w:left="0" w:right="0" w:firstLine="200"/>
              <w:jc w:val="left"/>
              <w:rPr/>
            </w:pPr>
            <w:r>
              <w:rPr/>
              <w:t> </w:t>
            </w:r>
          </w:p>
        </w:tc>
      </w:tr>
      <w:tr>
        <w:trPr/>
        <w:tc>
          <w:tcPr>
            <w:tcW w:w="689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Net realized loss on investments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14,023</w:t>
            </w:r>
          </w:p>
        </w:tc>
        <w:tc>
          <w:tcPr>
            <w:tcW w:w="517" w:type="dxa"/>
            <w:tcBorders/>
            <w:shd w:fill="auto" w:val="clear"/>
            <w:vAlign w:val="center"/>
          </w:tcPr>
          <w:p>
            <w:pPr>
              <w:pStyle w:val="TableContents"/>
              <w:spacing w:lineRule="auto" w:line="252" w:before="0" w:after="0"/>
              <w:ind w:left="0" w:right="0" w:firstLine="200"/>
              <w:jc w:val="left"/>
              <w:rPr/>
            </w:pPr>
            <w:r>
              <w:rPr/>
              <w:t> </w:t>
            </w:r>
          </w:p>
        </w:tc>
      </w:tr>
      <w:tr>
        <w:trPr/>
        <w:tc>
          <w:tcPr>
            <w:tcW w:w="689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Net change in unrealized appreciation on investments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(229</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(27,160</w:t>
            </w:r>
          </w:p>
        </w:tc>
        <w:tc>
          <w:tcPr>
            <w:tcW w:w="517"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689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Payment-in-kind interest and dividends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(132</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(170</w:t>
            </w:r>
          </w:p>
        </w:tc>
        <w:tc>
          <w:tcPr>
            <w:tcW w:w="517"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689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Accretion of original issue discount on investments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(399</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(77</w:t>
            </w:r>
          </w:p>
        </w:tc>
        <w:tc>
          <w:tcPr>
            <w:tcW w:w="517"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689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Amortization of deferred financing fees and original issue discount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254</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425</w:t>
            </w:r>
          </w:p>
        </w:tc>
        <w:tc>
          <w:tcPr>
            <w:tcW w:w="517" w:type="dxa"/>
            <w:tcBorders/>
            <w:shd w:fill="auto" w:val="clear"/>
            <w:vAlign w:val="center"/>
          </w:tcPr>
          <w:p>
            <w:pPr>
              <w:pStyle w:val="TableContents"/>
              <w:spacing w:lineRule="auto" w:line="252" w:before="0" w:after="0"/>
              <w:ind w:left="0" w:right="0" w:firstLine="200"/>
              <w:jc w:val="left"/>
              <w:rPr/>
            </w:pPr>
            <w:r>
              <w:rPr/>
              <w:t> </w:t>
            </w:r>
          </w:p>
        </w:tc>
      </w:tr>
      <w:tr>
        <w:trPr/>
        <w:tc>
          <w:tcPr>
            <w:tcW w:w="689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Changes in assets and liabilities: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216" w:type="dxa"/>
            <w:tcBorders/>
            <w:shd w:fill="auto" w:val="clear"/>
            <w:vAlign w:val="center"/>
          </w:tcPr>
          <w:p>
            <w:pPr>
              <w:pStyle w:val="TableContents"/>
              <w:spacing w:lineRule="auto" w:line="252" w:before="0" w:after="0"/>
              <w:ind w:left="0" w:right="0" w:hanging="0"/>
              <w:jc w:val="righ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517" w:type="dxa"/>
            <w:tcBorders/>
            <w:shd w:fill="auto" w:val="clear"/>
            <w:vAlign w:val="center"/>
          </w:tcPr>
          <w:p>
            <w:pPr>
              <w:pStyle w:val="TableContents"/>
              <w:spacing w:lineRule="auto" w:line="252" w:before="0" w:after="0"/>
              <w:ind w:left="0" w:right="0" w:firstLine="300"/>
              <w:jc w:val="right"/>
              <w:rPr/>
            </w:pPr>
            <w:r>
              <w:rPr/>
              <w:t> </w:t>
            </w:r>
          </w:p>
        </w:tc>
      </w:tr>
      <w:tr>
        <w:trPr/>
        <w:tc>
          <w:tcPr>
            <w:tcW w:w="6898" w:type="dxa"/>
            <w:tcBorders/>
            <w:shd w:fill="auto" w:val="clear"/>
            <w:vAlign w:val="center"/>
          </w:tcPr>
          <w:p>
            <w:pPr>
              <w:pStyle w:val="TableContents"/>
              <w:spacing w:lineRule="auto" w:line="252" w:before="0" w:after="0"/>
              <w:ind w:left="300" w:right="0" w:hanging="0"/>
              <w:jc w:val="left"/>
              <w:rPr>
                <w:rFonts w:ascii="Times New Roman" w:hAnsi="Times New Roman"/>
                <w:b w:val="false"/>
                <w:sz w:val="16"/>
              </w:rPr>
            </w:pPr>
            <w:r>
              <w:rPr>
                <w:rFonts w:ascii="Times New Roman" w:hAnsi="Times New Roman"/>
                <w:b w:val="false"/>
                <w:sz w:val="16"/>
              </w:rPr>
              <w:t>Interest and dividend receivable</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(96</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1,143</w:t>
            </w:r>
          </w:p>
        </w:tc>
        <w:tc>
          <w:tcPr>
            <w:tcW w:w="517" w:type="dxa"/>
            <w:tcBorders/>
            <w:shd w:fill="auto" w:val="clear"/>
            <w:vAlign w:val="center"/>
          </w:tcPr>
          <w:p>
            <w:pPr>
              <w:pStyle w:val="TableContents"/>
              <w:spacing w:lineRule="auto" w:line="252" w:before="0" w:after="0"/>
              <w:ind w:left="0" w:right="0" w:firstLine="300"/>
              <w:jc w:val="left"/>
              <w:rPr/>
            </w:pPr>
            <w:r>
              <w:rPr/>
              <w:t> </w:t>
            </w:r>
          </w:p>
        </w:tc>
      </w:tr>
      <w:tr>
        <w:trPr/>
        <w:tc>
          <w:tcPr>
            <w:tcW w:w="6898" w:type="dxa"/>
            <w:tcBorders/>
            <w:shd w:fill="auto" w:val="clear"/>
            <w:vAlign w:val="center"/>
          </w:tcPr>
          <w:p>
            <w:pPr>
              <w:pStyle w:val="TableContents"/>
              <w:spacing w:lineRule="auto" w:line="252" w:before="0" w:after="0"/>
              <w:ind w:left="300" w:right="0" w:hanging="0"/>
              <w:jc w:val="left"/>
              <w:rPr>
                <w:rFonts w:ascii="Times New Roman" w:hAnsi="Times New Roman"/>
                <w:b w:val="false"/>
                <w:sz w:val="16"/>
              </w:rPr>
            </w:pPr>
            <w:r>
              <w:rPr>
                <w:rFonts w:ascii="Times New Roman" w:hAnsi="Times New Roman"/>
                <w:b w:val="false"/>
                <w:sz w:val="16"/>
              </w:rPr>
              <w:t>Prepaid expenses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221</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206</w:t>
            </w:r>
          </w:p>
        </w:tc>
        <w:tc>
          <w:tcPr>
            <w:tcW w:w="517" w:type="dxa"/>
            <w:tcBorders/>
            <w:shd w:fill="auto" w:val="clear"/>
            <w:vAlign w:val="center"/>
          </w:tcPr>
          <w:p>
            <w:pPr>
              <w:pStyle w:val="TableContents"/>
              <w:spacing w:lineRule="auto" w:line="252" w:before="0" w:after="0"/>
              <w:ind w:left="0" w:right="0" w:firstLine="300"/>
              <w:jc w:val="left"/>
              <w:rPr/>
            </w:pPr>
            <w:r>
              <w:rPr/>
              <w:t> </w:t>
            </w:r>
          </w:p>
        </w:tc>
      </w:tr>
      <w:tr>
        <w:trPr/>
        <w:tc>
          <w:tcPr>
            <w:tcW w:w="6898" w:type="dxa"/>
            <w:tcBorders/>
            <w:shd w:fill="auto" w:val="clear"/>
            <w:vAlign w:val="center"/>
          </w:tcPr>
          <w:p>
            <w:pPr>
              <w:pStyle w:val="TableContents"/>
              <w:spacing w:lineRule="auto" w:line="252" w:before="0" w:after="0"/>
              <w:ind w:left="300" w:right="0" w:hanging="0"/>
              <w:jc w:val="left"/>
              <w:rPr>
                <w:rFonts w:ascii="Times New Roman" w:hAnsi="Times New Roman"/>
                <w:b w:val="false"/>
                <w:sz w:val="16"/>
              </w:rPr>
            </w:pPr>
            <w:r>
              <w:rPr>
                <w:rFonts w:ascii="Times New Roman" w:hAnsi="Times New Roman"/>
                <w:b w:val="false"/>
                <w:sz w:val="16"/>
              </w:rPr>
              <w:t>Receivable for unsettled trades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(6,401</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pPr>
            <w:r>
              <w:rPr/>
              <w:t>—</w:t>
            </w:r>
          </w:p>
        </w:tc>
        <w:tc>
          <w:tcPr>
            <w:tcW w:w="517" w:type="dxa"/>
            <w:tcBorders/>
            <w:shd w:fill="auto" w:val="clear"/>
            <w:vAlign w:val="center"/>
          </w:tcPr>
          <w:p>
            <w:pPr>
              <w:pStyle w:val="TableContents"/>
              <w:spacing w:lineRule="auto" w:line="252" w:before="0" w:after="0"/>
              <w:ind w:left="0" w:right="0" w:firstLine="300"/>
              <w:jc w:val="left"/>
              <w:rPr/>
            </w:pPr>
            <w:r>
              <w:rPr/>
              <w:t> </w:t>
            </w:r>
          </w:p>
        </w:tc>
      </w:tr>
      <w:tr>
        <w:trPr/>
        <w:tc>
          <w:tcPr>
            <w:tcW w:w="6898" w:type="dxa"/>
            <w:tcBorders/>
            <w:shd w:fill="auto" w:val="clear"/>
            <w:vAlign w:val="center"/>
          </w:tcPr>
          <w:p>
            <w:pPr>
              <w:pStyle w:val="TableContents"/>
              <w:spacing w:lineRule="auto" w:line="252" w:before="0" w:after="0"/>
              <w:ind w:left="300" w:right="0" w:hanging="0"/>
              <w:jc w:val="left"/>
              <w:rPr>
                <w:rFonts w:ascii="Times New Roman" w:hAnsi="Times New Roman"/>
                <w:b w:val="false"/>
                <w:sz w:val="16"/>
              </w:rPr>
            </w:pPr>
            <w:r>
              <w:rPr>
                <w:rFonts w:ascii="Times New Roman" w:hAnsi="Times New Roman"/>
                <w:b w:val="false"/>
                <w:sz w:val="16"/>
              </w:rPr>
              <w:t>Management and incentive fees payable</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(38</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(80</w:t>
            </w:r>
          </w:p>
        </w:tc>
        <w:tc>
          <w:tcPr>
            <w:tcW w:w="517" w:type="dxa"/>
            <w:tcBorders/>
            <w:shd w:fill="auto" w:val="clear"/>
            <w:vAlign w:val="center"/>
          </w:tcPr>
          <w:p>
            <w:pPr>
              <w:pStyle w:val="TableContents"/>
              <w:spacing w:lineRule="auto" w:line="252" w:before="0" w:after="0"/>
              <w:ind w:left="0" w:right="0" w:firstLine="300"/>
              <w:jc w:val="left"/>
              <w:rPr>
                <w:rFonts w:ascii="Times New Roman" w:hAnsi="Times New Roman"/>
                <w:b w:val="false"/>
                <w:sz w:val="16"/>
              </w:rPr>
            </w:pPr>
            <w:r>
              <w:rPr>
                <w:rFonts w:ascii="Times New Roman" w:hAnsi="Times New Roman"/>
                <w:b w:val="false"/>
                <w:sz w:val="16"/>
              </w:rPr>
              <w:t>)</w:t>
            </w:r>
          </w:p>
        </w:tc>
      </w:tr>
      <w:tr>
        <w:trPr/>
        <w:tc>
          <w:tcPr>
            <w:tcW w:w="6898" w:type="dxa"/>
            <w:tcBorders/>
            <w:shd w:fill="auto" w:val="clear"/>
            <w:vAlign w:val="center"/>
          </w:tcPr>
          <w:p>
            <w:pPr>
              <w:pStyle w:val="TableContents"/>
              <w:spacing w:lineRule="auto" w:line="252" w:before="0" w:after="0"/>
              <w:ind w:left="300" w:right="0" w:hanging="0"/>
              <w:jc w:val="left"/>
              <w:rPr>
                <w:rFonts w:ascii="Times New Roman" w:hAnsi="Times New Roman"/>
                <w:b w:val="false"/>
                <w:sz w:val="16"/>
              </w:rPr>
            </w:pPr>
            <w:r>
              <w:rPr>
                <w:rFonts w:ascii="Times New Roman" w:hAnsi="Times New Roman"/>
                <w:b w:val="false"/>
                <w:sz w:val="16"/>
              </w:rPr>
              <w:t>Interest and financing fees payable</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684</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(757</w:t>
            </w:r>
          </w:p>
        </w:tc>
        <w:tc>
          <w:tcPr>
            <w:tcW w:w="517" w:type="dxa"/>
            <w:tcBorders/>
            <w:shd w:fill="auto" w:val="clear"/>
            <w:vAlign w:val="center"/>
          </w:tcPr>
          <w:p>
            <w:pPr>
              <w:pStyle w:val="TableContents"/>
              <w:spacing w:lineRule="auto" w:line="252" w:before="0" w:after="0"/>
              <w:ind w:left="0" w:right="0" w:firstLine="300"/>
              <w:jc w:val="left"/>
              <w:rPr>
                <w:rFonts w:ascii="Times New Roman" w:hAnsi="Times New Roman"/>
                <w:b w:val="false"/>
                <w:sz w:val="16"/>
              </w:rPr>
            </w:pPr>
            <w:r>
              <w:rPr>
                <w:rFonts w:ascii="Times New Roman" w:hAnsi="Times New Roman"/>
                <w:b w:val="false"/>
                <w:sz w:val="16"/>
              </w:rPr>
              <w:t>)</w:t>
            </w:r>
          </w:p>
        </w:tc>
      </w:tr>
      <w:tr>
        <w:trPr/>
        <w:tc>
          <w:tcPr>
            <w:tcW w:w="6898" w:type="dxa"/>
            <w:tcBorders/>
            <w:shd w:fill="auto" w:val="clear"/>
            <w:vAlign w:val="center"/>
          </w:tcPr>
          <w:p>
            <w:pPr>
              <w:pStyle w:val="TableContents"/>
              <w:spacing w:lineRule="auto" w:line="252" w:before="0" w:after="0"/>
              <w:ind w:left="300" w:right="0" w:hanging="0"/>
              <w:jc w:val="left"/>
              <w:rPr>
                <w:rFonts w:ascii="Times New Roman" w:hAnsi="Times New Roman"/>
                <w:b w:val="false"/>
                <w:sz w:val="16"/>
              </w:rPr>
            </w:pPr>
            <w:r>
              <w:rPr>
                <w:rFonts w:ascii="Times New Roman" w:hAnsi="Times New Roman"/>
                <w:b w:val="false"/>
                <w:sz w:val="16"/>
              </w:rPr>
              <w:t>Payable for unsettled trades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(7,787</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pPr>
            <w:r>
              <w:rPr/>
              <w:t>—</w:t>
            </w:r>
          </w:p>
        </w:tc>
        <w:tc>
          <w:tcPr>
            <w:tcW w:w="517" w:type="dxa"/>
            <w:tcBorders/>
            <w:shd w:fill="auto" w:val="clear"/>
            <w:vAlign w:val="center"/>
          </w:tcPr>
          <w:p>
            <w:pPr>
              <w:pStyle w:val="TableContents"/>
              <w:spacing w:lineRule="auto" w:line="252" w:before="0" w:after="0"/>
              <w:ind w:left="0" w:right="0" w:firstLine="300"/>
              <w:jc w:val="left"/>
              <w:rPr/>
            </w:pPr>
            <w:r>
              <w:rPr/>
              <w:t> </w:t>
            </w:r>
          </w:p>
        </w:tc>
      </w:tr>
      <w:tr>
        <w:trPr/>
        <w:tc>
          <w:tcPr>
            <w:tcW w:w="6898" w:type="dxa"/>
            <w:tcBorders/>
            <w:shd w:fill="auto" w:val="clear"/>
            <w:vAlign w:val="center"/>
          </w:tcPr>
          <w:p>
            <w:pPr>
              <w:pStyle w:val="TableContents"/>
              <w:spacing w:lineRule="auto" w:line="252" w:before="0" w:after="0"/>
              <w:ind w:left="300" w:right="0" w:hanging="0"/>
              <w:jc w:val="left"/>
              <w:rPr>
                <w:rFonts w:ascii="Times New Roman" w:hAnsi="Times New Roman"/>
                <w:b w:val="false"/>
                <w:sz w:val="16"/>
              </w:rPr>
            </w:pPr>
            <w:r>
              <w:rPr>
                <w:rFonts w:ascii="Times New Roman" w:hAnsi="Times New Roman"/>
                <w:b w:val="false"/>
                <w:sz w:val="16"/>
              </w:rPr>
              <w:t>Accounts payable and accrued expenses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(414</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w:t>
            </w:r>
          </w:p>
        </w:tc>
        <w:tc>
          <w:tcPr>
            <w:tcW w:w="5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89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CASH (USED IN) PROVIDED BY OPERATING ACTIVITIES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(23,151</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29,785</w:t>
            </w:r>
          </w:p>
        </w:tc>
        <w:tc>
          <w:tcPr>
            <w:tcW w:w="5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898"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CASH FLOWS FROM FINANCING ACTIVITIES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216" w:type="dxa"/>
            <w:tcBorders/>
            <w:shd w:fill="auto" w:val="clear"/>
            <w:vAlign w:val="center"/>
          </w:tcPr>
          <w:p>
            <w:pPr>
              <w:pStyle w:val="TableContents"/>
              <w:spacing w:lineRule="auto" w:line="252" w:before="0" w:after="0"/>
              <w:ind w:left="0" w:right="0" w:hanging="0"/>
              <w:jc w:val="righ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517" w:type="dxa"/>
            <w:tcBorders/>
            <w:shd w:fill="auto" w:val="clear"/>
            <w:vAlign w:val="center"/>
          </w:tcPr>
          <w:p>
            <w:pPr>
              <w:pStyle w:val="TableContents"/>
              <w:spacing w:lineRule="auto" w:line="252" w:before="0" w:after="0"/>
              <w:ind w:left="0" w:right="0" w:firstLine="100"/>
              <w:jc w:val="right"/>
              <w:rPr/>
            </w:pPr>
            <w:r>
              <w:rPr/>
              <w:t> </w:t>
            </w:r>
          </w:p>
        </w:tc>
      </w:tr>
      <w:tr>
        <w:trPr/>
        <w:tc>
          <w:tcPr>
            <w:tcW w:w="6898" w:type="dxa"/>
            <w:tcBorders/>
            <w:shd w:fill="auto" w:val="clear"/>
            <w:vAlign w:val="center"/>
          </w:tcPr>
          <w:p>
            <w:pPr>
              <w:pStyle w:val="TableContents"/>
              <w:spacing w:lineRule="auto" w:line="252" w:before="0" w:after="0"/>
              <w:ind w:left="100" w:right="0" w:hanging="0"/>
              <w:jc w:val="left"/>
              <w:rPr>
                <w:rFonts w:ascii="Times New Roman" w:hAnsi="Times New Roman"/>
                <w:b w:val="false"/>
                <w:sz w:val="16"/>
              </w:rPr>
            </w:pPr>
            <w:r>
              <w:rPr>
                <w:rFonts w:ascii="Times New Roman" w:hAnsi="Times New Roman"/>
                <w:b w:val="false"/>
                <w:sz w:val="16"/>
              </w:rPr>
              <w:t>Paydowns on SBA-guaranteed debentures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pPr>
            <w:r>
              <w:rPr/>
              <w:t>—</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(20,000</w:t>
            </w:r>
          </w:p>
        </w:tc>
        <w:tc>
          <w:tcPr>
            <w:tcW w:w="517" w:type="dxa"/>
            <w:tcBorders/>
            <w:shd w:fill="auto" w:val="clear"/>
            <w:vAlign w:val="center"/>
          </w:tcPr>
          <w:p>
            <w:pPr>
              <w:pStyle w:val="TableContents"/>
              <w:spacing w:lineRule="auto" w:line="25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6898" w:type="dxa"/>
            <w:tcBorders/>
            <w:shd w:fill="auto" w:val="clear"/>
            <w:vAlign w:val="center"/>
          </w:tcPr>
          <w:p>
            <w:pPr>
              <w:pStyle w:val="TableContents"/>
              <w:spacing w:lineRule="auto" w:line="252" w:before="0" w:after="0"/>
              <w:ind w:left="100" w:right="0" w:hanging="0"/>
              <w:jc w:val="left"/>
              <w:rPr>
                <w:rFonts w:ascii="Times New Roman" w:hAnsi="Times New Roman"/>
                <w:b w:val="false"/>
                <w:sz w:val="16"/>
              </w:rPr>
            </w:pPr>
            <w:r>
              <w:rPr>
                <w:rFonts w:ascii="Times New Roman" w:hAnsi="Times New Roman"/>
                <w:b w:val="false"/>
                <w:sz w:val="16"/>
              </w:rPr>
              <w:t>Deferred financing fees paid</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(67</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89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CASH USED IN FINANCING ACTIVITIES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(67</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(20,000</w:t>
            </w:r>
          </w:p>
        </w:tc>
        <w:tc>
          <w:tcPr>
            <w:tcW w:w="5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89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(DECREASE) INCREASE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(23,218</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9,785</w:t>
            </w:r>
          </w:p>
        </w:tc>
        <w:tc>
          <w:tcPr>
            <w:tcW w:w="517" w:type="dxa"/>
            <w:tcBorders/>
            <w:shd w:fill="auto" w:val="clear"/>
            <w:vAlign w:val="center"/>
          </w:tcPr>
          <w:p>
            <w:pPr>
              <w:pStyle w:val="TableContents"/>
              <w:spacing w:lineRule="auto" w:line="252" w:before="0" w:after="0"/>
              <w:ind w:left="0" w:right="0" w:hanging="0"/>
              <w:jc w:val="left"/>
              <w:rPr/>
            </w:pPr>
            <w:r>
              <w:rPr/>
              <w:t> </w:t>
            </w:r>
          </w:p>
        </w:tc>
      </w:tr>
      <w:tr>
        <w:trPr/>
        <w:tc>
          <w:tcPr>
            <w:tcW w:w="689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CASH AND CASH EQUIVALENTS,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39,056</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49,942</w:t>
            </w:r>
          </w:p>
        </w:tc>
        <w:tc>
          <w:tcPr>
            <w:tcW w:w="5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89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CASH AND CASH EQUIVALENTS,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15,838</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59,727</w:t>
            </w:r>
          </w:p>
        </w:tc>
        <w:tc>
          <w:tcPr>
            <w:tcW w:w="5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89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SUPPLEMENTAL DISCLOSURE OF CASH FLOW INFORMATION</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216" w:type="dxa"/>
            <w:tcBorders/>
            <w:shd w:fill="auto" w:val="clear"/>
            <w:vAlign w:val="center"/>
          </w:tcPr>
          <w:p>
            <w:pPr>
              <w:pStyle w:val="TableContents"/>
              <w:spacing w:lineRule="auto" w:line="252" w:before="0" w:after="0"/>
              <w:ind w:left="0" w:right="0" w:hanging="0"/>
              <w:jc w:val="righ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1119" w:type="dxa"/>
            <w:gridSpan w:val="2"/>
            <w:tcBorders/>
            <w:shd w:fill="auto" w:val="clear"/>
            <w:vAlign w:val="center"/>
          </w:tcPr>
          <w:p>
            <w:pPr>
              <w:pStyle w:val="TableContents"/>
              <w:spacing w:lineRule="auto" w:line="252" w:before="0" w:after="0"/>
              <w:ind w:left="0" w:right="0" w:hanging="0"/>
              <w:jc w:val="right"/>
              <w:rPr/>
            </w:pPr>
            <w:r>
              <w:rPr/>
              <w:t> </w:t>
            </w:r>
          </w:p>
        </w:tc>
        <w:tc>
          <w:tcPr>
            <w:tcW w:w="517" w:type="dxa"/>
            <w:tcBorders/>
            <w:shd w:fill="auto" w:val="clear"/>
            <w:vAlign w:val="center"/>
          </w:tcPr>
          <w:p>
            <w:pPr>
              <w:pStyle w:val="TableContents"/>
              <w:spacing w:lineRule="auto" w:line="252" w:before="0" w:after="0"/>
              <w:ind w:left="0" w:right="0" w:firstLine="100"/>
              <w:jc w:val="right"/>
              <w:rPr/>
            </w:pPr>
            <w:r>
              <w:rPr/>
              <w:t> </w:t>
            </w:r>
          </w:p>
        </w:tc>
      </w:tr>
      <w:tr>
        <w:trPr/>
        <w:tc>
          <w:tcPr>
            <w:tcW w:w="6898" w:type="dxa"/>
            <w:tcBorders/>
            <w:shd w:fill="auto" w:val="clear"/>
            <w:vAlign w:val="center"/>
          </w:tcPr>
          <w:p>
            <w:pPr>
              <w:pStyle w:val="TableContents"/>
              <w:spacing w:lineRule="auto" w:line="252" w:before="0" w:after="0"/>
              <w:ind w:left="100" w:right="0" w:hanging="0"/>
              <w:jc w:val="left"/>
              <w:rPr>
                <w:rFonts w:ascii="Times New Roman" w:hAnsi="Times New Roman"/>
                <w:b w:val="false"/>
                <w:sz w:val="16"/>
              </w:rPr>
            </w:pPr>
            <w:r>
              <w:rPr>
                <w:rFonts w:ascii="Times New Roman" w:hAnsi="Times New Roman"/>
                <w:b w:val="false"/>
                <w:sz w:val="16"/>
              </w:rPr>
              <w:t>Cash paid for interest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1,091</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3,291</w:t>
            </w:r>
          </w:p>
        </w:tc>
        <w:tc>
          <w:tcPr>
            <w:tcW w:w="517"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bookmarkStart w:id="7" w:name="schedule_of_investments"/>
      <w:bookmarkEnd w:id="7"/>
      <w:r>
        <w:rPr>
          <w:rFonts w:ascii="Times New Roman" w:hAnsi="Times New Roman"/>
          <w:b/>
          <w:sz w:val="16"/>
        </w:rPr>
        <w:t>Consolidated Schedule of Investments</w:t>
      </w:r>
    </w:p>
    <w:p>
      <w:pPr>
        <w:pStyle w:val="TextBody"/>
        <w:spacing w:lineRule="auto" w:line="273" w:before="0" w:after="0"/>
        <w:jc w:val="center"/>
        <w:rPr>
          <w:rFonts w:ascii="Times New Roman" w:hAnsi="Times New Roman"/>
          <w:b/>
          <w:sz w:val="16"/>
        </w:rPr>
      </w:pPr>
      <w:r>
        <w:rPr>
          <w:rFonts w:ascii="Times New Roman" w:hAnsi="Times New Roman"/>
          <w:b/>
          <w:sz w:val="16"/>
        </w:rPr>
        <w:t>(in thousands, except for units/shares)</w:t>
      </w:r>
    </w:p>
    <w:p>
      <w:pPr>
        <w:pStyle w:val="TextBody"/>
        <w:spacing w:lineRule="auto" w:line="273" w:before="0" w:after="0"/>
        <w:jc w:val="center"/>
        <w:rPr>
          <w:rFonts w:ascii="Times New Roman" w:hAnsi="Times New Roman"/>
          <w:b/>
          <w:sz w:val="16"/>
        </w:rPr>
      </w:pPr>
      <w:r>
        <w:rPr>
          <w:rFonts w:ascii="Times New Roman" w:hAnsi="Times New Roman"/>
          <w:b/>
          <w:sz w:val="16"/>
        </w:rPr>
        <w:t>March 31, 2022</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563"/>
        <w:gridCol w:w="146"/>
        <w:gridCol w:w="1056"/>
        <w:gridCol w:w="146"/>
        <w:gridCol w:w="656"/>
        <w:gridCol w:w="146"/>
        <w:gridCol w:w="856"/>
        <w:gridCol w:w="146"/>
        <w:gridCol w:w="443"/>
        <w:gridCol w:w="146"/>
        <w:gridCol w:w="602"/>
        <w:gridCol w:w="146"/>
        <w:gridCol w:w="177"/>
        <w:gridCol w:w="626"/>
        <w:gridCol w:w="386"/>
        <w:gridCol w:w="146"/>
        <w:gridCol w:w="166"/>
        <w:gridCol w:w="496"/>
        <w:gridCol w:w="386"/>
        <w:gridCol w:w="146"/>
        <w:gridCol w:w="166"/>
        <w:gridCol w:w="496"/>
        <w:gridCol w:w="151"/>
        <w:gridCol w:w="146"/>
        <w:gridCol w:w="665"/>
      </w:tblGrid>
      <w:tr>
        <w:trPr/>
        <w:tc>
          <w:tcPr>
            <w:tcW w:w="15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r>
      <w:tr>
        <w:trPr/>
        <w:tc>
          <w:tcPr>
            <w:tcW w:w="15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 (1), (2), (3), (4), (5)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Interest Rate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 xml:space="preserve">Reference Rate </w:t>
              <w:br/>
              <w:t>and Spread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Floor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Maturity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0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Par/Shares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Cost</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Fair Value</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Footnotes</w:t>
            </w:r>
          </w:p>
        </w:tc>
      </w:tr>
      <w:tr>
        <w:trPr/>
        <w:tc>
          <w:tcPr>
            <w:tcW w:w="5158" w:type="dxa"/>
            <w:gridSpan w:val="9"/>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Investments in Non-Control, Non-Affiliate Portfolio Companies - 129.4%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First Lien/Senior Secured Debt - 85.5%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Accordion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Industrials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09/24/2027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6,748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6,640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6,639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(12)</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Accordion Partners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Industrials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09/30/2026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2,433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2,439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(13)</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Accurate Background,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03/26/2027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2,985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2,737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2,850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12/18/2022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6,941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6,941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6,442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American Academy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+ 11.00%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01/01/2025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2,078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2,054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2,053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(17)</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American Clinical Solutions,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12/31/2022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3,500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3,500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3,386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AP Core Holdings II,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07/21/2027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1,219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1,202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1,211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AP Core Holdings II,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6.25%</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0.75%</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07/21/2027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1,250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1,233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1,250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BigMouth,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Products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11/14/2021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1,513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758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803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(7)(25)</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Bradshaw International,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10/21/2027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Bradshaw International, Inc.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10/21/2026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w:t>
            </w:r>
          </w:p>
        </w:tc>
        <w:tc>
          <w:tcPr>
            <w:tcW w:w="3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(14)</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Critical Nurse Staffing,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10/30/2026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5,909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5,797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5,780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(15)</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Critical Nurse Staffing,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10/30/2026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w:t>
            </w:r>
          </w:p>
        </w:tc>
        <w:tc>
          <w:tcPr>
            <w:tcW w:w="3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Dodge Data &amp; Analytics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5.25%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+ 4.75%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02/10/2029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1,478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1,478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Freedom Electronics, LLC (First Out)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Electronic Machine Repair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12/20/2023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2,581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2,581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2,581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Freedom Electronics, LLC (Last Out)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Electronic Machine Repair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8.67%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12/20/2023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5,632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5,632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5,584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(10)(26)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HUMC Opco,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9.00%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01/14/2022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4,527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4,527</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4,441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JO ET Holdings Limited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SOFR+6.00%, 7.00% PIK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12/15/2026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1,015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Jurassic Quest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Entertainment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9.50%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+ 7.50%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05/01/2024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8,230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8,230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8,223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Keg Logistics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11/23/2027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7,516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7,410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7,432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Keg Logistics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11/23/2027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w:t>
            </w:r>
          </w:p>
        </w:tc>
        <w:tc>
          <w:tcPr>
            <w:tcW w:w="3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(18)</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Lucky Bucks,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07/21/2027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2,963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2,909</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2,911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Marble Point Credit Management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08/11/2028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5,727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5,584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5,629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Marble Point Credit Management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08/11/2028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2,477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2,457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Premier Imaging,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12/29/2028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2,496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2,459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2,456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(20)</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Rotolo Consultants,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Industrials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9.00%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12/21/2026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Sequoia Healthcare Management,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 Management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01/14/2022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11,935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11,935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6,247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(7)</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Symplr Software,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5.25%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SOFR + 4.50%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06/30/2022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1,696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1,678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Wealth Enhancement Group,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10/02/2027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4,339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4,316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4,289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(21)</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Wealth Enhancement Group,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10/02/2027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(22)</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First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97,045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90,786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Second Lien/Senior Secured Debt - 14.9%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American Academy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14.50% PIK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03/01/2028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3,219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3,124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3,123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BLST Operating Company,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Online Merchandise Retailer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+ 8.50%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08/28/2025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1,780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1,780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1,780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(8)(26)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Ivanti Software,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+ 7.25%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12/01/2028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7,000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6,965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6,930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Mandolin Technology Intermediate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07/23/2029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3,972</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3,975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Second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15,841</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15,808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Subordinated Debt - 6.7%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Lucky Bucks,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12.50% PIK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05/29/2028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2,062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2,023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2,008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Tubular Textile Machinery,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Textile Equipment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10/29/2027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5,094</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5,107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7,117</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7,115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Collateralized Loan Obligations - 6.8%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JMP Credit Advisors CLO IV Ltd.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9.64%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07/17/2029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7,891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3,602</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3,236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(19)(24)</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JMP Credit Advisors CLO V Ltd.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13.60%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07/17/2030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7,320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4,504</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3,963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(19)(24)</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Collateralized Loan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8,106</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7,199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Preferred Stock and Units - 2.7%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 - Series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14,656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1,275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479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 - Series 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50,964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3,946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 - Series 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78,900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Jurassic Quest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Entertainment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467,784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480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420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MicroHoldco,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General Industrial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740,237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749</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645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Taylor Precision Products, Inc. - Series 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Household Product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758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758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U.S. BioTek Laboratories, LLC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Testing Laboratories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540</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Preferred Stock and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7,748</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2,909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Common Stock and Membership Units - 12.7%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firstLine="240"/>
              <w:jc w:val="righ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20,092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 - Membership Unit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49,295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American Clinical Solutions, LLC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6,030,384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3,198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5,687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BLST Operating Company, LLC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Online Merchandise Retailer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217,013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286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4,174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Burke America Parts Group,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Home Repair Parts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3,055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(6)</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Freedom Electronics,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Electronic Machine Repair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181,818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230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U.S. BioTek Laboratories, LLC - Class 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Testing Laboratories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578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765"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Common Stock and Membership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4,472</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13,524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3567" w:type="dxa"/>
            <w:gridSpan w:val="5"/>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Investments in Non-Control, Non-Affiliate Portfolio Companies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140,329</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137,341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6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Consolidated Schedule of Investments - Continued</w:t>
      </w:r>
    </w:p>
    <w:p>
      <w:pPr>
        <w:pStyle w:val="TextBody"/>
        <w:spacing w:lineRule="auto" w:line="273" w:before="0" w:after="0"/>
        <w:jc w:val="center"/>
        <w:rPr>
          <w:rFonts w:ascii="Times New Roman" w:hAnsi="Times New Roman"/>
          <w:b/>
          <w:sz w:val="16"/>
        </w:rPr>
      </w:pPr>
      <w:r>
        <w:rPr>
          <w:rFonts w:ascii="Times New Roman" w:hAnsi="Times New Roman"/>
          <w:b/>
          <w:sz w:val="16"/>
        </w:rPr>
        <w:t>(in thousands, excepts for units/shares)</w:t>
      </w:r>
    </w:p>
    <w:p>
      <w:pPr>
        <w:pStyle w:val="TextBody"/>
        <w:spacing w:lineRule="auto" w:line="273" w:before="0" w:after="0"/>
        <w:jc w:val="center"/>
        <w:rPr>
          <w:rFonts w:ascii="Times New Roman" w:hAnsi="Times New Roman"/>
          <w:b/>
          <w:sz w:val="16"/>
        </w:rPr>
      </w:pPr>
      <w:r>
        <w:rPr>
          <w:rFonts w:ascii="Times New Roman" w:hAnsi="Times New Roman"/>
          <w:b/>
          <w:sz w:val="16"/>
        </w:rPr>
        <w:t>March 31, 2022</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374"/>
        <w:gridCol w:w="146"/>
        <w:gridCol w:w="1430"/>
        <w:gridCol w:w="146"/>
        <w:gridCol w:w="712"/>
        <w:gridCol w:w="146"/>
        <w:gridCol w:w="783"/>
        <w:gridCol w:w="146"/>
        <w:gridCol w:w="466"/>
        <w:gridCol w:w="146"/>
        <w:gridCol w:w="609"/>
        <w:gridCol w:w="146"/>
        <w:gridCol w:w="156"/>
        <w:gridCol w:w="694"/>
        <w:gridCol w:w="146"/>
        <w:gridCol w:w="146"/>
        <w:gridCol w:w="166"/>
        <w:gridCol w:w="496"/>
        <w:gridCol w:w="386"/>
        <w:gridCol w:w="146"/>
        <w:gridCol w:w="166"/>
        <w:gridCol w:w="496"/>
        <w:gridCol w:w="146"/>
        <w:gridCol w:w="146"/>
        <w:gridCol w:w="665"/>
      </w:tblGrid>
      <w:tr>
        <w:trPr/>
        <w:tc>
          <w:tcPr>
            <w:tcW w:w="13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r>
      <w:tr>
        <w:trPr/>
        <w:tc>
          <w:tcPr>
            <w:tcW w:w="13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 (1), (2), (3), (4), (5)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Interest Rate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 xml:space="preserve">Reference Rate </w:t>
              <w:br/>
              <w:t>and Spread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Floor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Maturity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Par/Shares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Cost</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Footnotes</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Investments in Affiliated Portfolio Companies - 59.0%^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First Lien/Senior Secured Debt - 5.9%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Medical Device Distributor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04/01/2022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 (First Out)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01/04/2024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 (Last Out)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9.86%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01/04/2024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2,666</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2,666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(10)(26)</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First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6,249</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6,249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Second Lien/Senior Secured Debt - 16.4%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Eastport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Business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13.50%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+ 13.00%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04/30/2022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16,445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Medical Device Distributor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04/01/2022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388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Sierra Hamilton Holdings Corporation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Oil &amp; Gas Engineering and Consulting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09/12/2023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(9)</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V12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Data Processing &amp; Digital Marketing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490</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(11)</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Second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17,327</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17,412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Preferred Stock and Units - 10.4%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GA Communications, Inc. - Series A-1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Advertising &amp; Marketing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3,477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LJS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QSR Franchisor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202,336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Medical Device Distributor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6.00% PIK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1,816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(23)</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8.00% PIK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86,000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1,083</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3,849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(23)</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Preferred Stock and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6,813</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11,008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Common Stock and Membership Units - 26.4%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Burgaflex Holdings, LLC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Automobile Part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1,253,198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1,504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Burgaflex Holdings, LLC - Class 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Automobile Part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1,085,073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2,148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Eastport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Business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3,262,609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3,263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15,956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GA Communications, Inc. - Series B-1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Advertising &amp; Marketing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LJS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QSR Franchisor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2,593,234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1,224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7,307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Medical Device Distributor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Nth Degree Investment Group,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Business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6,088,000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6,088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Sierra Hamilton Holdings Corporation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Oil &amp; Gas Engineering and Consulting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15,068,000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6,958</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Common Stock and Membership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19,401</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27,980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Investments in Affiliated Portfolio Companies^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49,790</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62,649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Investments in Controlled Portfolio Companies - 6.5%^^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First Lien/Senior Secured Debt - 3.4%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+ 8.50%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03/31/2022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3,628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First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3,628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Preferred Stock and Units - 3.1%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9,041,810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5,215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3,287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Preferred Stock and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5,215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3,287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Common Stock and Membership Units - 00.0%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 - Class 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5,363,982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Common Stock and Membership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Investments in Controlled Portfolio Companies^^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8,850</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6,915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Investments - 194.9%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198,969</w:t>
            </w:r>
          </w:p>
        </w:tc>
        <w:tc>
          <w:tcPr>
            <w:tcW w:w="3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206,905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rFonts w:ascii="Times New Roman" w:hAnsi="Times New Roman"/>
          <w:b w:val="false"/>
          <w:sz w:val="16"/>
        </w:rPr>
      </w:pPr>
      <w:r>
        <w:rPr>
          <w:rFonts w:ascii="Times New Roman" w:hAnsi="Times New Roman"/>
          <w:b w:val="false"/>
          <w:sz w:val="16"/>
        </w:rPr>
        <w:t>^ As defined in the Investment Company Act, the investment is deemed to be an "affiliated person" of the Company because the Company owns, either directly or indirectly, 5% or more of the portfolio company's outstanding voting securities.</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As defined in the Investment Company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Represents the actual interest rate for partially or fully funded debt in effect as of the reporting date. Variable rate loans bear interest at a rate that may be determined by the larger of the floor of the reference to either LIBOR ("L"), SOFR or alternate base rate (commonly known as the U.S. Prime Rate ("P"), unless otherwise noted) at the borrower's option, which reset periodically based on the terms of the credit agreement. L loans are typically indexed to 12 month, 6 month, 3 month, 2 month, or 1 month L rates. As of March 31, 2022, rates for the 12 month, 6 month, 3 month and 1 month L are 2.10%, 1.47%, 0.96% and 0.45%, respectively. As of March 31, 2022, rates for the 3 month and 1 month SOFR are 0.68% and 0.30%, respectively. As of March 31, 2022, P was 3.50%. For investments with multiple reference rates or alternate base rates, the interest rate shown is the weighted average interest rate in effect at March 31, 2022.</w:t>
      </w:r>
    </w:p>
    <w:p>
      <w:pPr>
        <w:pStyle w:val="TextBody"/>
        <w:spacing w:lineRule="auto" w:line="273" w:before="0" w:after="0"/>
        <w:jc w:val="both"/>
        <w:rPr>
          <w:rFonts w:ascii="Times New Roman" w:hAnsi="Times New Roman"/>
          <w:sz w:val="20"/>
        </w:rPr>
      </w:pPr>
      <w:r>
        <w:rPr>
          <w:rFonts w:ascii="Times New Roman" w:hAnsi="Times New Roman"/>
          <w:b w:val="false"/>
          <w:sz w:val="16"/>
        </w:rPr>
        <w:t>(++) Par amount is presented for debt investments, while the number of shares or units owned is presented for equity investments.</w:t>
      </w:r>
      <w:r>
        <w:rPr>
          <w:rFonts w:ascii="Times New Roman" w:hAnsi="Times New Roman"/>
          <w:sz w:val="20"/>
        </w:rPr>
        <w:t xml:space="preserve">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All investments valued using unobservable inputs (Level 3), unless otherwise noted.</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All investments valued by the Logan Ridge Finance Corporation's (the "Company") board of directors.</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(3)</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All debt investments are income producing, unless otherwise noted. Equity and warrant investments are non-income producing, unless otherwise noted.</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(4)</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Percentages are based on net assets as of March 31, 2022.</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(5)</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(6)</w:t>
      </w:r>
    </w:p>
    <w:p>
      <w:pPr>
        <w:pStyle w:val="TextBody"/>
        <w:spacing w:lineRule="auto" w:line="273" w:before="0" w:after="0"/>
        <w:jc w:val="both"/>
        <w:rPr/>
      </w:pPr>
      <w:r>
        <w:rPr>
          <w:rFonts w:ascii="Times New Roman" w:hAnsi="Times New Roman"/>
          <w:b w:val="false"/>
          <w:sz w:val="16"/>
        </w:rPr>
        <w:t>Investment is held through our Taxable Subsidiary (See Note 1).</w:t>
      </w:r>
      <w:r>
        <w:rPr>
          <w:rFonts w:ascii="Times New Roman" w:hAnsi="Times New Roman"/>
          <w:b w:val="false"/>
          <w:sz w:val="20"/>
        </w:rPr>
        <w:br/>
      </w: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(7)</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Non-accrual investment.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(8)</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1.0% of interest rate payable in cash. 9.0% of interest rate payable in cash or paid-in-kind at borrower's election. The borrower is currently paying all interest in cash.</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(9)</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15.0% of interest rate payable in cash or paid-in-kind at borrower's election.</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(10)</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cash rate equals the approximate current yield on our last-out portion of the unitranche facility.</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been exited or sold. The residual value reflects estimated earnout, escrow, or other proceeds expected post-closing.</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(12)</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$2.2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(13)</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$2.5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(14)</w:t>
      </w:r>
    </w:p>
    <w:p>
      <w:pPr>
        <w:pStyle w:val="TextBody"/>
        <w:spacing w:lineRule="auto" w:line="273"/>
        <w:jc w:val="both"/>
        <w:rPr>
          <w:rFonts w:ascii="Times New Roman" w:hAnsi="Times New Roman"/>
          <w:b w:val="false"/>
          <w:sz w:val="16"/>
        </w:rPr>
      </w:pPr>
      <w:r>
        <w:rPr>
          <w:rFonts w:ascii="Times New Roman" w:hAnsi="Times New Roman"/>
          <w:b w:val="false"/>
          <w:sz w:val="16"/>
        </w:rPr>
        <w:t>The investment has a $0.9 million unfunded commitment.</w:t>
      </w:r>
    </w:p>
    <w:p>
      <w:pPr>
        <w:pStyle w:val="TextBody"/>
        <w:spacing w:lineRule="auto" w:line="273" w:before="16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Consolidated Schedule of Investments - Continued</w:t>
      </w:r>
    </w:p>
    <w:p>
      <w:pPr>
        <w:pStyle w:val="TextBody"/>
        <w:spacing w:lineRule="auto" w:line="273" w:before="0" w:after="0"/>
        <w:jc w:val="center"/>
        <w:rPr>
          <w:rFonts w:ascii="Times New Roman" w:hAnsi="Times New Roman"/>
          <w:b/>
          <w:sz w:val="16"/>
        </w:rPr>
      </w:pPr>
      <w:r>
        <w:rPr>
          <w:rFonts w:ascii="Times New Roman" w:hAnsi="Times New Roman"/>
          <w:b/>
          <w:sz w:val="16"/>
        </w:rPr>
        <w:t>(in thousands, excepts for units/shares)</w:t>
      </w:r>
    </w:p>
    <w:p>
      <w:pPr>
        <w:pStyle w:val="TextBody"/>
        <w:spacing w:lineRule="auto" w:line="273" w:before="0" w:after="0"/>
        <w:jc w:val="center"/>
        <w:rPr>
          <w:rFonts w:ascii="Times New Roman" w:hAnsi="Times New Roman"/>
          <w:b/>
          <w:sz w:val="16"/>
        </w:rPr>
      </w:pPr>
      <w:r>
        <w:rPr>
          <w:rFonts w:ascii="Times New Roman" w:hAnsi="Times New Roman"/>
          <w:b/>
          <w:sz w:val="16"/>
        </w:rPr>
        <w:t>March 31, 2022</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(15)</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$2.1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(16)</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$1.0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(17)</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$0.4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(18)</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$0.9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(19)</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Collateralized loan obligations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(20)</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$1.5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$2.7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(22)</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$0.3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(23)</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equity investment is income producing, based on rate disclosed</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(24)</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is treated as a non-qualifying asset under Section 55(a) of the 1940 Act. Under the 1940 Act, we may not acquire any non-qualifying asset unless, at the time the acquisition is made, qualifying assets represent at least 70% of our total assets. As of March 31, 2022, qualifying assets represent 96.9% of the Company’s total assets and non-qualifying assets represent 3.1% of the Company’s total assets</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(25)</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xml:space="preserve">The Company is in liquidation. The fair value represents Management’s estimate of future expected proceeds on the term loan, which Management believes approximates the exit price. The Company received a cash payment of $0.5 million during the fourth quarter of 2021, which reduced the cost basis of the term loan.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(26)</w:t>
      </w:r>
    </w:p>
    <w:p>
      <w:pPr>
        <w:pStyle w:val="TextBody"/>
        <w:spacing w:lineRule="auto" w:line="273"/>
        <w:jc w:val="both"/>
        <w:rPr>
          <w:rFonts w:ascii="Times New Roman" w:hAnsi="Times New Roman"/>
          <w:b w:val="false"/>
          <w:sz w:val="16"/>
        </w:rPr>
      </w:pPr>
      <w:r>
        <w:rPr>
          <w:rFonts w:ascii="Times New Roman" w:hAnsi="Times New Roman"/>
          <w:b w:val="false"/>
          <w:sz w:val="16"/>
        </w:rPr>
        <w:t>All or a portion of this security is pledged as collateral under the KeyBank Credit Facility and held through the Company's wholly-owned subsidiary Capitala Business Lending, LLC.</w:t>
      </w:r>
    </w:p>
    <w:p>
      <w:pPr>
        <w:pStyle w:val="TextBody"/>
        <w:spacing w:lineRule="auto" w:line="273" w:before="16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Consolidated Schedule of Investments</w:t>
      </w:r>
    </w:p>
    <w:p>
      <w:pPr>
        <w:pStyle w:val="TextBody"/>
        <w:spacing w:lineRule="auto" w:line="273" w:before="0" w:after="0"/>
        <w:jc w:val="center"/>
        <w:rPr>
          <w:rFonts w:ascii="Times New Roman" w:hAnsi="Times New Roman"/>
          <w:b/>
          <w:sz w:val="16"/>
        </w:rPr>
      </w:pPr>
      <w:r>
        <w:rPr>
          <w:rFonts w:ascii="Times New Roman" w:hAnsi="Times New Roman"/>
          <w:b/>
          <w:sz w:val="16"/>
        </w:rPr>
        <w:t>(in thousands, except for units/shares)</w:t>
      </w:r>
    </w:p>
    <w:p>
      <w:pPr>
        <w:pStyle w:val="TextBody"/>
        <w:spacing w:lineRule="auto" w:line="273" w:before="0" w:after="0"/>
        <w:jc w:val="center"/>
        <w:rPr>
          <w:rFonts w:ascii="Times New Roman" w:hAnsi="Times New Roman"/>
          <w:b/>
          <w:sz w:val="16"/>
        </w:rPr>
      </w:pPr>
      <w:r>
        <w:rPr>
          <w:rFonts w:ascii="Times New Roman" w:hAnsi="Times New Roman"/>
          <w:b/>
          <w:sz w:val="16"/>
        </w:rPr>
        <w:t>December 31, 2021</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585"/>
        <w:gridCol w:w="146"/>
        <w:gridCol w:w="1075"/>
        <w:gridCol w:w="146"/>
        <w:gridCol w:w="665"/>
        <w:gridCol w:w="146"/>
        <w:gridCol w:w="796"/>
        <w:gridCol w:w="146"/>
        <w:gridCol w:w="447"/>
        <w:gridCol w:w="146"/>
        <w:gridCol w:w="603"/>
        <w:gridCol w:w="146"/>
        <w:gridCol w:w="178"/>
        <w:gridCol w:w="630"/>
        <w:gridCol w:w="386"/>
        <w:gridCol w:w="146"/>
        <w:gridCol w:w="166"/>
        <w:gridCol w:w="496"/>
        <w:gridCol w:w="386"/>
        <w:gridCol w:w="146"/>
        <w:gridCol w:w="166"/>
        <w:gridCol w:w="496"/>
        <w:gridCol w:w="151"/>
        <w:gridCol w:w="146"/>
        <w:gridCol w:w="665"/>
      </w:tblGrid>
      <w:tr>
        <w:trPr/>
        <w:tc>
          <w:tcPr>
            <w:tcW w:w="15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r>
      <w:tr>
        <w:trPr/>
        <w:tc>
          <w:tcPr>
            <w:tcW w:w="158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7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4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08"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r>
      <w:tr>
        <w:trPr/>
        <w:tc>
          <w:tcPr>
            <w:tcW w:w="15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 (1), (2), (3), (4), (5)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Interest Rate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 xml:space="preserve">Reference Rate </w:t>
              <w:br/>
              <w:t>and Spread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Floor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Maturity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0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Par/Shares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Cost</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Fair Value</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Footnotes</w:t>
            </w:r>
          </w:p>
        </w:tc>
      </w:tr>
      <w:tr>
        <w:trPr/>
        <w:tc>
          <w:tcPr>
            <w:tcW w:w="5152" w:type="dxa"/>
            <w:gridSpan w:val="9"/>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Investments in Non-Control, Non-Affiliate Portfolio Companies - 121.5%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806"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First Lien/Senior Secured Debt - 82.5%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Accordion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Industrials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09/24/2027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13,965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13,736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13,719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(12)</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Accordion Partners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Industrials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09/30/2026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(71</w:t>
            </w:r>
          </w:p>
        </w:tc>
        <w:tc>
          <w:tcPr>
            <w:tcW w:w="3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(68</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(13)</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Accurate Background,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03/26/2027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2,999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2,740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2,760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12/18/2022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7,119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7,119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6,824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American Clinical Solutions,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12/31/2022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3,500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3,500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3,468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AP Core Holdings II,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07/21/2027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1,234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1,217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1,236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AP Core Holdings II,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6.25%</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0.75%</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07/21/2027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1,250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1,232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1,254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BigMouth,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Products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11/14/2021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1,513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758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(7)(25)</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Bradshaw International,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10/21/2027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Bradshaw International, Inc.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10/21/2026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(14)</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Critical Nurse Staffing,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10/30/2026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5,923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5,806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5,805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(15)</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Critical Nurse Staffing,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10/30/2026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w:t>
            </w:r>
          </w:p>
        </w:tc>
        <w:tc>
          <w:tcPr>
            <w:tcW w:w="3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Freedom Electronics, LLC (First Out)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Electronic Machine Repair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12/20/2023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2,588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2,588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2,588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Freedom Electronics, LLC (Last Out)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Electronic Machine Repair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8.67%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12/20/2023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5,647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5,647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5,647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(10)(26)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HUMC Opco,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9.00%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01/14/2022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4,673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4,673</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4,619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J5 Infrastructure Partners,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Wireless Deployment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12/20/2024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(17)</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JO ET Holdings Limited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 7.00 PIK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12/15/2026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Jurassic Quest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Entertainment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9.50%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+ 7.50%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05/01/2024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8,355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8,355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8,397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Keg Logistics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11/23/2027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7,535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7,424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7,422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Keg Logistics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11/23/2027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w:t>
            </w:r>
          </w:p>
        </w:tc>
        <w:tc>
          <w:tcPr>
            <w:tcW w:w="3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(18)</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Lucky Bucks,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07/21/2027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2,944</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2,939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Marble Point Credit Management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08/11/2028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5,801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5,651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5,656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Marble Point Credit Management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08/11/2028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w:t>
            </w:r>
          </w:p>
        </w:tc>
        <w:tc>
          <w:tcPr>
            <w:tcW w:w="3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(19)</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Premier Imaging,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12/29/2028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2,063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2,023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2,023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(20)</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Rotolo Consultants,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Industrials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9.00%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12/21/2026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Sequoia Healthcare Management,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 Management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01/14/2022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11,935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11,935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7,002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(7)</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Wealth Enhancement Group,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10/02/2027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3,725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3,699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3,686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(21)</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Wealth Enhancement Group, LLC (Revolver)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10/02/2027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166</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(22)</w:t>
            </w:r>
          </w:p>
        </w:tc>
      </w:tr>
      <w:tr>
        <w:trPr/>
        <w:tc>
          <w:tcPr>
            <w:tcW w:w="2806"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First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93,728</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88,312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806"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Second Lien/Senior Secured Debt - 11.9%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BLST Operating Company,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Online Merchandise Retailer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+ 8.50%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08/28/2025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1,780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1,780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1,780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(8)(26)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Ivanti Software,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+ 7.25%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12/01/2028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7,000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6,965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7,018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Mandolin Technology Intermediate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07/23/2029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3,971</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3,980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806"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Second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12,716</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12,778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Subordinated Debt - 4.7%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Tubular Textile Machinery,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Textile Equipment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10/29/2027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5,050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5,050</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5,050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806"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5,050</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5,050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806"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Preferred Stock and Units - 2.5%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 - Series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13,811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1,275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542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 - Series 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48,025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3,943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 - Series 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78,900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Jurassic Quest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Entertainment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467,784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480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MicroHoldco,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General Industrial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740,237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749</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645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Taylor Precision Products, Inc. - Series 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Household Product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379</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758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287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U.S. BioTek Laboratories, LLC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Testing Laboratories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540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U.S. BioTek Laboratories, LLC - Class 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Testing Laboratories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78</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806"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Preferred Stock and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center"/>
              <w:rPr/>
            </w:pPr>
            <w:r>
              <w:rPr/>
              <w:t> </w:t>
            </w:r>
          </w:p>
        </w:tc>
        <w:tc>
          <w:tcPr>
            <w:tcW w:w="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7,823</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2,681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806"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Common Stock and Membership Units - 19.8%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firstLine="240"/>
              <w:jc w:val="righ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20,092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Alternative Biomedical Solutions, LLC - Membership Unit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49,295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American Clinical Solutions, LLC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6,030,384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3,198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5,587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BLST Operating Company, LLC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Online Merchandise Retailer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217,013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286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4,171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Burke America Parts Group,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Home Repair Parts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3,062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(6)</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Freedom Electronics,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Electronic Machine Repair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181,818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230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JMP CLO IV Ltd.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17.72%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07/17/2029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7,891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3,592</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3,474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(24)(27)</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JMP CLO V Ltd.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20.89%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07/17/2030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7,320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4,448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4,243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(24)(27)</w:t>
            </w:r>
          </w:p>
        </w:tc>
      </w:tr>
      <w:tr>
        <w:trPr/>
        <w:tc>
          <w:tcPr>
            <w:tcW w:w="15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U.S. BioTek Laboratories, LLC - Class 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Testing Laboratories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578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806"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Common Stock and Membership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12,512</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21,170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3617" w:type="dxa"/>
            <w:gridSpan w:val="5"/>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Investments in Non-Control, Non-Affiliate Portfolio Companies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8"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131,829</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129,991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6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Consolidated Schedule of Investments - Continued</w:t>
      </w:r>
    </w:p>
    <w:p>
      <w:pPr>
        <w:pStyle w:val="TextBody"/>
        <w:spacing w:lineRule="auto" w:line="273" w:before="0" w:after="0"/>
        <w:jc w:val="center"/>
        <w:rPr>
          <w:rFonts w:ascii="Times New Roman" w:hAnsi="Times New Roman"/>
          <w:b/>
          <w:sz w:val="16"/>
        </w:rPr>
      </w:pPr>
      <w:r>
        <w:rPr>
          <w:rFonts w:ascii="Times New Roman" w:hAnsi="Times New Roman"/>
          <w:b/>
          <w:sz w:val="16"/>
        </w:rPr>
        <w:t>(in thousands, excepts for units/shares)</w:t>
      </w:r>
    </w:p>
    <w:p>
      <w:pPr>
        <w:pStyle w:val="TextBody"/>
        <w:spacing w:lineRule="auto" w:line="273" w:before="0" w:after="0"/>
        <w:jc w:val="center"/>
        <w:rPr>
          <w:rFonts w:ascii="Times New Roman" w:hAnsi="Times New Roman"/>
          <w:b/>
          <w:sz w:val="16"/>
        </w:rPr>
      </w:pPr>
      <w:r>
        <w:rPr>
          <w:rFonts w:ascii="Times New Roman" w:hAnsi="Times New Roman"/>
          <w:b/>
          <w:sz w:val="16"/>
        </w:rPr>
        <w:t>December 31, 2021</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374"/>
        <w:gridCol w:w="146"/>
        <w:gridCol w:w="1430"/>
        <w:gridCol w:w="146"/>
        <w:gridCol w:w="712"/>
        <w:gridCol w:w="146"/>
        <w:gridCol w:w="783"/>
        <w:gridCol w:w="146"/>
        <w:gridCol w:w="466"/>
        <w:gridCol w:w="146"/>
        <w:gridCol w:w="609"/>
        <w:gridCol w:w="146"/>
        <w:gridCol w:w="156"/>
        <w:gridCol w:w="694"/>
        <w:gridCol w:w="146"/>
        <w:gridCol w:w="146"/>
        <w:gridCol w:w="166"/>
        <w:gridCol w:w="496"/>
        <w:gridCol w:w="386"/>
        <w:gridCol w:w="146"/>
        <w:gridCol w:w="166"/>
        <w:gridCol w:w="496"/>
        <w:gridCol w:w="146"/>
        <w:gridCol w:w="146"/>
        <w:gridCol w:w="665"/>
      </w:tblGrid>
      <w:tr>
        <w:trPr/>
        <w:tc>
          <w:tcPr>
            <w:tcW w:w="13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r>
      <w:tr>
        <w:trPr/>
        <w:tc>
          <w:tcPr>
            <w:tcW w:w="137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left"/>
              <w:rPr/>
            </w:pPr>
            <w:r>
              <w:rPr/>
              <w:t> </w:t>
            </w:r>
          </w:p>
        </w:tc>
        <w:tc>
          <w:tcPr>
            <w:tcW w:w="38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 (1), (2), (3), (4), (5)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Interest Rate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 xml:space="preserve">Reference Rate </w:t>
              <w:br/>
              <w:t>and Spread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Floor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Maturity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Par/Shares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Cost</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Footnotes</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Investments in Affiliated Portfolio Companies - 57.3%^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First Lien/Senior Secured Debt - 5.9%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Medical Device Distributor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01/31/2022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 (First Out)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01/04/2024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 (Last Out)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9.86%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01/04/2024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2,706</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2,706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(10)(26)</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First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6,304</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6,304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Second Lien/Senior Secured Debt - 16.3%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Eastport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Business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13.50%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+ 13.00%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04/30/2022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16,451</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(26)</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Medical Device Distributor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01/31/2022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388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Sierra Hamilton Holdings Corporation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Oil &amp; Gas Engineering and Consulting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09/12/2023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(9)</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V12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Data Processing &amp; Digital Marketing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490</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(11)</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Second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17,332</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17,412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Preferred Stock and Units - 10.1%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GA Communications, Inc. - Series A-1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Advertising &amp; Marketing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3,477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LJS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QSR Franchisor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202,336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437</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Medical Device Distributor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6.00% PIK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1,786</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(23)</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Financial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8.00% PIK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86,000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1,066</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3,726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(23)</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Preferred Stock and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6,766</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10,861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Common Stock and Membership Units - 25.0%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Burgaflex Holdings, LLC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Automobile Part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1,253,198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1,504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Burgaflex Holdings, LLC - Class 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Automobile Part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1,085,073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Eastport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Business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3,263</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16,319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GA Communications, Inc. - Series B-1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Advertising &amp; Marketing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LJS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QSR Franchisor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2,593,234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1,224</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7,164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Medical Device Distributor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Nth Degree Investment Group,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Business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6,088,000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6,088</w:t>
            </w:r>
          </w:p>
        </w:tc>
        <w:tc>
          <w:tcPr>
            <w:tcW w:w="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Sierra Hamilton Holdings Corporation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Oil &amp; Gas Engineering and Consulting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15,068,000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6,958</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Common Stock and Membership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19,401</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26,782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Investments in Affiliated Portfolio Companies^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49,803</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61,359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Investments in Controlled Portfolio Companies - 6.4%^^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First Lien/Senior Secured Debt - 3.4%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10.50%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L + 8.50%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2"/>
              </w:rPr>
            </w:pPr>
            <w:r>
              <w:rPr>
                <w:rFonts w:ascii="Times New Roman" w:hAnsi="Times New Roman"/>
                <w:b w:val="false"/>
                <w:sz w:val="12"/>
              </w:rPr>
              <w:t>03/31/2022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First Lien/Senior Secured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Preferred Stock and Units - 3.0%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 - Class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9,041,810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5,215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3,204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Preferred Stock and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5,215</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3,204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Investments in Controlled Portfolio Companies^^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8,850</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6,839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2950"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Total Investments - 185.2%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190,482</w:t>
            </w:r>
          </w:p>
        </w:tc>
        <w:tc>
          <w:tcPr>
            <w:tcW w:w="3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40"/>
              <w:jc w:val="left"/>
              <w:rPr/>
            </w:pPr>
            <w:r>
              <w:rPr/>
              <w:t> </w:t>
            </w:r>
          </w:p>
        </w:tc>
        <w:tc>
          <w:tcPr>
            <w:tcW w:w="146" w:type="dxa"/>
            <w:tcBorders/>
            <w:shd w:fill="auto" w:val="clear"/>
            <w:vAlign w:val="center"/>
          </w:tcPr>
          <w:p>
            <w:pPr>
              <w:pStyle w:val="TableContents"/>
              <w:spacing w:lineRule="auto" w:line="252" w:before="0" w:after="0"/>
              <w:ind w:left="24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198,189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pPr>
            <w:r>
              <w:rPr/>
              <w:t> </w:t>
            </w:r>
          </w:p>
        </w:tc>
      </w:tr>
      <w:tr>
        <w:trPr/>
        <w:tc>
          <w:tcPr>
            <w:tcW w:w="137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3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9"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3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6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0.0%</w:t>
            </w:r>
          </w:p>
        </w:tc>
      </w:tr>
    </w:tbl>
    <w:p>
      <w:pPr>
        <w:pStyle w:val="TextBody"/>
        <w:spacing w:lineRule="auto" w:line="273" w:before="0" w:after="0"/>
        <w:jc w:val="both"/>
        <w:rPr>
          <w:rFonts w:ascii="Times New Roman" w:hAnsi="Times New Roman"/>
          <w:b w:val="false"/>
          <w:sz w:val="16"/>
        </w:rPr>
      </w:pPr>
      <w:r>
        <w:rPr>
          <w:rFonts w:ascii="Times New Roman" w:hAnsi="Times New Roman"/>
          <w:b w:val="false"/>
          <w:sz w:val="16"/>
        </w:rPr>
        <w:t>^ As defined in the Investment Company Act, the investment is deemed to be an"affiliated person" of the Company because the Company owns, either directly or indirectly, 5% or more of the portfolio company's outstanding voting securities.</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As defined in the Investment Company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Represents the actual interest rate for partially or fully funded debt in effect as of the reporting date. Variable rate loans bear interest at a rate that may be determined by the larger of the floor of the reference to either LIBOR ("L") or alternate base rate (commonly known as the U.S. Prime Rate ("P"), unless otherwise noted) at the borrower's option, which reset periodically based on the terms of the credit agreement. L loans are typically indexed to 12 month, 6 month, 3 month, 2 month, or 1 month L rates. As of December 31, 2021, rates for the 12 month, 6 month, 3 month, 2 month and 1 month L are 0.58%, 0.34%, 0.21%, 0.15% and 0.10%, respectively. As of December 31, 2021, P was 3.25%. For investments with multiple reference rates or alternate base rates, the interest rate shown is the weighted average interest rate in effect at December 31, 2021.</w:t>
      </w:r>
    </w:p>
    <w:p>
      <w:pPr>
        <w:pStyle w:val="TextBody"/>
        <w:spacing w:lineRule="auto" w:line="273" w:before="0" w:after="0"/>
        <w:jc w:val="both"/>
        <w:rPr>
          <w:rFonts w:ascii="Times New Roman" w:hAnsi="Times New Roman"/>
          <w:sz w:val="20"/>
        </w:rPr>
      </w:pPr>
      <w:r>
        <w:rPr>
          <w:rFonts w:ascii="Times New Roman" w:hAnsi="Times New Roman"/>
          <w:b w:val="false"/>
          <w:sz w:val="16"/>
        </w:rPr>
        <w:t>(++) Par amount is presented for debt investments, while the number of shares or units owned is presented for equity investments.</w:t>
      </w:r>
      <w:r>
        <w:rPr>
          <w:rFonts w:ascii="Times New Roman" w:hAnsi="Times New Roman"/>
          <w:sz w:val="20"/>
        </w:rPr>
        <w:t xml:space="preserve">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All investments valued using unobservable inputs (Level 3), unless otherwise noted.</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All investments valued by the Company's board of directors.</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(3)</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All debt investments are income producing, unless otherwise noted. Equity and warrant investments are non-income producing, unless otherwise noted.</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(4)</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Percentages are based on net assets as of December 31, 2021.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(5)</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(6)</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Investment is held through our Taxable Subsidiary (See Note 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(7)</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Non-accrual investment.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(8)</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xml:space="preserve">1.0% interest rate payable in cash. 9.0% interest rate payable in cash or paid-in-kind at borrower's election.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(9)</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15.0% interest rate payable in cash or paid-in-kind at borrower's election.</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(10)</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cash rate equals the approximate current yield on our last-out portion of the unitranche facility.</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been exited or sold. The residual value reflects estimated earnout, escrow, or other proceeds expected post-closing.</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(12)</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$4.0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(13)</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$5.0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(14)</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$0.7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(15)</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$2.1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(16)</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$1.0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(17)</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$3.5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(18)</w:t>
      </w:r>
    </w:p>
    <w:p>
      <w:pPr>
        <w:pStyle w:val="TextBody"/>
        <w:spacing w:lineRule="auto" w:line="273"/>
        <w:jc w:val="both"/>
        <w:rPr>
          <w:rFonts w:ascii="Times New Roman" w:hAnsi="Times New Roman"/>
          <w:b w:val="false"/>
          <w:sz w:val="16"/>
        </w:rPr>
      </w:pPr>
      <w:r>
        <w:rPr>
          <w:rFonts w:ascii="Times New Roman" w:hAnsi="Times New Roman"/>
          <w:b w:val="false"/>
          <w:sz w:val="16"/>
        </w:rPr>
        <w:t>The investment has a $0.9 million unfunded commitment.</w:t>
      </w:r>
    </w:p>
    <w:p>
      <w:pPr>
        <w:pStyle w:val="TextBody"/>
        <w:spacing w:lineRule="auto" w:line="273" w:before="16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Consolidated Schedule of Investments - Continued</w:t>
      </w:r>
    </w:p>
    <w:p>
      <w:pPr>
        <w:pStyle w:val="TextBody"/>
        <w:spacing w:lineRule="auto" w:line="273" w:before="0" w:after="0"/>
        <w:jc w:val="center"/>
        <w:rPr>
          <w:rFonts w:ascii="Times New Roman" w:hAnsi="Times New Roman"/>
          <w:b/>
          <w:sz w:val="16"/>
        </w:rPr>
      </w:pPr>
      <w:r>
        <w:rPr>
          <w:rFonts w:ascii="Times New Roman" w:hAnsi="Times New Roman"/>
          <w:b/>
          <w:sz w:val="16"/>
        </w:rPr>
        <w:t>(in thousands, excepts for units/shares)</w:t>
      </w:r>
    </w:p>
    <w:p>
      <w:pPr>
        <w:pStyle w:val="TextBody"/>
        <w:spacing w:lineRule="auto" w:line="273" w:before="0" w:after="0"/>
        <w:jc w:val="center"/>
        <w:rPr>
          <w:rFonts w:ascii="Times New Roman" w:hAnsi="Times New Roman"/>
          <w:b/>
          <w:sz w:val="16"/>
        </w:rPr>
      </w:pPr>
      <w:r>
        <w:rPr>
          <w:rFonts w:ascii="Times New Roman" w:hAnsi="Times New Roman"/>
          <w:b/>
          <w:sz w:val="16"/>
        </w:rPr>
        <w:t>December 31, 2021</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(19)</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$2.5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(20)</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$1.9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$3.3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(22)</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has a $0.2 million unfunded commitment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(23)</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equity investment is income producing, based on rate disclosed.</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(24)</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96.2% of the Company’s total assets and non-qualifying assets represent 3.2% of the Company’s total assets.</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(25)</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xml:space="preserve">The Company is in liquidation. The fair value represents Management’s estimate of future expected proceeds on the term loan, which Management believes approximates the exit price. The Company received a cash payment of $0.5 million during the fourth quarter of 2021, which reduced the cost basis of the term loan.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(26)</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All or a portion of this security is pledged as collateral under the KeyBank Credit Facility and held through the Company's wholly-owned subsidiary Capitala Business Lending, LLC.</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(27)</w:t>
      </w:r>
    </w:p>
    <w:p>
      <w:pPr>
        <w:pStyle w:val="TextBody"/>
        <w:spacing w:lineRule="auto" w:line="273"/>
        <w:jc w:val="both"/>
        <w:rPr>
          <w:rFonts w:ascii="Times New Roman" w:hAnsi="Times New Roman"/>
          <w:b w:val="false"/>
          <w:sz w:val="16"/>
        </w:rPr>
      </w:pPr>
      <w:r>
        <w:rPr>
          <w:rFonts w:ascii="Times New Roman" w:hAnsi="Times New Roman"/>
          <w:b w:val="false"/>
          <w:sz w:val="16"/>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spacing w:lineRule="auto" w:line="273" w:before="160" w:after="0"/>
        <w:jc w:val="center"/>
        <w:rPr>
          <w:rFonts w:ascii="Times New Roman" w:hAnsi="Times New Roman"/>
          <w:b w:val="false"/>
          <w:sz w:val="16"/>
        </w:rPr>
      </w:pPr>
      <w:r>
        <w:rPr>
          <w:rFonts w:ascii="Times New Roman" w:hAnsi="Times New Roman"/>
          <w:b w:val="false"/>
          <w:sz w:val="16"/>
        </w:rPr>
        <w:t>See accompanying notes to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bookmarkStart w:id="8" w:name="notes_to_consolidated_financial"/>
      <w:bookmarkEnd w:id="8"/>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Note 1. Organization</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Logan Ridge Finance Corporation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Advisor”), an investment adviser that is registered as an investment adviser under the Investment Advisers Act of 1940, as amended, and BC Partners Management LLC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 As of March 31, 2022, there were no SBA-guaranteed debentures outstanding.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8 for more details about the KeyBank Credit Facility. The financial statements of CBL are consolidated with those of Logan Ridge Finance Corporation.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Definitive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the date of the Closing, the Company changed its name from Capitala Finance Corp. to Logan Ridge Finance Corporation and on July 2, 2021, the Company’s common stock began trading on the NASDAQ Global Select Market under the symbol “LRFC.” The Company’s 5.75% Convertible Notes due 2022 and 6.00% Notes due 2022 continue to trade under the symbols “CPTAG” and “CPTAL,” respectively.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Note 2. Summary of Significant Accounting Policies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Basis of Presentation</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 xml:space="preserve">The Company is considered an investment company as defined in Accounting Standards Codification (“ASC”) Topic 946 — </w:t>
      </w:r>
      <w:r>
        <w:rPr>
          <w:rFonts w:ascii="Times New Roman" w:hAnsi="Times New Roman"/>
          <w:b w:val="false"/>
          <w:i/>
          <w:sz w:val="16"/>
        </w:rPr>
        <w:t>Financial Services — Investment Companies</w:t>
      </w:r>
      <w:r>
        <w:rPr>
          <w:rFonts w:ascii="Times New Roman" w:hAnsi="Times New Roman"/>
          <w:sz w:val="20"/>
        </w:rPr>
        <w:t xml:space="preserve"> </w:t>
      </w:r>
      <w:r>
        <w:rPr>
          <w:rFonts w:ascii="Times New Roman" w:hAnsi="Times New Roman"/>
          <w:b w:val="false"/>
          <w:sz w:val="16"/>
        </w:rPr>
        <w:t>(“ASC 946”)</w:t>
      </w:r>
      <w:r>
        <w:rPr>
          <w:rFonts w:ascii="Times New Roman" w:hAnsi="Times New Roman"/>
          <w:b w:val="false"/>
          <w:i/>
          <w:sz w:val="16"/>
        </w:rPr>
        <w:t>.</w:t>
      </w:r>
      <w:r>
        <w:rPr>
          <w:rFonts w:ascii="Times New Roman" w:hAnsi="Times New Roman"/>
          <w:sz w:val="20"/>
        </w:rPr>
        <w:t xml:space="preserve"> </w:t>
      </w:r>
      <w:r>
        <w:rPr>
          <w:rFonts w:ascii="Times New Roman" w:hAnsi="Times New Roman"/>
          <w:b w:val="false"/>
          <w:sz w:val="16"/>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financial statements as of March 31, 2022 and December 31, 2021 and for the periods ended March 31, 2022 and 2021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2021, filed with the U.S. Securities and Exchange Commission (“SEC”) on March 14, 2022.</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Use of Estimates in the Preparation of Financial Statements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Consolidation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Segments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 xml:space="preserve">In accordance with ASC Topic 280 — </w:t>
      </w:r>
      <w:r>
        <w:rPr>
          <w:rFonts w:ascii="Times New Roman" w:hAnsi="Times New Roman"/>
          <w:b w:val="false"/>
          <w:i/>
          <w:sz w:val="16"/>
        </w:rPr>
        <w:t>Segment Reporting</w:t>
      </w:r>
      <w:r>
        <w:rPr>
          <w:rFonts w:ascii="Times New Roman" w:hAnsi="Times New Roman"/>
          <w:sz w:val="20"/>
        </w:rPr>
        <w:t xml:space="preserve"> </w:t>
      </w:r>
      <w:r>
        <w:rPr>
          <w:rFonts w:ascii="Times New Roman" w:hAnsi="Times New Roman"/>
          <w:b w:val="false"/>
          <w:sz w:val="16"/>
        </w:rPr>
        <w:t>(“ASC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Cash and Cash Equivalents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Investment Classification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Valuation of Investments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 xml:space="preserve">The Company applies fair value accounting to all of its financial instruments in accordance with the 1940 Act and ASC Topic 820 — </w:t>
      </w:r>
      <w:r>
        <w:rPr>
          <w:rFonts w:ascii="Times New Roman" w:hAnsi="Times New Roman"/>
          <w:b w:val="false"/>
          <w:i/>
          <w:sz w:val="16"/>
        </w:rPr>
        <w:t>Fair Value Measurements and Disclosures</w:t>
      </w:r>
      <w:r>
        <w:rPr>
          <w:rFonts w:ascii="Times New Roman" w:hAnsi="Times New Roman"/>
          <w:sz w:val="20"/>
        </w:rPr>
        <w:t xml:space="preserve"> </w:t>
      </w:r>
      <w:r>
        <w:rPr>
          <w:rFonts w:ascii="Times New Roman" w:hAnsi="Times New Roman"/>
          <w:b w:val="false"/>
          <w:sz w:val="16"/>
        </w:rPr>
        <w:t>(“ASC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determining fair value,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valuation methodologies summarized below are utilized by the Company in estimating fair value.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i/>
          <w:sz w:val="16"/>
        </w:rPr>
      </w:pPr>
      <w:r>
        <w:rPr>
          <w:rFonts w:ascii="Times New Roman" w:hAnsi="Times New Roman"/>
          <w:b w:val="false"/>
          <w:i/>
          <w:sz w:val="16"/>
        </w:rPr>
        <w:t>Enterprise Value Waterfall Approach</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16"/>
        </w:rPr>
      </w:pPr>
      <w:r>
        <w:rPr>
          <w:rFonts w:ascii="Times New Roman" w:hAnsi="Times New Roman"/>
          <w:b w:val="false"/>
          <w:i/>
          <w:sz w:val="16"/>
        </w:rPr>
        <w:t>Income Approach</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val="false"/>
          <w:i/>
          <w:sz w:val="16"/>
        </w:rPr>
      </w:pPr>
      <w:r>
        <w:rPr>
          <w:rFonts w:ascii="Times New Roman" w:hAnsi="Times New Roman"/>
          <w:b w:val="false"/>
          <w:i/>
          <w:sz w:val="16"/>
        </w:rPr>
        <w:t>Asset Approach</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asset approach values an investment based on the value of the underlying collateral securing the investment.</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Revenue Recognition</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revenue recognition policies are as follows: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Interest income and paid-in-kind interest income: </w:t>
      </w:r>
      <w:r>
        <w:rPr>
          <w:rFonts w:ascii="Times New Roman" w:hAnsi="Times New Roman"/>
          <w:b w:val="false"/>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Non-accrual investments: </w:t>
      </w:r>
      <w:r>
        <w:rPr>
          <w:rFonts w:ascii="Times New Roman" w:hAnsi="Times New Roman"/>
          <w:b w:val="false"/>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Gains and losses on investment sales: </w:t>
      </w:r>
      <w:r>
        <w:rPr>
          <w:rFonts w:ascii="Times New Roman" w:hAnsi="Times New Roman"/>
          <w:b w:val="false"/>
          <w:sz w:val="16"/>
        </w:rPr>
        <w:t>Realized gains and losses on investments are recognized using the specific identification method.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Dividend income and paid-in-kind dividends: </w:t>
      </w:r>
      <w:r>
        <w:rPr>
          <w:rFonts w:ascii="Times New Roman" w:hAnsi="Times New Roman"/>
          <w:b w:val="false"/>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If management determines that a decline in fair value is temporary in nature and PIK dividends are more likely than not to be collected, management may elect to continue accruing PIK dividends.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Original issue discount: </w:t>
      </w:r>
      <w:r>
        <w:rPr>
          <w:rFonts w:ascii="Times New Roman" w:hAnsi="Times New Roman"/>
          <w:b w:val="false"/>
          <w:sz w:val="16"/>
        </w:rPr>
        <w:t>Discounts received to par on loans purchased are capitalized and accreted into income over the life of the loan. Any remaining discount is accreted into income upon prepayment of the loan.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Other income: </w:t>
      </w:r>
      <w:r>
        <w:rPr>
          <w:rFonts w:ascii="Times New Roman" w:hAnsi="Times New Roman"/>
          <w:b w:val="false"/>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General and Administrative Expenses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Deferred Financing Fees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Statement of Assets and Liabilities.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sz w:val="16"/>
        </w:rPr>
        <w:t>Earnings per share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Commitments and Contingencies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of March 31, 2022, the Company had outstanding unfunded commitments related to debt investments in existing portfolio companies of $0.4 million to American Academy Holdings, LLC, $4.7 million to Accordion Partners LLC, $0.9 million to Bradshaw International, Inc., $3.1 million to Critical Nurse Staffing, LLC, $0.9 million to Keg Logistics LLC, $1.5 million to Premiere Imaging, LLC, and $3.0 million to Wealth Enhancement Group, LLC. As of December 31, 2021, the Company had outstanding unfunded commitments related to debt investments in existing portfolio companies of $9.0 million to Accordion Partners LLC, $0.7 million to Bradshaw International, Inc., $3.1 million to Critical Nursing Staffing, LLC, $3.5 million to J5 Infrastructure Partners, LLC, $0.9 million to Keg Logistics LLC, $2.5 million to Marble Point Credit Management LLC, $1.9 million to Premiere Imaging, LLC, and $3.5 million to Wealth Enhancement Group, LLC.</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management’s opinion, no direct losses with respect to litigation contingencies were probable as of March 31, 2022 and December 31, 2021.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Income Taxes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tax years ended December 31, 2020, 2019, and 2018 remain subject to examination by U.S. federal, state, and local tax authorities.</w:t>
      </w:r>
      <w:r>
        <w:rPr>
          <w:rFonts w:ascii="Times New Roman" w:hAnsi="Times New Roman"/>
          <w:sz w:val="20"/>
        </w:rPr>
        <w:t xml:space="preserve"> </w:t>
      </w:r>
      <w:r>
        <w:rPr>
          <w:rFonts w:ascii="Times New Roman" w:hAnsi="Times New Roman"/>
          <w:b w:val="false"/>
          <w:sz w:val="16"/>
        </w:rPr>
        <w:t>No interest expense or penalties have been assessed for the three months ended March 31, 2022 and 2021. If the Company was required to recognize interest and penalties, if any, related to unrecognized tax benefits this would be recognized as income tax expense in the consolidated statements of operations.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For U.S. federal income tax purposes, as of March 31, 2022, the aggregate net unrealized appreciation for all securities was $2.5 million. As of March 31, 2022, gross unrealized appreciation was $39.8 million and gross unrealized depreciation was $37.3 million. The aggregate cost of securities for U.S. federal income tax purposes was $204.4 million as of March 31, 2022. For U.S. federal income tax purposes, as of December 31, 2021, the aggregate net unrealized appreciation for all securities was $3.6 million. As of December 31, 2021, gross unrealized appreciation was $38.6 million and gross unrealized depreciation was $35.0 million. The aggregate cost of securities for U.S. federal income tax purposes was $194.6 million as of December 31, 2021.</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Taxable Subsidiaries record deferred tax assets or liabilities related to temporary book versus tax differences on the income or loss generated by the underlying equity investments held by the Taxable Subsidiaries. As of March 31, 2022 and December 31, 2021, the Company recorded a net deferred tax asset of zero. For the three months ended March 31, 2022 and 2021, the Company recorded a tax provision of zero. As of March 31, 2022 and December 31, 2021, the valuation allowance on the Company’s deferred tax asset was $2.5 million and $2.5 million, respectively. During the three months ended March 31, 2022, there was no change in the valuation allowance recognized by the Company. During the three months ended March 31, 2021, the Company recognized an decrease in the valuation allowance of $(1.0) million.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 xml:space="preserve">ASC Topic 740 — </w:t>
      </w:r>
      <w:r>
        <w:rPr>
          <w:rFonts w:ascii="Times New Roman" w:hAnsi="Times New Roman"/>
          <w:b w:val="false"/>
          <w:i/>
          <w:sz w:val="16"/>
        </w:rPr>
        <w:t>Income Taxes</w:t>
      </w:r>
      <w:r>
        <w:rPr>
          <w:rFonts w:ascii="Times New Roman" w:hAnsi="Times New Roman"/>
          <w:sz w:val="20"/>
        </w:rPr>
        <w:t xml:space="preserve"> </w:t>
      </w:r>
      <w:r>
        <w:rPr>
          <w:rFonts w:ascii="Times New Roman" w:hAnsi="Times New Roman"/>
          <w:b w:val="false"/>
          <w:sz w:val="16"/>
        </w:rPr>
        <w:t>(“ASC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2022 and December 31, 2021, there were no uncertain tax positions.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Distributions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16"/>
        </w:rPr>
        <w:t>Company Investment Risk, Concentration of Credit Risk and Liquidity Risk</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r>
        <w:rPr>
          <w:rFonts w:ascii="Times New Roman" w:hAnsi="Times New Roman"/>
          <w:sz w:val="20"/>
        </w:rPr>
        <w:t xml:space="preserve"> </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Advisor may attempt to minimize this risk by maintaining low debt-to-liquidation values with each debt investment and the collateral underlying the debt investment.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Note 3. Recent Accounting Pronouncements</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Management continues to assess the impact that the adoption of this guidance will have on the Company’s financial position, results of operations and cash flows.</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Note 4. Investments and Fair Value Measurements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March 31, 2022, our portfolio consisted of investments</w:t>
      </w:r>
      <w:r>
        <w:rPr>
          <w:rFonts w:ascii="Times New Roman" w:hAnsi="Times New Roman"/>
          <w:sz w:val="20"/>
        </w:rPr>
        <w:t xml:space="preserve"> </w:t>
      </w:r>
      <w:r>
        <w:rPr>
          <w:rFonts w:ascii="Times New Roman" w:hAnsi="Times New Roman"/>
          <w:b w:val="false"/>
          <w:sz w:val="16"/>
        </w:rPr>
        <w:t>in 42 portfolio companies with a fair value of approximately</w:t>
      </w:r>
      <w:r>
        <w:rPr>
          <w:rFonts w:ascii="Times New Roman" w:hAnsi="Times New Roman"/>
          <w:sz w:val="20"/>
        </w:rPr>
        <w:t xml:space="preserve"> </w:t>
      </w:r>
      <w:r>
        <w:rPr>
          <w:rFonts w:ascii="Times New Roman" w:hAnsi="Times New Roman"/>
          <w:b w:val="false"/>
          <w:sz w:val="16"/>
        </w:rPr>
        <w:t>$206.9 million.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March 31, 2022, 8.2% of the fair value of our first lien loans consisted of last-out loans. As of December 31, 2021, 8.5% of the fair value of our first lien loans consisted of last-out loans. In some cases, first lien loans may be subordinated, solely with respect to the payment of cash interest, to an asset based revolving credit facility.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During the three months ended March 31, 2022, we made approximately $16.4 million of investments and had approximately $8.4 million in repayments and sales, resulting in net deployment of approximately $8.0 million for the period. During the three months ended March 31, 2021, the Company made no investments and had approximately $29.9 million in repayments and sales, resulting in net repayments and sales of approximately $29.9 million for the period.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of March 31, 2022, the Company’s Board approved the fair value of the Company’s investment portfolio of approximately $206.9 million in good faith in accordance with the Company’s valuation procedures. The Company’s Board approved the fair value of the Company’s investment portfolio as of March 31, 2022 with input from a third-party valuation firm and the Investment Advisor based on information known or knowable as of the valuation date, including trailing and forward looking data.</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composition of our investments as of March 31, 2022, at amortized cost and fair value was as follows (dollars in thousands):</w:t>
      </w:r>
    </w:p>
    <w:p>
      <w:pPr>
        <w:pStyle w:val="TextBody"/>
        <w:spacing w:lineRule="auto" w:line="273" w:before="0" w:after="0"/>
        <w:jc w:val="both"/>
        <w:rPr/>
      </w:pPr>
      <w:r>
        <w:rPr/>
        <w:t> </w:t>
      </w:r>
    </w:p>
    <w:tbl>
      <w:tblPr>
        <w:tblW w:w="8559" w:type="dxa"/>
        <w:jc w:val="left"/>
        <w:tblInd w:w="0" w:type="dxa"/>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 Cost</w:t>
              <w:br/>
              <w:t>Percentage of</w:t>
              <w:br/>
              <w:t>Total 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br/>
              <w:t>Percentage of</w:t>
              <w:br/>
              <w:t>Total Portfolio</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106,929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53.7</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100,663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48.7</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33,168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16.7</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33,220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16.1</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3.4</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Collateralized Loan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8,106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3.5</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43,649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21.9</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58,708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28.3</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198,969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206,905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composition of our investments as of December 31, 2021, at amortized cost and fair value was as follows (dollars in thousands):</w:t>
      </w:r>
    </w:p>
    <w:p>
      <w:pPr>
        <w:pStyle w:val="TextBody"/>
        <w:spacing w:lineRule="auto" w:line="273" w:before="0" w:after="0"/>
        <w:jc w:val="both"/>
        <w:rPr/>
      </w:pPr>
      <w:r>
        <w:rPr/>
        <w:t> </w:t>
      </w:r>
    </w:p>
    <w:tbl>
      <w:tblPr>
        <w:tblW w:w="7674" w:type="dxa"/>
        <w:jc w:val="left"/>
        <w:tblInd w:w="0" w:type="dxa"/>
        <w:tblCellMar>
          <w:top w:w="28" w:type="dxa"/>
          <w:left w:w="28" w:type="dxa"/>
          <w:bottom w:w="28" w:type="dxa"/>
          <w:right w:w="28" w:type="dxa"/>
        </w:tblCellMar>
      </w:tblPr>
      <w:tblGrid>
        <w:gridCol w:w="1426"/>
        <w:gridCol w:w="146"/>
        <w:gridCol w:w="274"/>
        <w:gridCol w:w="971"/>
        <w:gridCol w:w="146"/>
        <w:gridCol w:w="146"/>
        <w:gridCol w:w="276"/>
        <w:gridCol w:w="969"/>
        <w:gridCol w:w="241"/>
        <w:gridCol w:w="146"/>
        <w:gridCol w:w="255"/>
        <w:gridCol w:w="900"/>
        <w:gridCol w:w="146"/>
        <w:gridCol w:w="146"/>
        <w:gridCol w:w="266"/>
        <w:gridCol w:w="934"/>
        <w:gridCol w:w="286"/>
      </w:tblGrid>
      <w:tr>
        <w:trPr/>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 Cost</w:t>
              <w:br/>
              <w:t>Percentage of</w:t>
              <w:br/>
              <w:t>Total 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br/>
              <w:t>Percentage of</w:t>
              <w:br/>
              <w:t>Total Portfolio</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103,667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54.4</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98,251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49.6</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30,048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15.8</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30,190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15.2</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51,717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27.2</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64,698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32.6</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190,482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198,189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pStyle w:val="TextBody"/>
        <w:spacing w:lineRule="auto" w:line="273" w:before="0" w:after="0"/>
        <w:jc w:val="both"/>
        <w:rPr/>
      </w:pPr>
      <w:r>
        <w:rPr/>
        <w:t> </w:t>
      </w:r>
    </w:p>
    <w:tbl>
      <w:tblPr>
        <w:tblW w:w="10048" w:type="dxa"/>
        <w:jc w:val="left"/>
        <w:tblInd w:w="0" w:type="dxa"/>
        <w:tblCellMar>
          <w:top w:w="28" w:type="dxa"/>
          <w:left w:w="28" w:type="dxa"/>
          <w:bottom w:w="28" w:type="dxa"/>
          <w:right w:w="28" w:type="dxa"/>
        </w:tblCellMar>
      </w:tblPr>
      <w:tblGrid>
        <w:gridCol w:w="161"/>
        <w:gridCol w:w="241"/>
        <w:gridCol w:w="9646"/>
      </w:tblGrid>
      <w:tr>
        <w:trPr/>
        <w:tc>
          <w:tcPr>
            <w:tcW w:w="16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6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646"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Level 1 — Valuations based on quoted prices in active markets for identical assets or liabilities that the Company has the ability to access.</w:t>
            </w:r>
          </w:p>
        </w:tc>
      </w:tr>
    </w:tbl>
    <w:p>
      <w:pPr>
        <w:pStyle w:val="TextBody"/>
        <w:spacing w:lineRule="auto" w:line="273" w:before="0" w:after="0"/>
        <w:jc w:val="left"/>
        <w:rPr/>
      </w:pPr>
      <w:r>
        <w:rPr/>
        <w:t> </w:t>
      </w:r>
    </w:p>
    <w:tbl>
      <w:tblPr>
        <w:tblW w:w="9643" w:type="dxa"/>
        <w:jc w:val="left"/>
        <w:tblInd w:w="0" w:type="dxa"/>
        <w:tblCellMar>
          <w:top w:w="28" w:type="dxa"/>
          <w:left w:w="28" w:type="dxa"/>
          <w:bottom w:w="28" w:type="dxa"/>
          <w:right w:w="28" w:type="dxa"/>
        </w:tblCellMar>
      </w:tblPr>
      <w:tblGrid>
        <w:gridCol w:w="161"/>
        <w:gridCol w:w="241"/>
        <w:gridCol w:w="9241"/>
      </w:tblGrid>
      <w:tr>
        <w:trPr/>
        <w:tc>
          <w:tcPr>
            <w:tcW w:w="16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2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241"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Level 2 — Valuations based on inputs other than quoted prices in active markets, which are either directly or indirectly observable.</w:t>
            </w:r>
          </w:p>
        </w:tc>
      </w:tr>
    </w:tbl>
    <w:p>
      <w:pPr>
        <w:pStyle w:val="TextBody"/>
        <w:spacing w:lineRule="auto" w:line="273" w:before="0" w:after="0"/>
        <w:jc w:val="left"/>
        <w:rPr/>
      </w:pPr>
      <w:r>
        <w:rPr/>
        <w:t> </w:t>
      </w:r>
    </w:p>
    <w:tbl>
      <w:tblPr>
        <w:tblW w:w="8458" w:type="dxa"/>
        <w:jc w:val="left"/>
        <w:tblInd w:w="0" w:type="dxa"/>
        <w:tblCellMar>
          <w:top w:w="28" w:type="dxa"/>
          <w:left w:w="28" w:type="dxa"/>
          <w:bottom w:w="28" w:type="dxa"/>
          <w:right w:w="28" w:type="dxa"/>
        </w:tblCellMar>
      </w:tblPr>
      <w:tblGrid>
        <w:gridCol w:w="161"/>
        <w:gridCol w:w="241"/>
        <w:gridCol w:w="8056"/>
      </w:tblGrid>
      <w:tr>
        <w:trPr/>
        <w:tc>
          <w:tcPr>
            <w:tcW w:w="16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0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056"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Level 3 — Valuations based on inputs that are unobservable and significant to the overall fair value measurement.</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presents the fair value measurements of investments, by major class, as of March 31, 2022, according to the fair value hierarchy (dollars in thousands):</w:t>
      </w:r>
    </w:p>
    <w:p>
      <w:pPr>
        <w:pStyle w:val="TextBody"/>
        <w:spacing w:lineRule="auto" w:line="273" w:before="0" w:after="0"/>
        <w:jc w:val="both"/>
        <w:rPr/>
      </w:pPr>
      <w:r>
        <w:rPr/>
        <w:t> </w:t>
      </w:r>
    </w:p>
    <w:tbl>
      <w:tblPr>
        <w:tblW w:w="6558" w:type="dxa"/>
        <w:jc w:val="left"/>
        <w:tblInd w:w="0" w:type="dxa"/>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691"/>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910"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 Measurements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100,663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100,663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33,220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33,220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7,115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Collateralized Loan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7,199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58,708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58,708</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206,905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206,905</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presents fair value measurements of investments, by major class, as of December 31, 2021, according to the fair value hierarchy (dollars in thousands):</w:t>
      </w:r>
    </w:p>
    <w:p>
      <w:pPr>
        <w:pStyle w:val="TextBody"/>
        <w:spacing w:lineRule="auto" w:line="273" w:before="0" w:after="0"/>
        <w:jc w:val="both"/>
        <w:rPr/>
      </w:pPr>
      <w:r>
        <w:rPr/>
        <w:t> </w:t>
      </w:r>
    </w:p>
    <w:tbl>
      <w:tblPr>
        <w:tblW w:w="5673" w:type="dxa"/>
        <w:jc w:val="left"/>
        <w:tblInd w:w="0" w:type="dxa"/>
        <w:tblCellMar>
          <w:top w:w="28" w:type="dxa"/>
          <w:left w:w="28" w:type="dxa"/>
          <w:bottom w:w="28" w:type="dxa"/>
          <w:right w:w="28" w:type="dxa"/>
        </w:tblCellMar>
      </w:tblPr>
      <w:tblGrid>
        <w:gridCol w:w="1426"/>
        <w:gridCol w:w="146"/>
        <w:gridCol w:w="228"/>
        <w:gridCol w:w="402"/>
        <w:gridCol w:w="146"/>
        <w:gridCol w:w="146"/>
        <w:gridCol w:w="228"/>
        <w:gridCol w:w="402"/>
        <w:gridCol w:w="146"/>
        <w:gridCol w:w="146"/>
        <w:gridCol w:w="196"/>
        <w:gridCol w:w="691"/>
        <w:gridCol w:w="146"/>
        <w:gridCol w:w="146"/>
        <w:gridCol w:w="196"/>
        <w:gridCol w:w="691"/>
        <w:gridCol w:w="191"/>
      </w:tblGrid>
      <w:tr>
        <w:trPr/>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910"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 Measurements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4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98,251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98,251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30,190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30,190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5,050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64,698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64,698</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4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198,189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198,189</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provides a reconciliation of the beginning and ending balances for investments that use Level 3 inputs for the three months ended March 31, 2022 (dollars in thousands):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224"/>
        <w:gridCol w:w="146"/>
        <w:gridCol w:w="196"/>
        <w:gridCol w:w="691"/>
        <w:gridCol w:w="166"/>
        <w:gridCol w:w="146"/>
        <w:gridCol w:w="210"/>
        <w:gridCol w:w="645"/>
        <w:gridCol w:w="166"/>
        <w:gridCol w:w="146"/>
        <w:gridCol w:w="299"/>
        <w:gridCol w:w="782"/>
        <w:gridCol w:w="166"/>
        <w:gridCol w:w="146"/>
        <w:gridCol w:w="430"/>
        <w:gridCol w:w="1124"/>
        <w:gridCol w:w="166"/>
        <w:gridCol w:w="146"/>
        <w:gridCol w:w="196"/>
        <w:gridCol w:w="601"/>
        <w:gridCol w:w="166"/>
        <w:gridCol w:w="146"/>
        <w:gridCol w:w="196"/>
        <w:gridCol w:w="691"/>
        <w:gridCol w:w="214"/>
      </w:tblGrid>
      <w:tr>
        <w:trPr/>
        <w:tc>
          <w:tcPr>
            <w:tcW w:w="22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22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First Lien</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Second Lien</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Subordinated</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5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Collateralized Loan Obligations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Equity</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2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Balance as of January 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98,251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4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30,190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3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12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7,717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56,981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198,189</w:t>
            </w:r>
          </w:p>
        </w:tc>
        <w:tc>
          <w:tcPr>
            <w:tcW w:w="214" w:type="dxa"/>
            <w:tcBorders/>
            <w:shd w:fill="auto" w:val="clear"/>
            <w:vAlign w:val="center"/>
          </w:tcPr>
          <w:p>
            <w:pPr>
              <w:pStyle w:val="TableContents"/>
              <w:spacing w:lineRule="auto" w:line="252" w:before="0" w:after="0"/>
              <w:ind w:left="0" w:right="0" w:hanging="0"/>
              <w:jc w:val="left"/>
              <w:rPr/>
            </w:pPr>
            <w:r>
              <w:rPr/>
              <w:t> </w:t>
            </w:r>
          </w:p>
        </w:tc>
      </w:tr>
      <w:tr>
        <w:trPr/>
        <w:tc>
          <w:tcPr>
            <w:tcW w:w="222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Repayments/sales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(8,096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9" w:type="dxa"/>
            <w:tcBorders/>
            <w:shd w:fill="auto" w:val="clear"/>
            <w:vAlign w:val="center"/>
          </w:tcPr>
          <w:p>
            <w:pPr>
              <w:pStyle w:val="TableContents"/>
              <w:spacing w:lineRule="auto" w:line="252" w:before="0" w:after="0"/>
              <w:ind w:left="0" w:right="0" w:hanging="0"/>
              <w:jc w:val="left"/>
              <w:rPr/>
            </w:pPr>
            <w:r>
              <w:rPr/>
              <w:t> </w:t>
            </w:r>
          </w:p>
        </w:tc>
        <w:tc>
          <w:tcPr>
            <w:tcW w:w="782"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30" w:type="dxa"/>
            <w:tcBorders/>
            <w:shd w:fill="auto" w:val="clear"/>
            <w:vAlign w:val="center"/>
          </w:tcPr>
          <w:p>
            <w:pPr>
              <w:pStyle w:val="TableContents"/>
              <w:spacing w:lineRule="auto" w:line="252" w:before="0" w:after="0"/>
              <w:ind w:left="0" w:right="0" w:hanging="0"/>
              <w:jc w:val="left"/>
              <w:rPr/>
            </w:pPr>
            <w:r>
              <w:rPr/>
              <w:t> </w:t>
            </w:r>
          </w:p>
        </w:tc>
        <w:tc>
          <w:tcPr>
            <w:tcW w:w="112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(8,401</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22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Purchases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11,285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3,086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9" w:type="dxa"/>
            <w:tcBorders/>
            <w:shd w:fill="auto" w:val="clear"/>
            <w:vAlign w:val="center"/>
          </w:tcPr>
          <w:p>
            <w:pPr>
              <w:pStyle w:val="TableContents"/>
              <w:spacing w:lineRule="auto" w:line="252" w:before="0" w:after="0"/>
              <w:ind w:left="0" w:right="0" w:hanging="0"/>
              <w:jc w:val="left"/>
              <w:rPr/>
            </w:pPr>
            <w:r>
              <w:rPr/>
              <w:t> </w:t>
            </w:r>
          </w:p>
        </w:tc>
        <w:tc>
          <w:tcPr>
            <w:tcW w:w="78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30" w:type="dxa"/>
            <w:tcBorders/>
            <w:shd w:fill="auto" w:val="clear"/>
            <w:vAlign w:val="center"/>
          </w:tcPr>
          <w:p>
            <w:pPr>
              <w:pStyle w:val="TableContents"/>
              <w:spacing w:lineRule="auto" w:line="252" w:before="0" w:after="0"/>
              <w:ind w:left="0" w:right="0" w:hanging="0"/>
              <w:jc w:val="left"/>
              <w:rPr/>
            </w:pPr>
            <w:r>
              <w:rPr/>
              <w:t> </w:t>
            </w:r>
          </w:p>
        </w:tc>
        <w:tc>
          <w:tcPr>
            <w:tcW w:w="112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16,393</w:t>
            </w:r>
          </w:p>
        </w:tc>
        <w:tc>
          <w:tcPr>
            <w:tcW w:w="214" w:type="dxa"/>
            <w:tcBorders/>
            <w:shd w:fill="auto" w:val="clear"/>
            <w:vAlign w:val="center"/>
          </w:tcPr>
          <w:p>
            <w:pPr>
              <w:pStyle w:val="TableContents"/>
              <w:spacing w:lineRule="auto" w:line="252" w:before="0" w:after="0"/>
              <w:ind w:left="0" w:right="0" w:hanging="0"/>
              <w:jc w:val="left"/>
              <w:rPr/>
            </w:pPr>
            <w:r>
              <w:rPr/>
              <w:t> </w:t>
            </w:r>
          </w:p>
        </w:tc>
      </w:tr>
      <w:tr>
        <w:trPr/>
        <w:tc>
          <w:tcPr>
            <w:tcW w:w="222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Payment-in-kind interest and dividends accrued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9" w:type="dxa"/>
            <w:tcBorders/>
            <w:shd w:fill="auto" w:val="clear"/>
            <w:vAlign w:val="center"/>
          </w:tcPr>
          <w:p>
            <w:pPr>
              <w:pStyle w:val="TableContents"/>
              <w:spacing w:lineRule="auto" w:line="252" w:before="0" w:after="0"/>
              <w:ind w:left="0" w:right="0" w:hanging="0"/>
              <w:jc w:val="left"/>
              <w:rPr/>
            </w:pPr>
            <w:r>
              <w:rPr/>
              <w:t> </w:t>
            </w:r>
          </w:p>
        </w:tc>
        <w:tc>
          <w:tcPr>
            <w:tcW w:w="78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30" w:type="dxa"/>
            <w:tcBorders/>
            <w:shd w:fill="auto" w:val="clear"/>
            <w:vAlign w:val="center"/>
          </w:tcPr>
          <w:p>
            <w:pPr>
              <w:pStyle w:val="TableContents"/>
              <w:spacing w:lineRule="auto" w:line="252" w:before="0" w:after="0"/>
              <w:ind w:left="0" w:right="0" w:hanging="0"/>
              <w:jc w:val="left"/>
              <w:rPr/>
            </w:pPr>
            <w:r>
              <w:rPr/>
              <w:t> </w:t>
            </w:r>
          </w:p>
        </w:tc>
        <w:tc>
          <w:tcPr>
            <w:tcW w:w="112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132</w:t>
            </w:r>
          </w:p>
        </w:tc>
        <w:tc>
          <w:tcPr>
            <w:tcW w:w="214" w:type="dxa"/>
            <w:tcBorders/>
            <w:shd w:fill="auto" w:val="clear"/>
            <w:vAlign w:val="center"/>
          </w:tcPr>
          <w:p>
            <w:pPr>
              <w:pStyle w:val="TableContents"/>
              <w:spacing w:lineRule="auto" w:line="252" w:before="0" w:after="0"/>
              <w:ind w:left="0" w:right="0" w:hanging="0"/>
              <w:jc w:val="left"/>
              <w:rPr/>
            </w:pPr>
            <w:r>
              <w:rPr/>
              <w:t> </w:t>
            </w:r>
          </w:p>
        </w:tc>
      </w:tr>
      <w:tr>
        <w:trPr/>
        <w:tc>
          <w:tcPr>
            <w:tcW w:w="222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Accretion of original issue discount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9" w:type="dxa"/>
            <w:tcBorders/>
            <w:shd w:fill="auto" w:val="clear"/>
            <w:vAlign w:val="center"/>
          </w:tcPr>
          <w:p>
            <w:pPr>
              <w:pStyle w:val="TableContents"/>
              <w:spacing w:lineRule="auto" w:line="252" w:before="0" w:after="0"/>
              <w:ind w:left="0" w:right="0" w:hanging="0"/>
              <w:jc w:val="left"/>
              <w:rPr/>
            </w:pPr>
            <w:r>
              <w:rPr/>
              <w:t> </w:t>
            </w:r>
          </w:p>
        </w:tc>
        <w:tc>
          <w:tcPr>
            <w:tcW w:w="78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30" w:type="dxa"/>
            <w:tcBorders/>
            <w:shd w:fill="auto" w:val="clear"/>
            <w:vAlign w:val="center"/>
          </w:tcPr>
          <w:p>
            <w:pPr>
              <w:pStyle w:val="TableContents"/>
              <w:spacing w:lineRule="auto" w:line="252" w:before="0" w:after="0"/>
              <w:ind w:left="0" w:right="0" w:hanging="0"/>
              <w:jc w:val="left"/>
              <w:rPr/>
            </w:pPr>
            <w:r>
              <w:rPr/>
              <w:t> </w:t>
            </w:r>
          </w:p>
        </w:tc>
        <w:tc>
          <w:tcPr>
            <w:tcW w:w="112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343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399</w:t>
            </w:r>
          </w:p>
        </w:tc>
        <w:tc>
          <w:tcPr>
            <w:tcW w:w="214" w:type="dxa"/>
            <w:tcBorders/>
            <w:shd w:fill="auto" w:val="clear"/>
            <w:vAlign w:val="center"/>
          </w:tcPr>
          <w:p>
            <w:pPr>
              <w:pStyle w:val="TableContents"/>
              <w:spacing w:lineRule="auto" w:line="252" w:before="0" w:after="0"/>
              <w:ind w:left="0" w:right="0" w:hanging="0"/>
              <w:jc w:val="left"/>
              <w:rPr/>
            </w:pPr>
            <w:r>
              <w:rPr/>
              <w:t> </w:t>
            </w:r>
          </w:p>
        </w:tc>
      </w:tr>
      <w:tr>
        <w:trPr/>
        <w:tc>
          <w:tcPr>
            <w:tcW w:w="222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realized gain (loss)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9" w:type="dxa"/>
            <w:tcBorders/>
            <w:shd w:fill="auto" w:val="clear"/>
            <w:vAlign w:val="center"/>
          </w:tcPr>
          <w:p>
            <w:pPr>
              <w:pStyle w:val="TableContents"/>
              <w:spacing w:lineRule="auto" w:line="252" w:before="0" w:after="0"/>
              <w:ind w:left="0" w:right="0" w:hanging="0"/>
              <w:jc w:val="left"/>
              <w:rPr/>
            </w:pPr>
            <w:r>
              <w:rPr/>
              <w:t> </w:t>
            </w:r>
          </w:p>
        </w:tc>
        <w:tc>
          <w:tcPr>
            <w:tcW w:w="782"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30" w:type="dxa"/>
            <w:tcBorders/>
            <w:shd w:fill="auto" w:val="clear"/>
            <w:vAlign w:val="center"/>
          </w:tcPr>
          <w:p>
            <w:pPr>
              <w:pStyle w:val="TableContents"/>
              <w:spacing w:lineRule="auto" w:line="252" w:before="0" w:after="0"/>
              <w:ind w:left="0" w:right="0" w:hanging="0"/>
              <w:jc w:val="left"/>
              <w:rPr/>
            </w:pPr>
            <w:r>
              <w:rPr/>
              <w:t> </w:t>
            </w:r>
          </w:p>
        </w:tc>
        <w:tc>
          <w:tcPr>
            <w:tcW w:w="112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22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unrealized (depreciation) appreciation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(850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1,755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229</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22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Balance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100,663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33,220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7,115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1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58,708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206,905</w:t>
            </w:r>
          </w:p>
        </w:tc>
        <w:tc>
          <w:tcPr>
            <w:tcW w:w="2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provides a reconciliation of the beginning and ending balances for investments that use Level 3 inputs for the three months ended March 31, 2021 (dollars in thousands):</w:t>
      </w:r>
    </w:p>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4000"/>
        <w:gridCol w:w="146"/>
        <w:gridCol w:w="196"/>
        <w:gridCol w:w="691"/>
        <w:gridCol w:w="166"/>
        <w:gridCol w:w="146"/>
        <w:gridCol w:w="238"/>
        <w:gridCol w:w="729"/>
        <w:gridCol w:w="166"/>
        <w:gridCol w:w="146"/>
        <w:gridCol w:w="390"/>
        <w:gridCol w:w="691"/>
        <w:gridCol w:w="146"/>
        <w:gridCol w:w="146"/>
        <w:gridCol w:w="196"/>
        <w:gridCol w:w="601"/>
        <w:gridCol w:w="166"/>
        <w:gridCol w:w="146"/>
        <w:gridCol w:w="196"/>
        <w:gridCol w:w="691"/>
        <w:gridCol w:w="212"/>
      </w:tblGrid>
      <w:tr>
        <w:trPr/>
        <w:tc>
          <w:tcPr>
            <w:tcW w:w="40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4000"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First Lien</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Second Lien</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Subordinated</w:t>
              <w:br/>
              <w:t>Debt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Equity</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Balance as of January 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167,418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2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39,209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9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67,572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274,199</w:t>
            </w:r>
          </w:p>
        </w:tc>
        <w:tc>
          <w:tcPr>
            <w:tcW w:w="212" w:type="dxa"/>
            <w:tcBorders/>
            <w:shd w:fill="auto" w:val="clear"/>
            <w:vAlign w:val="center"/>
          </w:tcPr>
          <w:p>
            <w:pPr>
              <w:pStyle w:val="TableContents"/>
              <w:spacing w:lineRule="auto" w:line="252" w:before="0" w:after="0"/>
              <w:ind w:left="0" w:right="0" w:hanging="0"/>
              <w:jc w:val="left"/>
              <w:rPr/>
            </w:pPr>
            <w:r>
              <w:rPr/>
              <w:t> </w:t>
            </w:r>
          </w:p>
        </w:tc>
      </w:tr>
      <w:tr>
        <w:trPr/>
        <w:tc>
          <w:tcPr>
            <w:tcW w:w="40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Repayments/sales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(29,847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72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90"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(29,906</w:t>
            </w:r>
          </w:p>
        </w:tc>
        <w:tc>
          <w:tcPr>
            <w:tcW w:w="21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0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Purchases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7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90"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212" w:type="dxa"/>
            <w:tcBorders/>
            <w:shd w:fill="auto" w:val="clear"/>
            <w:vAlign w:val="center"/>
          </w:tcPr>
          <w:p>
            <w:pPr>
              <w:pStyle w:val="TableContents"/>
              <w:spacing w:lineRule="auto" w:line="252" w:before="0" w:after="0"/>
              <w:ind w:left="0" w:right="0" w:hanging="0"/>
              <w:jc w:val="left"/>
              <w:rPr/>
            </w:pPr>
            <w:r>
              <w:rPr/>
              <w:t> </w:t>
            </w:r>
          </w:p>
        </w:tc>
      </w:tr>
      <w:tr>
        <w:trPr/>
        <w:tc>
          <w:tcPr>
            <w:tcW w:w="40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Payment-in-kind interest and dividends accrued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7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90"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170</w:t>
            </w:r>
          </w:p>
        </w:tc>
        <w:tc>
          <w:tcPr>
            <w:tcW w:w="212" w:type="dxa"/>
            <w:tcBorders/>
            <w:shd w:fill="auto" w:val="clear"/>
            <w:vAlign w:val="center"/>
          </w:tcPr>
          <w:p>
            <w:pPr>
              <w:pStyle w:val="TableContents"/>
              <w:spacing w:lineRule="auto" w:line="252" w:before="0" w:after="0"/>
              <w:ind w:left="0" w:right="0" w:hanging="0"/>
              <w:jc w:val="left"/>
              <w:rPr/>
            </w:pPr>
            <w:r>
              <w:rPr/>
              <w:t> </w:t>
            </w:r>
          </w:p>
        </w:tc>
      </w:tr>
      <w:tr>
        <w:trPr/>
        <w:tc>
          <w:tcPr>
            <w:tcW w:w="40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Accretion of original issue discount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72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90"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77</w:t>
            </w:r>
          </w:p>
        </w:tc>
        <w:tc>
          <w:tcPr>
            <w:tcW w:w="212" w:type="dxa"/>
            <w:tcBorders/>
            <w:shd w:fill="auto" w:val="clear"/>
            <w:vAlign w:val="center"/>
          </w:tcPr>
          <w:p>
            <w:pPr>
              <w:pStyle w:val="TableContents"/>
              <w:spacing w:lineRule="auto" w:line="252" w:before="0" w:after="0"/>
              <w:ind w:left="0" w:right="0" w:hanging="0"/>
              <w:jc w:val="left"/>
              <w:rPr/>
            </w:pPr>
            <w:r>
              <w:rPr/>
              <w:t> </w:t>
            </w:r>
          </w:p>
        </w:tc>
      </w:tr>
      <w:tr>
        <w:trPr/>
        <w:tc>
          <w:tcPr>
            <w:tcW w:w="40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realized (loss) gain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(12,023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7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90"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(2,000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(14,023</w:t>
            </w:r>
          </w:p>
        </w:tc>
        <w:tc>
          <w:tcPr>
            <w:tcW w:w="21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0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unrealized appreciation (depreciation)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12,353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26,402</w:t>
            </w:r>
          </w:p>
        </w:tc>
        <w:tc>
          <w:tcPr>
            <w:tcW w:w="2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0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Balance as of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138,058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39,153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79,708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256,919</w:t>
            </w:r>
          </w:p>
        </w:tc>
        <w:tc>
          <w:tcPr>
            <w:tcW w:w="2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net change in unrealized appreciation on investments held was $0.2</w:t>
      </w:r>
      <w:r>
        <w:rPr>
          <w:rFonts w:ascii="Times New Roman" w:hAnsi="Times New Roman"/>
          <w:sz w:val="20"/>
        </w:rPr>
        <w:t xml:space="preserve"> </w:t>
      </w:r>
      <w:r>
        <w:rPr>
          <w:rFonts w:ascii="Times New Roman" w:hAnsi="Times New Roman"/>
          <w:b w:val="false"/>
          <w:sz w:val="16"/>
        </w:rPr>
        <w:t>million and $12.7 million for the three months ended March 31, 2022 and 2021, respectively, and is included in net change in unrealized appreciation on investments on the consolidated statements of operations.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valuation techniques and significant unobservable inputs used in recurring Level 3 fair value measurements of assets as of March 31, 2022 were as follows:</w:t>
      </w:r>
    </w:p>
    <w:p>
      <w:pPr>
        <w:pStyle w:val="TextBody"/>
        <w:spacing w:lineRule="auto" w:line="273" w:before="0" w:after="0"/>
        <w:jc w:val="both"/>
        <w:rPr/>
      </w:pPr>
      <w:r>
        <w:rPr/>
        <w:t> </w:t>
      </w:r>
    </w:p>
    <w:tbl>
      <w:tblPr>
        <w:tblW w:w="9359" w:type="dxa"/>
        <w:jc w:val="left"/>
        <w:tblInd w:w="0" w:type="dxa"/>
        <w:tblCellMar>
          <w:top w:w="28" w:type="dxa"/>
          <w:left w:w="28" w:type="dxa"/>
          <w:bottom w:w="28" w:type="dxa"/>
          <w:right w:w="28" w:type="dxa"/>
        </w:tblCellMar>
      </w:tblPr>
      <w:tblGrid>
        <w:gridCol w:w="1411"/>
        <w:gridCol w:w="146"/>
        <w:gridCol w:w="212"/>
        <w:gridCol w:w="748"/>
        <w:gridCol w:w="146"/>
        <w:gridCol w:w="146"/>
        <w:gridCol w:w="2626"/>
        <w:gridCol w:w="146"/>
        <w:gridCol w:w="1786"/>
        <w:gridCol w:w="146"/>
        <w:gridCol w:w="1846"/>
      </w:tblGrid>
      <w:tr>
        <w:trPr/>
        <w:tc>
          <w:tcPr>
            <w:tcW w:w="1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r>
      <w:tr>
        <w:trPr/>
        <w:tc>
          <w:tcPr>
            <w:tcW w:w="14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b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6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Valuation </w:t>
              <w:br/>
              <w:t>Technique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Unobservable</w:t>
              <w:br/>
              <w:t>Input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Range of Input</w:t>
              <w:br/>
              <w:t> (Weighted Average)</w:t>
            </w:r>
            <w:r>
              <w:rPr>
                <w:rFonts w:ascii="Times New Roman" w:hAnsi="Times New Roman"/>
                <w:sz w:val="16"/>
              </w:rPr>
              <w:t> </w:t>
            </w:r>
            <w:r>
              <w:rPr>
                <w:rFonts w:ascii="Times New Roman" w:hAnsi="Times New Roman"/>
                <w:b/>
                <w:sz w:val="11"/>
              </w:rPr>
              <w:t>(2)</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Market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Broker/Dealer Quote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N/A</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Required Rate of Return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5.5% – 15.1% (9.2%)</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Enterprise Market Value and Asset</w:t>
            </w:r>
            <w:r>
              <w:rPr>
                <w:rFonts w:ascii="Times New Roman" w:hAnsi="Times New Roman"/>
                <w:b w:val="false"/>
                <w:sz w:val="11"/>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Revenue Multiple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0.3x</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Market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Broker/Dealer Quote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N/A</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Income and Asset</w:t>
            </w:r>
            <w:r>
              <w:rPr>
                <w:rFonts w:ascii="Times New Roman" w:hAnsi="Times New Roman"/>
                <w:b w:val="false"/>
                <w:sz w:val="11"/>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Required Rate of Return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1.5% – 15.3% (11.7%)</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Enterprise Market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Revenue Multiple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4.7x</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Required Rate of Return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4.9% – 15.2% (7.3%)</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Collateralized loan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Required Rate of Return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19.5% – 22.2% (20.7%)</w:t>
            </w:r>
          </w:p>
        </w:tc>
      </w:tr>
      <w:tr>
        <w:trPr/>
        <w:tc>
          <w:tcPr>
            <w:tcW w:w="141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16"/>
              </w:rPr>
              <w:t>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pPr>
            <w:r>
              <w:rPr/>
              <w:t> </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Enterprise Market Value and Asset</w:t>
            </w:r>
            <w:r>
              <w:rPr>
                <w:rFonts w:ascii="Times New Roman" w:hAnsi="Times New Roman"/>
                <w:b w:val="false"/>
                <w:sz w:val="11"/>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EBITDA Multiple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2.0x – 10.0x (6.8x)</w:t>
            </w:r>
          </w:p>
        </w:tc>
      </w:tr>
      <w:tr>
        <w:trPr/>
        <w:tc>
          <w:tcPr>
            <w:tcW w:w="14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Enterprise Market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Revenue Multiple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0.4x – 0.5x (0.4x)</w:t>
            </w:r>
          </w:p>
        </w:tc>
      </w:tr>
      <w:tr>
        <w:trPr/>
        <w:tc>
          <w:tcPr>
            <w:tcW w:w="14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206.9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$0.8 million of first lien debt, less than $0.1 million of second lien debt and $0.8 million of equity and warrants were valued using the asset approach.</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w:t>
      </w:r>
    </w:p>
    <w:p>
      <w:pPr>
        <w:pStyle w:val="TextBody"/>
        <w:spacing w:lineRule="auto" w:line="273"/>
        <w:jc w:val="both"/>
        <w:rPr>
          <w:rFonts w:ascii="Times New Roman" w:hAnsi="Times New Roman"/>
          <w:b w:val="false"/>
          <w:sz w:val="16"/>
        </w:rPr>
      </w:pPr>
      <w:r>
        <w:rPr>
          <w:rFonts w:ascii="Times New Roman" w:hAnsi="Times New Roman"/>
          <w:b w:val="false"/>
          <w:sz w:val="16"/>
        </w:rPr>
        <w:t>The weighted averages disclosed in the table above were weighted by their relative fair value.</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valuation techniques and significant unobservable inputs used in recurring Level 3 fair value measurements of assets as of December 31, 2021 were as follows:</w:t>
      </w:r>
    </w:p>
    <w:p>
      <w:pPr>
        <w:pStyle w:val="TextBody"/>
        <w:spacing w:lineRule="auto" w:line="273" w:before="0" w:after="0"/>
        <w:jc w:val="left"/>
        <w:rPr/>
      </w:pPr>
      <w:r>
        <w:rPr/>
        <w:t> </w:t>
      </w:r>
    </w:p>
    <w:tbl>
      <w:tblPr>
        <w:tblW w:w="9299" w:type="dxa"/>
        <w:jc w:val="left"/>
        <w:tblInd w:w="0" w:type="dxa"/>
        <w:tblCellMar>
          <w:top w:w="28" w:type="dxa"/>
          <w:left w:w="28" w:type="dxa"/>
          <w:bottom w:w="28" w:type="dxa"/>
          <w:right w:w="28" w:type="dxa"/>
        </w:tblCellMar>
      </w:tblPr>
      <w:tblGrid>
        <w:gridCol w:w="1396"/>
        <w:gridCol w:w="146"/>
        <w:gridCol w:w="266"/>
        <w:gridCol w:w="694"/>
        <w:gridCol w:w="146"/>
        <w:gridCol w:w="146"/>
        <w:gridCol w:w="2716"/>
        <w:gridCol w:w="146"/>
        <w:gridCol w:w="1786"/>
        <w:gridCol w:w="146"/>
        <w:gridCol w:w="1711"/>
      </w:tblGrid>
      <w:tr>
        <w:trPr/>
        <w:tc>
          <w:tcPr>
            <w:tcW w:w="13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r>
      <w:tr>
        <w:trPr/>
        <w:tc>
          <w:tcPr>
            <w:tcW w:w="13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b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7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Valuation </w:t>
              <w:br/>
              <w:t>Technique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Unobservable</w:t>
              <w:br/>
              <w:t>Input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Range (Weighted</w:t>
              <w:br/>
              <w:t>Average)</w:t>
            </w:r>
            <w:r>
              <w:rPr>
                <w:rFonts w:ascii="Times New Roman" w:hAnsi="Times New Roman"/>
                <w:sz w:val="16"/>
              </w:rPr>
              <w:t> </w:t>
            </w:r>
            <w:r>
              <w:rPr>
                <w:rFonts w:ascii="Times New Roman" w:hAnsi="Times New Roman"/>
                <w:b/>
                <w:sz w:val="11"/>
              </w:rPr>
              <w:t>(2)</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Market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Broker/Dealer Quote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N/A</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Required Rate of Return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6.2% – 14.6% (7.4%)</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Enterprise Market Value and Asset(1)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Revenue Multiple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0.3x</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 and Asset(1)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Required Rate of Return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1.2% – 11.5% (9.7%)</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Enterprise Market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Revenue Multiple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4.7x</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Required Rate of Return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5.0%</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Enterprise Market Value and Asset(1)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EBITDA Multiple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1.9x – 10.0x (6.4x)</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Enterprise Market Value and Asset(1)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Revenue Multiple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0.4x – 0.7x (0.4x)</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Required Rate of Return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17.4x – 20.4x (19.1x)</w:t>
            </w:r>
          </w:p>
        </w:tc>
      </w:tr>
      <w:tr>
        <w:trPr/>
        <w:tc>
          <w:tcPr>
            <w:tcW w:w="13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$0.6 million in first lien debt, $0.1 million in second lien debt, and $0.6 million in equity and warrants were valued using the asset approach.</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(2)</w:t>
      </w:r>
    </w:p>
    <w:p>
      <w:pPr>
        <w:pStyle w:val="TextBody"/>
        <w:spacing w:lineRule="auto" w:line="273"/>
        <w:jc w:val="both"/>
        <w:rPr>
          <w:rFonts w:ascii="Times New Roman" w:hAnsi="Times New Roman"/>
          <w:b w:val="false"/>
          <w:sz w:val="16"/>
        </w:rPr>
      </w:pPr>
      <w:r>
        <w:rPr>
          <w:rFonts w:ascii="Times New Roman" w:hAnsi="Times New Roman"/>
          <w:b w:val="false"/>
          <w:sz w:val="16"/>
        </w:rPr>
        <w:t>The weighted averages disclosed in the table above were weighted by their relative fair value.</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significant unobservable inputs used in the valuation of the Company’s investments are required rate of return, EBITDA multiples, and revenue multiples. Changes in any of these unobservable inputs could have a significant impact on the Company’s estimate of fair value. An increase (decrease) in the required rate of return will result in a lower (higher) estimate of fair value while an increase (decrease) in EBITDA or revenue multiples will result in a higher (lower) estimate of fair value.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Note 5. Transactions With Affiliated Companies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During the three months ended March 31, 2022, the Company had investments in portfolio companies designated as affiliates under the 1940 Act. Transactions with affiliates were as follows (dollars in thousands):</w:t>
      </w:r>
    </w:p>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1043"/>
        <w:gridCol w:w="146"/>
        <w:gridCol w:w="1010"/>
        <w:gridCol w:w="146"/>
        <w:gridCol w:w="175"/>
        <w:gridCol w:w="460"/>
        <w:gridCol w:w="146"/>
        <w:gridCol w:w="146"/>
        <w:gridCol w:w="263"/>
        <w:gridCol w:w="552"/>
        <w:gridCol w:w="146"/>
        <w:gridCol w:w="146"/>
        <w:gridCol w:w="186"/>
        <w:gridCol w:w="491"/>
        <w:gridCol w:w="146"/>
        <w:gridCol w:w="146"/>
        <w:gridCol w:w="201"/>
        <w:gridCol w:w="422"/>
        <w:gridCol w:w="146"/>
        <w:gridCol w:w="146"/>
        <w:gridCol w:w="231"/>
        <w:gridCol w:w="482"/>
        <w:gridCol w:w="151"/>
        <w:gridCol w:w="146"/>
        <w:gridCol w:w="196"/>
        <w:gridCol w:w="409"/>
        <w:gridCol w:w="146"/>
        <w:gridCol w:w="146"/>
        <w:gridCol w:w="285"/>
        <w:gridCol w:w="649"/>
        <w:gridCol w:w="151"/>
        <w:gridCol w:w="146"/>
        <w:gridCol w:w="167"/>
        <w:gridCol w:w="440"/>
        <w:gridCol w:w="197"/>
      </w:tblGrid>
      <w:tr>
        <w:trPr/>
        <w:tc>
          <w:tcPr>
            <w:tcW w:w="10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10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2"/>
              </w:rPr>
            </w:pPr>
            <w:r>
              <w:rPr>
                <w:rFonts w:ascii="Times New Roman" w:hAnsi="Times New Roman"/>
                <w:b/>
                <w:sz w:val="12"/>
              </w:rPr>
              <w:t xml:space="preserve">Company </w:t>
            </w:r>
            <w:r>
              <w:rPr>
                <w:rFonts w:ascii="Times New Roman" w:hAnsi="Times New Roman"/>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Type of 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3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Principal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2"/>
              </w:rPr>
            </w:pPr>
            <w:r>
              <w:rPr>
                <w:rFonts w:ascii="Times New Roman" w:hAnsi="Times New Roman"/>
                <w:b/>
                <w:sz w:val="12"/>
              </w:rPr>
              <w:t xml:space="preserve">Amount of Interest, Fees or Dividends Credited to Income </w:t>
            </w:r>
            <w:r>
              <w:rPr>
                <w:rFonts w:ascii="Times New Roman" w:hAnsi="Times New Roman"/>
                <w:b/>
                <w:sz w:val="8"/>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 xml:space="preserve">December 31, </w:t>
              <w:br/>
              <w:t xml:space="preserve">2021 </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2"/>
              </w:rPr>
            </w:pPr>
            <w:r>
              <w:rPr>
                <w:rFonts w:ascii="Times New Roman" w:hAnsi="Times New Roman"/>
                <w:b/>
                <w:sz w:val="12"/>
              </w:rPr>
              <w:t xml:space="preserve">Gross Additions </w:t>
            </w:r>
            <w:r>
              <w:rPr>
                <w:rFonts w:ascii="Times New Roman" w:hAnsi="Times New Roman"/>
                <w:b/>
                <w:sz w:val="8"/>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2"/>
              </w:rPr>
            </w:pPr>
            <w:r>
              <w:rPr>
                <w:rFonts w:ascii="Times New Roman" w:hAnsi="Times New Roman"/>
                <w:b/>
                <w:sz w:val="12"/>
              </w:rPr>
              <w:t xml:space="preserve">Gross Reductions </w:t>
            </w:r>
            <w:r>
              <w:rPr>
                <w:rFonts w:ascii="Times New Roman" w:hAnsi="Times New Roman"/>
                <w:b/>
                <w:sz w:val="8"/>
              </w:rPr>
              <w:t>(3)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Realized Gain/(Loss)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Unrealized Appreciation (Depreciation)</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 xml:space="preserve">March 31, </w:t>
              <w:br/>
              <w:t xml:space="preserve">2022 </w:t>
              <w:br/>
              <w:t>Fair Value</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99" w:type="dxa"/>
            <w:gridSpan w:val="3"/>
            <w:tcBorders/>
            <w:shd w:fill="auto" w:val="clear"/>
            <w:vAlign w:val="center"/>
          </w:tcPr>
          <w:p>
            <w:pPr>
              <w:pStyle w:val="TableContents"/>
              <w:spacing w:lineRule="auto" w:line="252" w:before="0" w:after="0"/>
              <w:ind w:left="0" w:right="0" w:hanging="0"/>
              <w:jc w:val="left"/>
              <w:rPr>
                <w:rFonts w:ascii="Times New Roman" w:hAnsi="Times New Roman"/>
                <w:b/>
                <w:i/>
                <w:sz w:val="12"/>
                <w:u w:val="single"/>
              </w:rPr>
            </w:pPr>
            <w:r>
              <w:rPr>
                <w:rFonts w:ascii="Times New Roman" w:hAnsi="Times New Roman"/>
                <w:b/>
                <w:i/>
                <w:sz w:val="12"/>
                <w:u w:val="single"/>
              </w:rPr>
              <w:t>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3"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3"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4"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7" w:type="dxa"/>
            <w:gridSpan w:val="2"/>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Burgaflex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Stock Class B (1,085,073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5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49"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1,061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2,254</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Burgaflex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Stock Class A (1,253,198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1,193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619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2,148</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1,680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4,402</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Eastport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Second Lien Debt (13.5% Cash (3 month LIBOR + 13.0%, 0.5% Floor), Due 6/01/22)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Eastport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Membership Units (22.9% ownership)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16,319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15,956</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559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32,819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(357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32,456</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GA Communications,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Series A-1 Preferred Stock (1,998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4,390</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GA Communications,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Series B-1 Common Stock (200,000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4,579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4,390</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LJS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Preferred Units (202,336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871</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LJS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Membership Units (2,593,234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7,164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7,307</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8,007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8,178</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(12.0% Cash, Due 1/31/22)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Second Lien Debt (6.0% Cash, Due 1/31/22)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sz w:val="12"/>
              </w:rPr>
            </w:pPr>
            <w:r>
              <w:rPr>
                <w:rFonts w:ascii="Times New Roman" w:hAnsi="Times New Roman"/>
                <w:b w:val="false"/>
                <w:sz w:val="12"/>
              </w:rPr>
              <w:t xml:space="preserve">MMI Holdings, LLC </w:t>
            </w:r>
            <w:r>
              <w:rPr>
                <w:rFonts w:ascii="Times New Roman" w:hAnsi="Times New Roman"/>
                <w:b w:val="false"/>
                <w:sz w:val="8"/>
              </w:rPr>
              <w:t>(5)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Preferred Units (1,000 units, 6.0% PIK Dividend)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1,898</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Membership Units (45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64</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4,961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4,962</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Nth Degree Investment Group,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Membership Units (6,088,000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(6.5% Cash (1 month LIBOR + 5.0%), 1.5% Floor), Due 1/4/24)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983</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(9.8% Cash, Due 1/4/24)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2,666</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sz w:val="12"/>
              </w:rPr>
            </w:pPr>
            <w:r>
              <w:rPr>
                <w:rFonts w:ascii="Times New Roman" w:hAnsi="Times New Roman"/>
                <w:b w:val="false"/>
                <w:sz w:val="12"/>
              </w:rPr>
              <w:t xml:space="preserve">RAM Payment, LLC </w:t>
            </w:r>
            <w:r>
              <w:rPr>
                <w:rFonts w:ascii="Times New Roman" w:hAnsi="Times New Roman"/>
                <w:b w:val="false"/>
                <w:sz w:val="8"/>
              </w:rPr>
              <w:t>(5)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Preferred Units (86,000 units, 8.0% PIK Dividend)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3,726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3,849</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7,498</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Sierra Hamilton Holdings Corporation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Second Lien Debt (15.0%, Due 9/12/23)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Sierra Hamilton Holdings Corporation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Stock (15,068,000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251</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254</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V12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99" w:type="dxa"/>
            <w:gridSpan w:val="3"/>
            <w:tcBorders/>
            <w:shd w:fill="auto" w:val="clear"/>
            <w:vAlign w:val="center"/>
          </w:tcPr>
          <w:p>
            <w:pPr>
              <w:pStyle w:val="TableContents"/>
              <w:spacing w:lineRule="auto" w:line="252" w:before="0" w:after="0"/>
              <w:ind w:left="0" w:right="0" w:hanging="0"/>
              <w:jc w:val="left"/>
              <w:rPr>
                <w:rFonts w:ascii="Times New Roman" w:hAnsi="Times New Roman"/>
                <w:b/>
                <w:i/>
                <w:sz w:val="12"/>
                <w:u w:val="single"/>
              </w:rPr>
            </w:pPr>
            <w:r>
              <w:rPr>
                <w:rFonts w:ascii="Times New Roman" w:hAnsi="Times New Roman"/>
                <w:b/>
                <w:i/>
                <w:sz w:val="12"/>
                <w:u w:val="single"/>
              </w:rPr>
              <w:t>Total 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774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61,359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383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(396</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0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4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1,303</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62,649</w:t>
            </w:r>
          </w:p>
        </w:tc>
        <w:tc>
          <w:tcPr>
            <w:tcW w:w="1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99" w:type="dxa"/>
            <w:gridSpan w:val="3"/>
            <w:tcBorders/>
            <w:shd w:fill="auto" w:val="clear"/>
            <w:vAlign w:val="center"/>
          </w:tcPr>
          <w:p>
            <w:pPr>
              <w:pStyle w:val="TableContents"/>
              <w:spacing w:lineRule="auto" w:line="252" w:before="0" w:after="0"/>
              <w:ind w:left="0" w:right="0" w:hanging="0"/>
              <w:jc w:val="left"/>
              <w:rPr>
                <w:rFonts w:ascii="Times New Roman" w:hAnsi="Times New Roman"/>
                <w:b/>
                <w:i/>
                <w:sz w:val="12"/>
                <w:u w:val="single"/>
              </w:rPr>
            </w:pPr>
            <w:r>
              <w:rPr>
                <w:rFonts w:ascii="Times New Roman" w:hAnsi="Times New Roman"/>
                <w:b/>
                <w:i/>
                <w:sz w:val="12"/>
                <w:u w:val="single"/>
              </w:rPr>
              <w:t>Control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3"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3"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4"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7" w:type="dxa"/>
            <w:gridSpan w:val="2"/>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(10.5% Cash (1 month LIBOR + 8.5%, 2.0% Floor), Due 3/31/22)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6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3,586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5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49"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3,628</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Class A Preferred Units (9,041,810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42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48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649"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44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3,287</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04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Membership Units (5,363,982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99" w:type="dxa"/>
            <w:gridSpan w:val="3"/>
            <w:tcBorders/>
            <w:shd w:fill="auto" w:val="clear"/>
            <w:vAlign w:val="center"/>
          </w:tcPr>
          <w:p>
            <w:pPr>
              <w:pStyle w:val="TableContents"/>
              <w:spacing w:lineRule="auto" w:line="252" w:before="0" w:after="0"/>
              <w:ind w:left="0" w:right="0" w:hanging="0"/>
              <w:jc w:val="left"/>
              <w:rPr>
                <w:rFonts w:ascii="Times New Roman" w:hAnsi="Times New Roman"/>
                <w:b/>
                <w:i/>
                <w:sz w:val="12"/>
                <w:u w:val="single"/>
              </w:rPr>
            </w:pPr>
            <w:r>
              <w:rPr>
                <w:rFonts w:ascii="Times New Roman" w:hAnsi="Times New Roman"/>
                <w:b/>
                <w:i/>
                <w:sz w:val="12"/>
                <w:u w:val="single"/>
              </w:rPr>
              <w:t>Total Control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6,839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0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4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76</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6,915</w:t>
            </w:r>
          </w:p>
        </w:tc>
        <w:tc>
          <w:tcPr>
            <w:tcW w:w="1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226"/>
        <w:gridCol w:w="9979"/>
      </w:tblGrid>
      <w:tr>
        <w:trPr/>
        <w:tc>
          <w:tcPr>
            <w:tcW w:w="226" w:type="dxa"/>
            <w:tcBorders/>
            <w:shd w:fill="auto" w:val="clear"/>
            <w:vAlign w:val="center"/>
          </w:tcPr>
          <w:p>
            <w:pPr>
              <w:pStyle w:val="TableContents"/>
              <w:spacing w:before="0" w:after="283"/>
              <w:rPr>
                <w:sz w:val="4"/>
                <w:szCs w:val="4"/>
              </w:rPr>
            </w:pPr>
            <w:r>
              <w:rPr>
                <w:sz w:val="4"/>
                <w:szCs w:val="4"/>
              </w:rPr>
            </w:r>
          </w:p>
        </w:tc>
        <w:tc>
          <w:tcPr>
            <w:tcW w:w="9979"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vAlign w:val="center"/>
          </w:tcPr>
          <w:p>
            <w:pPr>
              <w:pStyle w:val="TableContents"/>
              <w:spacing w:lineRule="auto" w:line="252" w:before="0" w:after="0"/>
              <w:ind w:left="0" w:right="0" w:hanging="0"/>
              <w:jc w:val="left"/>
              <w:rPr>
                <w:rFonts w:ascii="Times New Roman" w:hAnsi="Times New Roman"/>
                <w:b w:val="false"/>
                <w:sz w:val="11"/>
              </w:rPr>
            </w:pPr>
            <w:r>
              <w:rPr>
                <w:rFonts w:ascii="Times New Roman" w:hAnsi="Times New Roman"/>
                <w:b w:val="false"/>
                <w:sz w:val="11"/>
              </w:rPr>
              <w:t>(1)</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Represents the total amount of interest, original issue discount, fees and dividends credited to income for the portion of the year an investment was included in Affiliate or Control categories, respectively.</w:t>
            </w:r>
          </w:p>
        </w:tc>
      </w:tr>
      <w:tr>
        <w:trPr/>
        <w:tc>
          <w:tcPr>
            <w:tcW w:w="226" w:type="dxa"/>
            <w:tcBorders/>
            <w:shd w:fill="auto" w:val="clear"/>
            <w:vAlign w:val="center"/>
          </w:tcPr>
          <w:p>
            <w:pPr>
              <w:pStyle w:val="TableContents"/>
              <w:spacing w:lineRule="auto" w:line="252" w:before="0" w:after="0"/>
              <w:ind w:left="0" w:right="0" w:hanging="0"/>
              <w:jc w:val="left"/>
              <w:rPr>
                <w:rFonts w:ascii="Times New Roman" w:hAnsi="Times New Roman"/>
                <w:b w:val="false"/>
                <w:sz w:val="11"/>
              </w:rPr>
            </w:pPr>
            <w:r>
              <w:rPr>
                <w:rFonts w:ascii="Times New Roman" w:hAnsi="Times New Roman"/>
                <w:b w:val="false"/>
                <w:sz w:val="11"/>
              </w:rPr>
              <w:t>(2)</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Gross additions include increases in the cost basis of investments resulting from new portfolio investments, follow-on investments, accrued PIK and accretion of original issue discount. Gross additions also include transfers into Affiliate or Control classification.</w:t>
            </w:r>
          </w:p>
        </w:tc>
      </w:tr>
      <w:tr>
        <w:trPr/>
        <w:tc>
          <w:tcPr>
            <w:tcW w:w="226" w:type="dxa"/>
            <w:tcBorders/>
            <w:shd w:fill="auto" w:val="clear"/>
            <w:vAlign w:val="center"/>
          </w:tcPr>
          <w:p>
            <w:pPr>
              <w:pStyle w:val="TableContents"/>
              <w:spacing w:lineRule="auto" w:line="252" w:before="0" w:after="0"/>
              <w:ind w:left="0" w:right="0" w:hanging="0"/>
              <w:jc w:val="left"/>
              <w:rPr>
                <w:rFonts w:ascii="Times New Roman" w:hAnsi="Times New Roman"/>
                <w:b w:val="false"/>
                <w:sz w:val="11"/>
              </w:rPr>
            </w:pPr>
            <w:r>
              <w:rPr>
                <w:rFonts w:ascii="Times New Roman" w:hAnsi="Times New Roman"/>
                <w:b w:val="false"/>
                <w:sz w:val="11"/>
              </w:rPr>
              <w:t>(3)</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Gross reductions include decreases in the cost basis of investments resulting from principal repayments and sales. Gross reductions also include transfers out of Affiliate or Control classification.</w:t>
            </w:r>
          </w:p>
        </w:tc>
      </w:tr>
      <w:tr>
        <w:trPr/>
        <w:tc>
          <w:tcPr>
            <w:tcW w:w="226" w:type="dxa"/>
            <w:tcBorders/>
            <w:shd w:fill="auto" w:val="clear"/>
            <w:vAlign w:val="center"/>
          </w:tcPr>
          <w:p>
            <w:pPr>
              <w:pStyle w:val="TableContents"/>
              <w:spacing w:lineRule="auto" w:line="252" w:before="0" w:after="0"/>
              <w:ind w:left="0" w:right="0" w:hanging="0"/>
              <w:jc w:val="left"/>
              <w:rPr>
                <w:rFonts w:ascii="Times New Roman" w:hAnsi="Times New Roman"/>
                <w:b w:val="false"/>
                <w:sz w:val="11"/>
              </w:rPr>
            </w:pPr>
            <w:r>
              <w:rPr>
                <w:rFonts w:ascii="Times New Roman" w:hAnsi="Times New Roman"/>
                <w:b w:val="false"/>
                <w:sz w:val="11"/>
              </w:rPr>
              <w:t>(4)</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All debt investments are income producing. Equity and warrant investments are non-income producing, unless otherwise noted.</w:t>
            </w:r>
          </w:p>
        </w:tc>
      </w:tr>
      <w:tr>
        <w:trPr/>
        <w:tc>
          <w:tcPr>
            <w:tcW w:w="226" w:type="dxa"/>
            <w:tcBorders/>
            <w:shd w:fill="auto" w:val="clear"/>
            <w:vAlign w:val="center"/>
          </w:tcPr>
          <w:p>
            <w:pPr>
              <w:pStyle w:val="TableContents"/>
              <w:spacing w:lineRule="auto" w:line="252" w:before="0" w:after="0"/>
              <w:ind w:left="0" w:right="0" w:hanging="0"/>
              <w:jc w:val="left"/>
              <w:rPr>
                <w:rFonts w:ascii="Times New Roman" w:hAnsi="Times New Roman"/>
                <w:b w:val="false"/>
                <w:sz w:val="11"/>
              </w:rPr>
            </w:pPr>
            <w:r>
              <w:rPr>
                <w:rFonts w:ascii="Times New Roman" w:hAnsi="Times New Roman"/>
                <w:b w:val="false"/>
                <w:sz w:val="11"/>
              </w:rPr>
              <w:t>(5)</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equity investment is income producing, based on rate disclosed.</w:t>
            </w:r>
          </w:p>
        </w:tc>
      </w:tr>
    </w:tbl>
    <w:p>
      <w:pPr>
        <w:pStyle w:val="TextBody"/>
        <w:spacing w:lineRule="auto" w:line="273" w:before="0" w:after="0"/>
        <w:jc w:val="center"/>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During the year ended December 31, 2021, the Company had investments in portfolio companies designated as affiliates under the 1940 Act. Transactions with affiliates were as follows (dollars in thousands):</w:t>
      </w:r>
    </w:p>
    <w:p>
      <w:pPr>
        <w:pStyle w:val="TextBody"/>
        <w:spacing w:lineRule="auto" w:line="273" w:before="0" w:after="0"/>
        <w:jc w:val="center"/>
        <w:rPr/>
      </w:pPr>
      <w:r>
        <w:rPr/>
        <w:t> </w:t>
      </w:r>
    </w:p>
    <w:tbl>
      <w:tblPr>
        <w:tblW w:w="10205" w:type="dxa"/>
        <w:jc w:val="left"/>
        <w:tblInd w:w="0" w:type="dxa"/>
        <w:tblCellMar>
          <w:top w:w="28" w:type="dxa"/>
          <w:left w:w="28" w:type="dxa"/>
          <w:bottom w:w="28" w:type="dxa"/>
          <w:right w:w="28" w:type="dxa"/>
        </w:tblCellMar>
      </w:tblPr>
      <w:tblGrid>
        <w:gridCol w:w="1036"/>
        <w:gridCol w:w="146"/>
        <w:gridCol w:w="987"/>
        <w:gridCol w:w="146"/>
        <w:gridCol w:w="174"/>
        <w:gridCol w:w="458"/>
        <w:gridCol w:w="146"/>
        <w:gridCol w:w="146"/>
        <w:gridCol w:w="244"/>
        <w:gridCol w:w="554"/>
        <w:gridCol w:w="146"/>
        <w:gridCol w:w="146"/>
        <w:gridCol w:w="186"/>
        <w:gridCol w:w="490"/>
        <w:gridCol w:w="146"/>
        <w:gridCol w:w="146"/>
        <w:gridCol w:w="200"/>
        <w:gridCol w:w="420"/>
        <w:gridCol w:w="146"/>
        <w:gridCol w:w="146"/>
        <w:gridCol w:w="181"/>
        <w:gridCol w:w="528"/>
        <w:gridCol w:w="151"/>
        <w:gridCol w:w="146"/>
        <w:gridCol w:w="183"/>
        <w:gridCol w:w="417"/>
        <w:gridCol w:w="146"/>
        <w:gridCol w:w="146"/>
        <w:gridCol w:w="261"/>
        <w:gridCol w:w="664"/>
        <w:gridCol w:w="151"/>
        <w:gridCol w:w="146"/>
        <w:gridCol w:w="186"/>
        <w:gridCol w:w="490"/>
        <w:gridCol w:w="200"/>
      </w:tblGrid>
      <w:tr>
        <w:trPr/>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2"/>
              </w:rPr>
            </w:pPr>
            <w:r>
              <w:rPr>
                <w:rFonts w:ascii="Times New Roman" w:hAnsi="Times New Roman"/>
                <w:b/>
                <w:sz w:val="12"/>
              </w:rPr>
              <w:t xml:space="preserve">Company </w:t>
            </w:r>
            <w:r>
              <w:rPr>
                <w:rFonts w:ascii="Times New Roman" w:hAnsi="Times New Roman"/>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Type of 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Principal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2"/>
              </w:rPr>
            </w:pPr>
            <w:r>
              <w:rPr>
                <w:rFonts w:ascii="Times New Roman" w:hAnsi="Times New Roman"/>
                <w:b/>
                <w:sz w:val="12"/>
              </w:rPr>
              <w:t xml:space="preserve">Amount of Interest, Fees or Dividends Credited to Income </w:t>
            </w:r>
            <w:r>
              <w:rPr>
                <w:rFonts w:ascii="Times New Roman" w:hAnsi="Times New Roman"/>
                <w:b/>
                <w:sz w:val="8"/>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 xml:space="preserve">December 31, </w:t>
              <w:br/>
              <w:t xml:space="preserve">2020 </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2"/>
              </w:rPr>
            </w:pPr>
            <w:r>
              <w:rPr>
                <w:rFonts w:ascii="Times New Roman" w:hAnsi="Times New Roman"/>
                <w:b/>
                <w:sz w:val="12"/>
              </w:rPr>
              <w:t xml:space="preserve">Gross Additions </w:t>
            </w:r>
            <w:r>
              <w:rPr>
                <w:rFonts w:ascii="Times New Roman" w:hAnsi="Times New Roman"/>
                <w:b/>
                <w:sz w:val="8"/>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2"/>
              </w:rPr>
            </w:pPr>
            <w:r>
              <w:rPr>
                <w:rFonts w:ascii="Times New Roman" w:hAnsi="Times New Roman"/>
                <w:b/>
                <w:sz w:val="12"/>
              </w:rPr>
              <w:t xml:space="preserve">Gross Reductions </w:t>
            </w:r>
            <w:r>
              <w:rPr>
                <w:rFonts w:ascii="Times New Roman" w:hAnsi="Times New Roman"/>
                <w:b/>
                <w:sz w:val="8"/>
              </w:rPr>
              <w:t>(3)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Realized Gain/(Loss)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Unrealized Appreciation (Depreciation)</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 xml:space="preserve">December 31, </w:t>
              <w:br/>
              <w:t xml:space="preserve">2021 </w:t>
              <w:br/>
              <w:t>Fair Value</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69" w:type="dxa"/>
            <w:gridSpan w:val="3"/>
            <w:tcBorders/>
            <w:shd w:fill="auto" w:val="clear"/>
            <w:vAlign w:val="center"/>
          </w:tcPr>
          <w:p>
            <w:pPr>
              <w:pStyle w:val="TableContents"/>
              <w:spacing w:lineRule="auto" w:line="252" w:before="0" w:after="0"/>
              <w:ind w:left="0" w:right="0" w:hanging="0"/>
              <w:jc w:val="left"/>
              <w:rPr>
                <w:rFonts w:ascii="Times New Roman" w:hAnsi="Times New Roman"/>
                <w:b/>
                <w:i/>
                <w:sz w:val="12"/>
                <w:u w:val="single"/>
              </w:rPr>
            </w:pPr>
            <w:r>
              <w:rPr>
                <w:rFonts w:ascii="Times New Roman" w:hAnsi="Times New Roman"/>
                <w:b/>
                <w:i/>
                <w:sz w:val="12"/>
                <w:u w:val="single"/>
              </w:rPr>
              <w:t>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8"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9"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gridSpan w:val="2"/>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Burgaflex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(12.0% Cash, 3.0% PIK, Due 3/23/21)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13,597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2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(13,597</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6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0" w:type="dxa"/>
            <w:tcBorders/>
            <w:shd w:fill="auto" w:val="clear"/>
            <w:vAlign w:val="center"/>
          </w:tcPr>
          <w:p>
            <w:pPr>
              <w:pStyle w:val="TableContents"/>
              <w:spacing w:lineRule="auto" w:line="252" w:before="0" w:after="0"/>
              <w:ind w:left="0" w:right="0" w:hanging="0"/>
              <w:jc w:val="right"/>
              <w:rPr/>
            </w:pPr>
            <w:r>
              <w:rPr/>
              <w:t>—</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Burgaflex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Stock Class B (1,085,073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1,528</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Burgaflex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Stock Class A (1,253,198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1,193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1,193</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14,935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(13,597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1,383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2,721</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City Gear,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Membership Unit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2,011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(2,215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2,215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(2,011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2,011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(2,215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2,215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(2,011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Eastport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Second Lien Debt (13.5% Cash (3 month LIBOR + 13.0%, 0.5% Floor), Due 4/30/22)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16,500</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Eastport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Membership Units (22.9% ownership)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20,294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(3,975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16,319</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2,402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36,794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(4,098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32,819</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GA Communications,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Series A-1 Preferred Stock (1,998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4,394</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GA Communications,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Series B-1 Common Stock (200,000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185</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4,212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4,579</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LJS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Preferred Units (202,336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756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843</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LJS Partners,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Membership Units (2,593,234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3,951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3,213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7,164</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4,707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3,300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8,007</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(12.0% Cash, Due 1/31/22)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2,600</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Second Lien Debt (6.0% Cash, Due 1/31/22)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400</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sz w:val="12"/>
              </w:rPr>
            </w:pPr>
            <w:r>
              <w:rPr>
                <w:rFonts w:ascii="Times New Roman" w:hAnsi="Times New Roman"/>
                <w:b w:val="false"/>
                <w:sz w:val="12"/>
              </w:rPr>
              <w:t xml:space="preserve">MMI Holdings, LLC </w:t>
            </w:r>
            <w:r>
              <w:rPr>
                <w:rFonts w:ascii="Times New Roman" w:hAnsi="Times New Roman"/>
                <w:b w:val="false"/>
                <w:sz w:val="8"/>
              </w:rPr>
              <w:t>(5)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Preferred Units (1,000 units, 6.0% PIK Dividend)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1,898</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MMI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Membership Units (45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63</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4,961</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Navis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(9.0% Cash, 2.0% PIK, Due 6/30/23)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10,882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(11,212</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pPr>
            <w:r>
              <w:rPr/>
              <w:t>—</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Navis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Class A Preferred Stock (1,000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pPr>
            <w:r>
              <w:rPr/>
              <w:t>—</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Navis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Stock (60,000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1,093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11,868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(12,472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Nth Degree Investment Group,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Membership Units (6,088,000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(6.5% Cash (1 month LIBOR + 5.0%), 1.5% Floor), Due 1/4/24)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2,451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(1,455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998</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RAM Payment,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(9.8% Cash, Due 1/4/24)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6,646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(3,939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2,706</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sz w:val="12"/>
              </w:rPr>
            </w:pPr>
            <w:r>
              <w:rPr>
                <w:rFonts w:ascii="Times New Roman" w:hAnsi="Times New Roman"/>
                <w:b w:val="false"/>
                <w:sz w:val="12"/>
              </w:rPr>
              <w:t xml:space="preserve">RAM Payment, LLC </w:t>
            </w:r>
            <w:r>
              <w:rPr>
                <w:rFonts w:ascii="Times New Roman" w:hAnsi="Times New Roman"/>
                <w:b w:val="false"/>
                <w:sz w:val="8"/>
              </w:rPr>
              <w:t>(5)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Preferred Units (86,000 units, 8.0% PIK Dividend)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2,874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783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3,726</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767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11,971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(5,394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784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7,430</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Sierra Hamilton Holdings Corporation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Second Lien Debt (15.0%, Due 9/12/23)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Sierra Hamilton Holdings Corporation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Common Stock (15,068,000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977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(647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330</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1,418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(450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(647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333</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V12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509</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69" w:type="dxa"/>
            <w:gridSpan w:val="3"/>
            <w:tcBorders/>
            <w:shd w:fill="auto" w:val="clear"/>
            <w:vAlign w:val="center"/>
          </w:tcPr>
          <w:p>
            <w:pPr>
              <w:pStyle w:val="TableContents"/>
              <w:spacing w:lineRule="auto" w:line="252" w:before="0" w:after="0"/>
              <w:ind w:left="0" w:right="0" w:hanging="0"/>
              <w:jc w:val="left"/>
              <w:rPr>
                <w:rFonts w:ascii="Times New Roman" w:hAnsi="Times New Roman"/>
                <w:b/>
                <w:i/>
                <w:sz w:val="12"/>
                <w:u w:val="single"/>
              </w:rPr>
            </w:pPr>
            <w:r>
              <w:rPr>
                <w:rFonts w:ascii="Times New Roman" w:hAnsi="Times New Roman"/>
                <w:b/>
                <w:i/>
                <w:sz w:val="12"/>
                <w:u w:val="single"/>
              </w:rPr>
              <w:t>Total Affiliate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4,996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93,425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(34,128</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2,475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(908</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61,359</w:t>
            </w:r>
          </w:p>
        </w:tc>
        <w:tc>
          <w:tcPr>
            <w:tcW w:w="2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69" w:type="dxa"/>
            <w:gridSpan w:val="3"/>
            <w:tcBorders/>
            <w:shd w:fill="auto" w:val="clear"/>
            <w:vAlign w:val="center"/>
          </w:tcPr>
          <w:p>
            <w:pPr>
              <w:pStyle w:val="TableContents"/>
              <w:spacing w:lineRule="auto" w:line="252" w:before="0" w:after="0"/>
              <w:ind w:left="0" w:right="0" w:hanging="0"/>
              <w:jc w:val="left"/>
              <w:rPr>
                <w:rFonts w:ascii="Times New Roman" w:hAnsi="Times New Roman"/>
                <w:b/>
                <w:i/>
                <w:sz w:val="12"/>
                <w:u w:val="single"/>
              </w:rPr>
            </w:pPr>
            <w:r>
              <w:rPr>
                <w:rFonts w:ascii="Times New Roman" w:hAnsi="Times New Roman"/>
                <w:b/>
                <w:i/>
                <w:sz w:val="12"/>
                <w:u w:val="single"/>
              </w:rPr>
              <w:t>Control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8"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9"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gridSpan w:val="2"/>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First Lien Debt (10.5% Cash (1 month LIBOR + 8.5%, 2.0% Floor), Due 3/31/22)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5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5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28"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(97</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3,635</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Class A Preferred Units (9,041,810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55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4,687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2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664"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(1,483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3,204</w:t>
            </w:r>
          </w:p>
        </w:tc>
        <w:tc>
          <w:tcPr>
            <w:tcW w:w="200" w:type="dxa"/>
            <w:tcBorders/>
            <w:shd w:fill="auto" w:val="clear"/>
            <w:vAlign w:val="center"/>
          </w:tcPr>
          <w:p>
            <w:pPr>
              <w:pStyle w:val="TableContents"/>
              <w:spacing w:lineRule="auto" w:line="252" w:before="0" w:after="0"/>
              <w:ind w:left="0" w:right="0" w:hanging="0"/>
              <w:jc w:val="left"/>
              <w:rPr/>
            </w:pPr>
            <w:r>
              <w:rPr/>
              <w:t> </w:t>
            </w:r>
          </w:p>
        </w:tc>
      </w:tr>
      <w:tr>
        <w:trPr/>
        <w:tc>
          <w:tcPr>
            <w:tcW w:w="103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Vology,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Membership Units (5,363,982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45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69" w:type="dxa"/>
            <w:gridSpan w:val="3"/>
            <w:tcBorders/>
            <w:shd w:fill="auto" w:val="clear"/>
            <w:vAlign w:val="center"/>
          </w:tcPr>
          <w:p>
            <w:pPr>
              <w:pStyle w:val="TableContents"/>
              <w:spacing w:lineRule="auto" w:line="252" w:before="0" w:after="0"/>
              <w:ind w:left="0" w:right="0" w:hanging="0"/>
              <w:jc w:val="left"/>
              <w:rPr>
                <w:rFonts w:ascii="Times New Roman" w:hAnsi="Times New Roman"/>
                <w:b/>
                <w:i/>
                <w:sz w:val="12"/>
                <w:u w:val="single"/>
              </w:rPr>
            </w:pPr>
            <w:r>
              <w:rPr>
                <w:rFonts w:ascii="Times New Roman" w:hAnsi="Times New Roman"/>
                <w:b/>
                <w:i/>
                <w:sz w:val="12"/>
                <w:u w:val="single"/>
              </w:rPr>
              <w:t>Total Control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389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8,419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(97</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(1,483</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6,839</w:t>
            </w:r>
          </w:p>
        </w:tc>
        <w:tc>
          <w:tcPr>
            <w:tcW w:w="2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tbl>
      <w:tblPr>
        <w:tblW w:w="10205" w:type="dxa"/>
        <w:jc w:val="left"/>
        <w:tblInd w:w="0" w:type="dxa"/>
        <w:tblCellMar>
          <w:top w:w="28" w:type="dxa"/>
          <w:left w:w="28" w:type="dxa"/>
          <w:bottom w:w="28" w:type="dxa"/>
          <w:right w:w="28" w:type="dxa"/>
        </w:tblCellMar>
      </w:tblPr>
      <w:tblGrid>
        <w:gridCol w:w="226"/>
        <w:gridCol w:w="9979"/>
      </w:tblGrid>
      <w:tr>
        <w:trPr/>
        <w:tc>
          <w:tcPr>
            <w:tcW w:w="226" w:type="dxa"/>
            <w:tcBorders/>
            <w:shd w:fill="auto" w:val="clear"/>
            <w:vAlign w:val="center"/>
          </w:tcPr>
          <w:p>
            <w:pPr>
              <w:pStyle w:val="TableContents"/>
              <w:spacing w:before="0" w:after="283"/>
              <w:rPr>
                <w:sz w:val="4"/>
                <w:szCs w:val="4"/>
              </w:rPr>
            </w:pPr>
            <w:r>
              <w:rPr>
                <w:sz w:val="4"/>
                <w:szCs w:val="4"/>
              </w:rPr>
            </w:r>
          </w:p>
        </w:tc>
        <w:tc>
          <w:tcPr>
            <w:tcW w:w="9979"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vAlign w:val="center"/>
          </w:tcPr>
          <w:p>
            <w:pPr>
              <w:pStyle w:val="TableContents"/>
              <w:spacing w:lineRule="auto" w:line="252" w:before="0" w:after="0"/>
              <w:ind w:left="0" w:right="0" w:hanging="0"/>
              <w:jc w:val="left"/>
              <w:rPr>
                <w:rFonts w:ascii="Times New Roman" w:hAnsi="Times New Roman"/>
                <w:b w:val="false"/>
                <w:sz w:val="11"/>
              </w:rPr>
            </w:pPr>
            <w:r>
              <w:rPr>
                <w:rFonts w:ascii="Times New Roman" w:hAnsi="Times New Roman"/>
                <w:b w:val="false"/>
                <w:sz w:val="11"/>
              </w:rPr>
              <w:t>(1)</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Represents the total amount of interest, original issue discount, fees and dividends credited to income for the portion of the year an investment was included in Affiliate or Control categories, respectively.</w:t>
            </w:r>
          </w:p>
        </w:tc>
      </w:tr>
      <w:tr>
        <w:trPr/>
        <w:tc>
          <w:tcPr>
            <w:tcW w:w="226" w:type="dxa"/>
            <w:tcBorders/>
            <w:shd w:fill="auto" w:val="clear"/>
            <w:vAlign w:val="center"/>
          </w:tcPr>
          <w:p>
            <w:pPr>
              <w:pStyle w:val="TableContents"/>
              <w:spacing w:lineRule="auto" w:line="252" w:before="0" w:after="0"/>
              <w:ind w:left="0" w:right="0" w:hanging="0"/>
              <w:jc w:val="both"/>
              <w:rPr>
                <w:rFonts w:ascii="Times New Roman" w:hAnsi="Times New Roman"/>
                <w:b w:val="false"/>
                <w:sz w:val="11"/>
              </w:rPr>
            </w:pPr>
            <w:r>
              <w:rPr>
                <w:rFonts w:ascii="Times New Roman" w:hAnsi="Times New Roman"/>
                <w:b w:val="false"/>
                <w:sz w:val="11"/>
              </w:rPr>
              <w:t>(2)</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Gross additions include increases in the cost basis of investments resulting from new portfolio investments, follow-on investments, accrued PIK and accretion of original issue discount. Gross additions also include transfers into Affiliate or Control classification.</w:t>
            </w:r>
          </w:p>
        </w:tc>
      </w:tr>
      <w:tr>
        <w:trPr/>
        <w:tc>
          <w:tcPr>
            <w:tcW w:w="226" w:type="dxa"/>
            <w:tcBorders/>
            <w:shd w:fill="auto" w:val="clear"/>
            <w:vAlign w:val="center"/>
          </w:tcPr>
          <w:p>
            <w:pPr>
              <w:pStyle w:val="TableContents"/>
              <w:spacing w:lineRule="auto" w:line="252" w:before="0" w:after="0"/>
              <w:ind w:left="0" w:right="0" w:hanging="0"/>
              <w:jc w:val="both"/>
              <w:rPr>
                <w:rFonts w:ascii="Times New Roman" w:hAnsi="Times New Roman"/>
                <w:b w:val="false"/>
                <w:sz w:val="11"/>
              </w:rPr>
            </w:pPr>
            <w:r>
              <w:rPr>
                <w:rFonts w:ascii="Times New Roman" w:hAnsi="Times New Roman"/>
                <w:b w:val="false"/>
                <w:sz w:val="11"/>
              </w:rPr>
              <w:t>(3)</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Gross reductions include decreases in the cost basis of investments resulting from principal repayments and sales. Gross reductions also include transfers out of Affiliate or Control classification.</w:t>
            </w:r>
          </w:p>
        </w:tc>
      </w:tr>
      <w:tr>
        <w:trPr/>
        <w:tc>
          <w:tcPr>
            <w:tcW w:w="226" w:type="dxa"/>
            <w:tcBorders/>
            <w:shd w:fill="auto" w:val="clear"/>
            <w:vAlign w:val="center"/>
          </w:tcPr>
          <w:p>
            <w:pPr>
              <w:pStyle w:val="TableContents"/>
              <w:spacing w:lineRule="auto" w:line="252" w:before="0" w:after="0"/>
              <w:ind w:left="0" w:right="0" w:hanging="0"/>
              <w:jc w:val="both"/>
              <w:rPr>
                <w:rFonts w:ascii="Times New Roman" w:hAnsi="Times New Roman"/>
                <w:b w:val="false"/>
                <w:sz w:val="11"/>
              </w:rPr>
            </w:pPr>
            <w:r>
              <w:rPr>
                <w:rFonts w:ascii="Times New Roman" w:hAnsi="Times New Roman"/>
                <w:b w:val="false"/>
                <w:sz w:val="11"/>
              </w:rPr>
              <w:t>(4)</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All debt investments are income producing. Equity and warrant investments are non-income producing, unless otherwise noted.</w:t>
            </w:r>
          </w:p>
        </w:tc>
      </w:tr>
      <w:tr>
        <w:trPr/>
        <w:tc>
          <w:tcPr>
            <w:tcW w:w="226" w:type="dxa"/>
            <w:tcBorders/>
            <w:shd w:fill="auto" w:val="clear"/>
            <w:vAlign w:val="center"/>
          </w:tcPr>
          <w:p>
            <w:pPr>
              <w:pStyle w:val="TableContents"/>
              <w:spacing w:lineRule="auto" w:line="252" w:before="0" w:after="0"/>
              <w:ind w:left="0" w:right="0" w:hanging="0"/>
              <w:jc w:val="both"/>
              <w:rPr>
                <w:rFonts w:ascii="Times New Roman" w:hAnsi="Times New Roman"/>
                <w:b w:val="false"/>
                <w:sz w:val="11"/>
              </w:rPr>
            </w:pPr>
            <w:r>
              <w:rPr>
                <w:rFonts w:ascii="Times New Roman" w:hAnsi="Times New Roman"/>
                <w:b w:val="false"/>
                <w:sz w:val="11"/>
              </w:rPr>
              <w:t>(5)</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equity investment is income producing, based on rate disclosed.</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Note 6. Agreements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Advisor manages our day-to-day operations and provides investment advisory and management services to us. Under the terms of the Investment Advisory Agreement, the Investment Advisor:</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determines the composition of our portfolio, the nature and timing of the changes to our portfolio, and the manner of implementing such changes;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identifies, evaluates, and negotiates the structure of the investments we make (including performing due diligence on our prospective portfolio companies);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closes and monitors the investments we make; and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provides us with other investment advisory, research, and related services as we may from time to time require.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Advisor’s services under the Investment Advisory Agreement are not exclusive, and it is free to furnish similar services to other entities so long as its services to us are not impaired.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Pursuant to the Investment Advisory Agreement, the Company has agreed to pay the Investment Advisor a fee for investment advisory and management services consisting of two components — a base management fee and an incentive fee.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incentive fee consists of the following two parts: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no incentive fee in any calendar quarter in which the pre-incentive fee net investment income does not exceed the hurdle of 2.0%;</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 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second part of the incentive fee will be determined and payable in arrears as of the end of each calendar year, commencing on December 31, 2021, and will equal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shall be excluded from the calculations of the capital gains fee. In the event that the Investment Advisory Agreement shall terminate as of a date that is not a calendar year end, the termination date shall be treated as though it were a calendar year end for purposes of calculating and paying a capital gains fee.</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March 31, 2022 and December 31, 2021, the Company had incentive fees payable to the Investment Advisor of</w:t>
      </w:r>
      <w:r>
        <w:rPr>
          <w:rFonts w:ascii="Times New Roman" w:hAnsi="Times New Roman"/>
          <w:sz w:val="20"/>
        </w:rPr>
        <w:t xml:space="preserve"> </w:t>
      </w:r>
      <w:r>
        <w:rPr>
          <w:rFonts w:ascii="Times New Roman" w:hAnsi="Times New Roman"/>
          <w:b w:val="false"/>
          <w:sz w:val="16"/>
        </w:rPr>
        <w:t>zero and zero related to fees earned in prior years but deferred under the incentive fee deferral mechanism.</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For the three months ended March 31, 2022</w:t>
      </w:r>
      <w:r>
        <w:rPr>
          <w:rFonts w:ascii="Times New Roman" w:hAnsi="Times New Roman"/>
          <w:sz w:val="20"/>
        </w:rPr>
        <w:t xml:space="preserve"> </w:t>
      </w:r>
      <w:r>
        <w:rPr>
          <w:rFonts w:ascii="Times New Roman" w:hAnsi="Times New Roman"/>
          <w:b w:val="false"/>
          <w:sz w:val="16"/>
        </w:rPr>
        <w:t>and 2021, the Company incurred $1.0 million and $1.4 million in base management fees, respectively. The Company did not earn an incentive fee related to pre-incentive fee net investment income or capital gains for the both three months ended March 31, 2022 and 2021.</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until July 1, 2021, a period of two years from the date it first became effective and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For the three months ended March 31, 2022 and 2021, the Company accrued $0.1 million and $0.4 million, respectively, for the Company’s allocable portion of the Administrator’s overhead.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Note 7. Related Party Transactions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of March 31, 2022 and December 31, 2021, the Company had $1.0 million and $1.1 million of management and incentive fees payable. These amounts are reflected in the accompanying consolidated statements of assets and liabilities under the caption “Management and incentive fees payable.”</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Note 8. Borrowings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16"/>
        </w:rPr>
      </w:pPr>
      <w:r>
        <w:rPr>
          <w:rFonts w:ascii="Times New Roman" w:hAnsi="Times New Roman"/>
          <w:b/>
          <w:i/>
          <w:sz w:val="16"/>
        </w:rPr>
        <w:t>SBA-guaranteed Debentures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through its wholly owned subsidiary Fund III, historically used debenture leverage provided through the SBA to fund a portion of its investment portfolio. As of December 31, 2021, the Company had no SBA-guaranteed debentures outstanding. On June 10, 2021, Fund III repaid all of its remaining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March 1, 2019, Fund II repaid its outstanding SBA-guaranteed debentures and relinquished its SBIC license. On June 10, 2021, Fund III repaid its SBA-guaranteed debentures and relinquished its SBIC license.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of March 31, 2022 and December 31, 2021, there were no SBA-guaranteed debentures outstanding.</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following table summarizes the historical interest expense and annual charges, deferred financing costs, average outstanding balance, and average stated interest and annual charge rate on the SBA-guaranteed debentures for the three months ended March 31, 2022 and 2021 (dollars in thousands):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tbl>
      <w:tblPr>
        <w:tblW w:w="6716" w:type="dxa"/>
        <w:jc w:val="left"/>
        <w:tblInd w:w="0" w:type="dxa"/>
        <w:tblCellMar>
          <w:top w:w="28" w:type="dxa"/>
          <w:left w:w="28" w:type="dxa"/>
          <w:bottom w:w="28" w:type="dxa"/>
          <w:right w:w="28" w:type="dxa"/>
        </w:tblCellMar>
      </w:tblPr>
      <w:tblGrid>
        <w:gridCol w:w="3301"/>
        <w:gridCol w:w="146"/>
        <w:gridCol w:w="358"/>
        <w:gridCol w:w="633"/>
        <w:gridCol w:w="267"/>
        <w:gridCol w:w="267"/>
        <w:gridCol w:w="358"/>
        <w:gridCol w:w="1100"/>
        <w:gridCol w:w="286"/>
      </w:tblGrid>
      <w:tr>
        <w:trPr/>
        <w:tc>
          <w:tcPr>
            <w:tcW w:w="3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3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3" w:type="dxa"/>
            <w:gridSpan w:val="6"/>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28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33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2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145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expense and annual charges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33" w:type="dxa"/>
            <w:tcBorders/>
            <w:shd w:fill="auto" w:val="clear"/>
            <w:vAlign w:val="center"/>
          </w:tcPr>
          <w:p>
            <w:pPr>
              <w:pStyle w:val="TableContents"/>
              <w:spacing w:lineRule="auto" w:line="252" w:before="0" w:after="0"/>
              <w:ind w:left="0" w:right="0" w:hanging="0"/>
              <w:jc w:val="right"/>
              <w:rPr/>
            </w:pPr>
            <w:r>
              <w:rPr/>
              <w:t>—</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1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661</w:t>
            </w:r>
          </w:p>
        </w:tc>
        <w:tc>
          <w:tcPr>
            <w:tcW w:w="286" w:type="dxa"/>
            <w:tcBorders/>
            <w:shd w:fill="auto" w:val="clear"/>
            <w:vAlign w:val="center"/>
          </w:tcPr>
          <w:p>
            <w:pPr>
              <w:pStyle w:val="TableContents"/>
              <w:spacing w:lineRule="auto" w:line="252" w:before="0" w:after="0"/>
              <w:ind w:left="0" w:right="0" w:hanging="0"/>
              <w:jc w:val="left"/>
              <w:rPr/>
            </w:pPr>
            <w:r>
              <w:rPr/>
              <w:t> </w:t>
            </w:r>
          </w:p>
        </w:tc>
      </w:tr>
      <w:tr>
        <w:trPr/>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Deferred financing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139</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interest and financing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1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800</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outstanding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33" w:type="dxa"/>
            <w:tcBorders/>
            <w:shd w:fill="auto" w:val="clear"/>
            <w:vAlign w:val="center"/>
          </w:tcPr>
          <w:p>
            <w:pPr>
              <w:pStyle w:val="TableContents"/>
              <w:spacing w:lineRule="auto" w:line="252" w:before="0" w:after="0"/>
              <w:ind w:left="0" w:right="0" w:hanging="0"/>
              <w:jc w:val="right"/>
              <w:rPr/>
            </w:pPr>
            <w:r>
              <w:rPr/>
              <w:t>—</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1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84,111</w:t>
            </w:r>
          </w:p>
        </w:tc>
        <w:tc>
          <w:tcPr>
            <w:tcW w:w="286" w:type="dxa"/>
            <w:tcBorders/>
            <w:shd w:fill="auto" w:val="clear"/>
            <w:vAlign w:val="center"/>
          </w:tcPr>
          <w:p>
            <w:pPr>
              <w:pStyle w:val="TableContents"/>
              <w:spacing w:lineRule="auto" w:line="252" w:before="0" w:after="0"/>
              <w:ind w:left="0" w:right="0" w:hanging="0"/>
              <w:jc w:val="left"/>
              <w:rPr/>
            </w:pPr>
            <w:r>
              <w:rPr/>
              <w:t> </w:t>
            </w:r>
          </w:p>
        </w:tc>
      </w:tr>
      <w:tr>
        <w:trPr/>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stated interest and annual charge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N/A</w:t>
            </w:r>
          </w:p>
        </w:tc>
        <w:tc>
          <w:tcPr>
            <w:tcW w:w="267" w:type="dxa"/>
            <w:tcBorders/>
            <w:shd w:fill="auto" w:val="clear"/>
            <w:vAlign w:val="center"/>
          </w:tcPr>
          <w:p>
            <w:pPr>
              <w:pStyle w:val="TableContents"/>
              <w:spacing w:lineRule="auto" w:line="252" w:before="0" w:after="0"/>
              <w:ind w:left="0" w:right="0" w:hanging="0"/>
              <w:jc w:val="right"/>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358" w:type="dxa"/>
            <w:tcBorders/>
            <w:shd w:fill="auto" w:val="clear"/>
            <w:vAlign w:val="center"/>
          </w:tcPr>
          <w:p>
            <w:pPr>
              <w:pStyle w:val="TableContents"/>
              <w:spacing w:lineRule="auto" w:line="252" w:before="0" w:after="0"/>
              <w:ind w:left="0" w:right="0" w:hanging="0"/>
              <w:jc w:val="left"/>
              <w:rPr/>
            </w:pPr>
            <w:r>
              <w:rPr/>
              <w:t> </w:t>
            </w:r>
          </w:p>
        </w:tc>
        <w:tc>
          <w:tcPr>
            <w:tcW w:w="11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3.17</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i/>
          <w:sz w:val="16"/>
        </w:rPr>
        <w:t>2022 Notes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on the 2022 Notes is payable quarterly. The Notes are listed on the NASDAQ Global Select Market under the trading symbol "CPTAL" with a par value of $25.00 per share.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November 1, 2021, the Company notified the Trustee for the Company's 2022 Notes, of the Company's election to redeem $50.0 million aggregate principal amount of the 2022 Notes outstanding. The redemption was completed on December 6, 2021.</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of March 31, 2022 and December 31, 2021, the Company had $22.8 million, respectively, in aggregate principal amount of 2022 Notes outstanding.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summarizes the interest expense, deferred financing costs, average outstanding balance, and average stated interest rate on the 2022 Notes for the three months ended March 31, 2022 and 2021 (dollars in thousands):</w:t>
      </w:r>
    </w:p>
    <w:p>
      <w:pPr>
        <w:pStyle w:val="TextBody"/>
        <w:spacing w:lineRule="auto" w:line="273" w:before="0" w:after="0"/>
        <w:jc w:val="both"/>
        <w:rPr/>
      </w:pPr>
      <w:r>
        <w:rPr/>
        <w:t> </w:t>
      </w:r>
    </w:p>
    <w:tbl>
      <w:tblPr>
        <w:tblW w:w="6101" w:type="dxa"/>
        <w:jc w:val="left"/>
        <w:tblInd w:w="0" w:type="dxa"/>
        <w:tblCellMar>
          <w:top w:w="28" w:type="dxa"/>
          <w:left w:w="28" w:type="dxa"/>
          <w:bottom w:w="28" w:type="dxa"/>
          <w:right w:w="28" w:type="dxa"/>
        </w:tblCellMar>
      </w:tblPr>
      <w:tblGrid>
        <w:gridCol w:w="2686"/>
        <w:gridCol w:w="146"/>
        <w:gridCol w:w="295"/>
        <w:gridCol w:w="905"/>
        <w:gridCol w:w="363"/>
        <w:gridCol w:w="220"/>
        <w:gridCol w:w="295"/>
        <w:gridCol w:w="905"/>
        <w:gridCol w:w="286"/>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83"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286" w:type="dxa"/>
            <w:tcBorders/>
            <w:shd w:fill="auto" w:val="cle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3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20" w:type="dxa"/>
            <w:tcBorders/>
            <w:shd w:fill="auto" w:val="clear"/>
            <w:vAlign w:val="center"/>
          </w:tcPr>
          <w:p>
            <w:pPr>
              <w:pStyle w:val="TableContents"/>
              <w:spacing w:lineRule="auto" w:line="252" w:before="0" w:after="0"/>
              <w:ind w:left="0" w:right="0" w:hanging="0"/>
              <w:jc w:val="left"/>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392</w:t>
            </w:r>
          </w:p>
        </w:tc>
        <w:tc>
          <w:tcPr>
            <w:tcW w:w="363" w:type="dxa"/>
            <w:tcBorders/>
            <w:shd w:fill="auto" w:val="clear"/>
            <w:vAlign w:val="center"/>
          </w:tcPr>
          <w:p>
            <w:pPr>
              <w:pStyle w:val="TableContents"/>
              <w:spacing w:lineRule="auto" w:line="252" w:before="0" w:after="0"/>
              <w:ind w:left="0" w:right="0" w:hanging="0"/>
              <w:jc w:val="left"/>
              <w:rPr/>
            </w:pPr>
            <w:r>
              <w:rPr/>
              <w:t> </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1,093</w:t>
            </w:r>
          </w:p>
        </w:tc>
        <w:tc>
          <w:tcPr>
            <w:tcW w:w="286"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Deferred financing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w:t>
            </w:r>
          </w:p>
        </w:tc>
        <w:tc>
          <w:tcPr>
            <w:tcW w:w="3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144</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interest and financing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419</w:t>
            </w:r>
          </w:p>
        </w:tc>
        <w:tc>
          <w:tcPr>
            <w:tcW w:w="3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1,237</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outstanding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22,833</w:t>
            </w:r>
          </w:p>
        </w:tc>
        <w:tc>
          <w:tcPr>
            <w:tcW w:w="363" w:type="dxa"/>
            <w:tcBorders/>
            <w:shd w:fill="auto" w:val="clear"/>
            <w:vAlign w:val="center"/>
          </w:tcPr>
          <w:p>
            <w:pPr>
              <w:pStyle w:val="TableContents"/>
              <w:spacing w:lineRule="auto" w:line="252" w:before="0" w:after="0"/>
              <w:ind w:left="0" w:right="0" w:hanging="0"/>
              <w:jc w:val="left"/>
              <w:rPr/>
            </w:pPr>
            <w:r>
              <w:rPr/>
              <w:t> </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72,833</w:t>
            </w:r>
          </w:p>
        </w:tc>
        <w:tc>
          <w:tcPr>
            <w:tcW w:w="286"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stated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6.0</w:t>
            </w:r>
          </w:p>
        </w:tc>
        <w:tc>
          <w:tcPr>
            <w:tcW w:w="363"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6.0</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16"/>
        </w:rPr>
        <w:t>2022 Convertible Notes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2022 Convertible Notes are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is approximately 14.0%. As a result of the reverse stock split, the conversion rate for the 2022 Convertible Notes is 0.2652 shares per $25.00 principal amount of 2022 Convertible Notes (equivalent to a conversion price of approximately $94.26) effective August 21, 2020.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of March 31, 2022 and December 31, 2021, the Company had</w:t>
      </w:r>
      <w:r>
        <w:rPr>
          <w:rFonts w:ascii="Times New Roman" w:hAnsi="Times New Roman"/>
          <w:sz w:val="20"/>
        </w:rPr>
        <w:t xml:space="preserve"> </w:t>
      </w:r>
      <w:r>
        <w:rPr>
          <w:rFonts w:ascii="Times New Roman" w:hAnsi="Times New Roman"/>
          <w:b w:val="false"/>
          <w:sz w:val="16"/>
        </w:rPr>
        <w:t>$52.1 million, respectively in 2022 Convertible Notes outstanding.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summarizes the interest expense, deferred financing costs, average outstanding balance, and average stated interest rate on the 2022 Convertible Notes for the three months ended March 31, 2022 and 2021 (dollars in thousands):</w:t>
      </w:r>
    </w:p>
    <w:p>
      <w:pPr>
        <w:pStyle w:val="TextBody"/>
        <w:spacing w:lineRule="auto" w:line="273" w:before="0" w:after="0"/>
        <w:jc w:val="both"/>
        <w:rPr/>
      </w:pPr>
      <w:r>
        <w:rPr/>
        <w:t> </w:t>
      </w:r>
    </w:p>
    <w:tbl>
      <w:tblPr>
        <w:tblW w:w="6101" w:type="dxa"/>
        <w:jc w:val="left"/>
        <w:tblInd w:w="0" w:type="dxa"/>
        <w:tblCellMar>
          <w:top w:w="28" w:type="dxa"/>
          <w:left w:w="28" w:type="dxa"/>
          <w:bottom w:w="28" w:type="dxa"/>
          <w:right w:w="28" w:type="dxa"/>
        </w:tblCellMar>
      </w:tblPr>
      <w:tblGrid>
        <w:gridCol w:w="2686"/>
        <w:gridCol w:w="146"/>
        <w:gridCol w:w="295"/>
        <w:gridCol w:w="905"/>
        <w:gridCol w:w="363"/>
        <w:gridCol w:w="220"/>
        <w:gridCol w:w="295"/>
        <w:gridCol w:w="905"/>
        <w:gridCol w:w="286"/>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83"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286" w:type="dxa"/>
            <w:tcBorders/>
            <w:shd w:fill="auto" w:val="cle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3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20" w:type="dxa"/>
            <w:tcBorders/>
            <w:shd w:fill="auto" w:val="clear"/>
            <w:vAlign w:val="center"/>
          </w:tcPr>
          <w:p>
            <w:pPr>
              <w:pStyle w:val="TableContents"/>
              <w:spacing w:lineRule="auto" w:line="252" w:before="0" w:after="0"/>
              <w:ind w:left="0" w:right="0" w:hanging="0"/>
              <w:jc w:val="left"/>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749</w:t>
            </w:r>
          </w:p>
        </w:tc>
        <w:tc>
          <w:tcPr>
            <w:tcW w:w="363" w:type="dxa"/>
            <w:tcBorders/>
            <w:shd w:fill="auto" w:val="clear"/>
            <w:vAlign w:val="center"/>
          </w:tcPr>
          <w:p>
            <w:pPr>
              <w:pStyle w:val="TableContents"/>
              <w:spacing w:lineRule="auto" w:line="252" w:before="0" w:after="0"/>
              <w:ind w:left="0" w:right="0" w:hanging="0"/>
              <w:jc w:val="left"/>
              <w:rPr/>
            </w:pPr>
            <w:r>
              <w:rPr/>
              <w:t> </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749</w:t>
            </w:r>
          </w:p>
        </w:tc>
        <w:tc>
          <w:tcPr>
            <w:tcW w:w="286"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Deferred financing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w:t>
            </w:r>
          </w:p>
        </w:tc>
        <w:tc>
          <w:tcPr>
            <w:tcW w:w="3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94</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interest and financing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849</w:t>
            </w:r>
          </w:p>
        </w:tc>
        <w:tc>
          <w:tcPr>
            <w:tcW w:w="3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843</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outstanding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52,088</w:t>
            </w:r>
          </w:p>
        </w:tc>
        <w:tc>
          <w:tcPr>
            <w:tcW w:w="363" w:type="dxa"/>
            <w:tcBorders/>
            <w:shd w:fill="auto" w:val="clear"/>
            <w:vAlign w:val="center"/>
          </w:tcPr>
          <w:p>
            <w:pPr>
              <w:pStyle w:val="TableContents"/>
              <w:spacing w:lineRule="auto" w:line="252" w:before="0" w:after="0"/>
              <w:ind w:left="0" w:right="0" w:hanging="0"/>
              <w:jc w:val="left"/>
              <w:rPr/>
            </w:pPr>
            <w:r>
              <w:rPr/>
              <w:t> </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52,088</w:t>
            </w:r>
          </w:p>
        </w:tc>
        <w:tc>
          <w:tcPr>
            <w:tcW w:w="286"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stated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5.75</w:t>
            </w:r>
          </w:p>
        </w:tc>
        <w:tc>
          <w:tcPr>
            <w:tcW w:w="363"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220" w:type="dxa"/>
            <w:tcBorders/>
            <w:shd w:fill="auto" w:val="clear"/>
            <w:vAlign w:val="center"/>
          </w:tcPr>
          <w:p>
            <w:pPr>
              <w:pStyle w:val="TableContents"/>
              <w:spacing w:lineRule="auto" w:line="252" w:before="0" w:after="0"/>
              <w:ind w:left="0" w:right="0" w:hanging="0"/>
              <w:jc w:val="righ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5.75</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i/>
          <w:sz w:val="16"/>
        </w:rPr>
        <w:t>2026 Notes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October 29, 2021, the Company issued $50.0 million in aggregate principal amount of 5.25% fixed-rate notes due October 30, 2026 (the "2026 Notes") at 98.00%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of March 31, 2022 and December 31, 2021, the Company had</w:t>
      </w:r>
      <w:r>
        <w:rPr>
          <w:rFonts w:ascii="Times New Roman" w:hAnsi="Times New Roman"/>
          <w:sz w:val="20"/>
        </w:rPr>
        <w:t xml:space="preserve"> </w:t>
      </w:r>
      <w:r>
        <w:rPr>
          <w:rFonts w:ascii="Times New Roman" w:hAnsi="Times New Roman"/>
          <w:b w:val="false"/>
          <w:sz w:val="16"/>
        </w:rPr>
        <w:t>$50.0 million, respectively in 2026 Notes outstanding.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summarizes the interest expense, deferred financing costs, average outstanding balance, and average stated interest rate on the 2026 Notes for the three months ended March 31, 2022 and 2021 (dollars in thousands):</w:t>
      </w:r>
    </w:p>
    <w:p>
      <w:pPr>
        <w:pStyle w:val="TextBody"/>
        <w:spacing w:lineRule="auto" w:line="273" w:before="0" w:after="0"/>
        <w:jc w:val="both"/>
        <w:rPr/>
      </w:pPr>
      <w:r>
        <w:rPr/>
        <w:t> </w:t>
      </w:r>
    </w:p>
    <w:tbl>
      <w:tblPr>
        <w:tblW w:w="6006" w:type="dxa"/>
        <w:jc w:val="left"/>
        <w:tblInd w:w="0" w:type="dxa"/>
        <w:tblCellMar>
          <w:top w:w="28" w:type="dxa"/>
          <w:left w:w="28" w:type="dxa"/>
          <w:bottom w:w="28" w:type="dxa"/>
          <w:right w:w="28" w:type="dxa"/>
        </w:tblCellMar>
      </w:tblPr>
      <w:tblGrid>
        <w:gridCol w:w="2686"/>
        <w:gridCol w:w="146"/>
        <w:gridCol w:w="339"/>
        <w:gridCol w:w="1039"/>
        <w:gridCol w:w="416"/>
        <w:gridCol w:w="252"/>
        <w:gridCol w:w="339"/>
        <w:gridCol w:w="598"/>
        <w:gridCol w:w="19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7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83"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7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9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3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705</w:t>
            </w:r>
          </w:p>
        </w:tc>
        <w:tc>
          <w:tcPr>
            <w:tcW w:w="41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right"/>
              <w:rPr/>
            </w:pPr>
            <w:r>
              <w:rPr/>
              <w:t> </w:t>
            </w:r>
          </w:p>
        </w:tc>
        <w:tc>
          <w:tcPr>
            <w:tcW w:w="33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598"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Deferred financing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29</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righ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interest and financing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734</w:t>
            </w:r>
          </w:p>
        </w:tc>
        <w:tc>
          <w:tcPr>
            <w:tcW w:w="4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righ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5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outstanding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3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50,000</w:t>
            </w:r>
          </w:p>
        </w:tc>
        <w:tc>
          <w:tcPr>
            <w:tcW w:w="41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right"/>
              <w:rPr/>
            </w:pPr>
            <w:r>
              <w:rPr/>
              <w:t> </w:t>
            </w:r>
          </w:p>
        </w:tc>
        <w:tc>
          <w:tcPr>
            <w:tcW w:w="33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598"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stated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9" w:type="dxa"/>
            <w:tcBorders/>
            <w:shd w:fill="auto" w:val="clear"/>
            <w:vAlign w:val="center"/>
          </w:tcPr>
          <w:p>
            <w:pPr>
              <w:pStyle w:val="TableContents"/>
              <w:spacing w:lineRule="auto" w:line="252" w:before="0" w:after="0"/>
              <w:ind w:left="0" w:right="0" w:hanging="0"/>
              <w:jc w:val="left"/>
              <w:rPr/>
            </w:pPr>
            <w:r>
              <w:rPr/>
              <w:t> </w:t>
            </w:r>
          </w:p>
        </w:tc>
        <w:tc>
          <w:tcPr>
            <w:tcW w:w="103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5.25</w:t>
            </w:r>
          </w:p>
        </w:tc>
        <w:tc>
          <w:tcPr>
            <w:tcW w:w="4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252" w:type="dxa"/>
            <w:tcBorders/>
            <w:shd w:fill="auto" w:val="clear"/>
            <w:vAlign w:val="center"/>
          </w:tcPr>
          <w:p>
            <w:pPr>
              <w:pStyle w:val="TableContents"/>
              <w:spacing w:lineRule="auto" w:line="252" w:before="0" w:after="0"/>
              <w:ind w:left="0" w:right="0" w:hanging="0"/>
              <w:jc w:val="right"/>
              <w:rPr/>
            </w:pPr>
            <w:r>
              <w:rPr/>
              <w:t> </w:t>
            </w:r>
          </w:p>
        </w:tc>
        <w:tc>
          <w:tcPr>
            <w:tcW w:w="937"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N/A</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Bond Repurchase Program</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July 30, 2020, the Board approved a bond repurchase program which authorizes the Company to repurchase up to an aggregate of $10.0 million worth of the Company's outstanding 2022 Notes and/or 2022 Convertible Notes (the "Bond Repurchase Program"). The Bond Repurchase Program expired on July 30, 2021. The Company did not repurchase approximately any of the 2022 Notes or 2022 Convertible Notes during the three months ended March 31, 2021.</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i/>
          <w:sz w:val="16"/>
        </w:rPr>
      </w:pPr>
      <w:r>
        <w:rPr>
          <w:rFonts w:ascii="Times New Roman" w:hAnsi="Times New Roman"/>
          <w:b/>
          <w:i/>
          <w:sz w:val="16"/>
        </w:rPr>
        <w:t>KeyBank Credit Facility</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October 30, 2020, Capitala Business Lending, LLC("CBL"), a direct, wholly owned, consolidated subsidiary of the Company, entered into a senior secured revolving credit agreement ("the KeyBank Credit Facility"), with the Investment Advisor a the time,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subject to a minimum interest rate of 4.25%. The Company will also pay an unused commitment fee at a rate of 1.75% per annum on the unutilized portion of the aggregate commitments under the KeyBank Credit Facility. As of March 31, 2022 and December 31, 2021, there were no outstanding draws on KeyBank Credit Facility. The KeyBank Credit Facility is secured by the investments and other assets held by CBL, the Company’s wholly owned subsidiary. The KeyBank Credit Facility includes customary affirmative and negative covenants, including certain limitations on the incurrence of additional indebtedness and liens, as well as usual and customary events of default for revolving credit facilities of this nature. As of March 31, 2022 and December 31, 2021, assets pledged to secure the KeyBank Credit Facility had a fair value of $45.2 million and $57.7 million, respectively.</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summarizes the interest expense, deferred financing costs, unused commitment fees, average outstanding balance, and average stated interest rate on the KeyBank Credit Facility for the three months ended March 31, 2022 and 2021 (dollars in thousands):</w:t>
      </w:r>
    </w:p>
    <w:p>
      <w:pPr>
        <w:pStyle w:val="TextBody"/>
        <w:spacing w:lineRule="auto" w:line="273" w:before="0" w:after="0"/>
        <w:jc w:val="both"/>
        <w:rPr/>
      </w:pPr>
      <w:r>
        <w:rPr/>
        <w:t> </w:t>
      </w:r>
    </w:p>
    <w:tbl>
      <w:tblPr>
        <w:tblW w:w="6005" w:type="dxa"/>
        <w:jc w:val="left"/>
        <w:tblInd w:w="0" w:type="dxa"/>
        <w:tblCellMar>
          <w:top w:w="28" w:type="dxa"/>
          <w:left w:w="28" w:type="dxa"/>
          <w:bottom w:w="28" w:type="dxa"/>
          <w:right w:w="28" w:type="dxa"/>
        </w:tblCellMar>
      </w:tblPr>
      <w:tblGrid>
        <w:gridCol w:w="2686"/>
        <w:gridCol w:w="146"/>
        <w:gridCol w:w="407"/>
        <w:gridCol w:w="781"/>
        <w:gridCol w:w="303"/>
        <w:gridCol w:w="303"/>
        <w:gridCol w:w="407"/>
        <w:gridCol w:w="781"/>
        <w:gridCol w:w="19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8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8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82"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8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3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03" w:type="dxa"/>
            <w:tcBorders/>
            <w:shd w:fill="auto" w:val="clear"/>
            <w:vAlign w:val="center"/>
          </w:tcPr>
          <w:p>
            <w:pPr>
              <w:pStyle w:val="TableContents"/>
              <w:spacing w:lineRule="auto" w:line="252" w:before="0" w:after="0"/>
              <w:ind w:left="0" w:right="0" w:hanging="0"/>
              <w:jc w:val="left"/>
              <w:rPr/>
            </w:pPr>
            <w:r>
              <w:rPr/>
              <w:t> </w:t>
            </w:r>
          </w:p>
        </w:tc>
        <w:tc>
          <w:tcPr>
            <w:tcW w:w="118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w:t>
            </w:r>
          </w:p>
        </w:tc>
        <w:tc>
          <w:tcPr>
            <w:tcW w:w="303" w:type="dxa"/>
            <w:tcBorders/>
            <w:shd w:fill="auto" w:val="clear"/>
            <w:vAlign w:val="center"/>
          </w:tcPr>
          <w:p>
            <w:pPr>
              <w:pStyle w:val="TableContents"/>
              <w:spacing w:lineRule="auto" w:line="252" w:before="0" w:after="0"/>
              <w:ind w:left="0" w:right="0" w:hanging="0"/>
              <w:jc w:val="left"/>
              <w:rPr/>
            </w:pPr>
            <w:r>
              <w:rPr/>
              <w:t> </w:t>
            </w:r>
          </w:p>
        </w:tc>
        <w:tc>
          <w:tcPr>
            <w:tcW w:w="303" w:type="dxa"/>
            <w:tcBorders/>
            <w:shd w:fill="auto" w:val="clear"/>
            <w:vAlign w:val="center"/>
          </w:tcPr>
          <w:p>
            <w:pPr>
              <w:pStyle w:val="TableContents"/>
              <w:spacing w:lineRule="auto" w:line="252" w:before="0" w:after="0"/>
              <w:ind w:left="0" w:right="0" w:hanging="0"/>
              <w:jc w:val="right"/>
              <w:rPr/>
            </w:pPr>
            <w:r>
              <w:rPr/>
              <w:t> </w:t>
            </w:r>
          </w:p>
        </w:tc>
        <w:tc>
          <w:tcPr>
            <w:tcW w:w="40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Deferred financing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7"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48</w:t>
            </w:r>
          </w:p>
        </w:tc>
        <w:tc>
          <w:tcPr>
            <w:tcW w:w="303" w:type="dxa"/>
            <w:tcBorders/>
            <w:shd w:fill="auto" w:val="clear"/>
            <w:vAlign w:val="center"/>
          </w:tcPr>
          <w:p>
            <w:pPr>
              <w:pStyle w:val="TableContents"/>
              <w:spacing w:lineRule="auto" w:line="252" w:before="0" w:after="0"/>
              <w:ind w:left="0" w:right="0" w:hanging="0"/>
              <w:jc w:val="left"/>
              <w:rPr/>
            </w:pPr>
            <w:r>
              <w:rPr/>
              <w:t> </w:t>
            </w:r>
          </w:p>
        </w:tc>
        <w:tc>
          <w:tcPr>
            <w:tcW w:w="303" w:type="dxa"/>
            <w:tcBorders/>
            <w:shd w:fill="auto" w:val="clear"/>
            <w:vAlign w:val="center"/>
          </w:tcPr>
          <w:p>
            <w:pPr>
              <w:pStyle w:val="TableContents"/>
              <w:spacing w:lineRule="auto" w:line="252" w:before="0" w:after="0"/>
              <w:ind w:left="0" w:right="0" w:hanging="0"/>
              <w:jc w:val="right"/>
              <w:rPr/>
            </w:pPr>
            <w:r>
              <w:rPr/>
              <w:t> </w:t>
            </w:r>
          </w:p>
        </w:tc>
        <w:tc>
          <w:tcPr>
            <w:tcW w:w="407"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Unused commitment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110</w:t>
            </w:r>
          </w:p>
        </w:tc>
        <w:tc>
          <w:tcPr>
            <w:tcW w:w="3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03" w:type="dxa"/>
            <w:tcBorders/>
            <w:shd w:fill="auto" w:val="clear"/>
            <w:vAlign w:val="center"/>
          </w:tcPr>
          <w:p>
            <w:pPr>
              <w:pStyle w:val="TableContents"/>
              <w:spacing w:lineRule="auto" w:line="252"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interest and financing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186</w:t>
            </w:r>
          </w:p>
        </w:tc>
        <w:tc>
          <w:tcPr>
            <w:tcW w:w="3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03" w:type="dxa"/>
            <w:tcBorders/>
            <w:shd w:fill="auto" w:val="clear"/>
            <w:vAlign w:val="center"/>
          </w:tcPr>
          <w:p>
            <w:pPr>
              <w:pStyle w:val="TableContents"/>
              <w:spacing w:lineRule="auto" w:line="252" w:before="0" w:after="0"/>
              <w:ind w:left="0" w:right="0" w:hanging="0"/>
              <w:jc w:val="righ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157</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outstanding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303" w:type="dxa"/>
            <w:tcBorders/>
            <w:shd w:fill="auto" w:val="clear"/>
            <w:vAlign w:val="center"/>
          </w:tcPr>
          <w:p>
            <w:pPr>
              <w:pStyle w:val="TableContents"/>
              <w:spacing w:lineRule="auto" w:line="252" w:before="0" w:after="0"/>
              <w:ind w:left="0" w:right="0" w:hanging="0"/>
              <w:jc w:val="left"/>
              <w:rPr/>
            </w:pPr>
            <w:r>
              <w:rPr/>
              <w:t> </w:t>
            </w:r>
          </w:p>
        </w:tc>
        <w:tc>
          <w:tcPr>
            <w:tcW w:w="303" w:type="dxa"/>
            <w:tcBorders/>
            <w:shd w:fill="auto" w:val="clear"/>
            <w:vAlign w:val="center"/>
          </w:tcPr>
          <w:p>
            <w:pPr>
              <w:pStyle w:val="TableContents"/>
              <w:spacing w:lineRule="auto" w:line="252" w:before="0" w:after="0"/>
              <w:ind w:left="0" w:right="0" w:hanging="0"/>
              <w:jc w:val="right"/>
              <w:rPr/>
            </w:pPr>
            <w:r>
              <w:rPr/>
              <w:t> </w:t>
            </w:r>
          </w:p>
        </w:tc>
        <w:tc>
          <w:tcPr>
            <w:tcW w:w="40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stated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8"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N/A</w:t>
            </w:r>
          </w:p>
        </w:tc>
        <w:tc>
          <w:tcPr>
            <w:tcW w:w="303" w:type="dxa"/>
            <w:tcBorders/>
            <w:shd w:fill="auto" w:val="clear"/>
            <w:vAlign w:val="center"/>
          </w:tcPr>
          <w:p>
            <w:pPr>
              <w:pStyle w:val="TableContents"/>
              <w:spacing w:lineRule="auto" w:line="252" w:before="0" w:after="0"/>
              <w:ind w:left="0" w:right="0" w:hanging="0"/>
              <w:jc w:val="right"/>
              <w:rPr/>
            </w:pPr>
            <w:r>
              <w:rPr/>
              <w:t> </w:t>
            </w:r>
          </w:p>
        </w:tc>
        <w:tc>
          <w:tcPr>
            <w:tcW w:w="303" w:type="dxa"/>
            <w:tcBorders/>
            <w:shd w:fill="auto" w:val="clear"/>
            <w:vAlign w:val="center"/>
          </w:tcPr>
          <w:p>
            <w:pPr>
              <w:pStyle w:val="TableContents"/>
              <w:spacing w:lineRule="auto" w:line="252" w:before="0" w:after="0"/>
              <w:ind w:left="0" w:right="0" w:hanging="0"/>
              <w:jc w:val="right"/>
              <w:rPr/>
            </w:pPr>
            <w:r>
              <w:rPr/>
              <w:t> </w:t>
            </w:r>
          </w:p>
        </w:tc>
        <w:tc>
          <w:tcPr>
            <w:tcW w:w="1188"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N/A</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i/>
          <w:sz w:val="16"/>
        </w:rPr>
      </w:pPr>
      <w:r>
        <w:rPr>
          <w:rFonts w:ascii="Times New Roman" w:hAnsi="Times New Roman"/>
          <w:b w:val="false"/>
          <w:i/>
          <w:sz w:val="16"/>
        </w:rPr>
        <w:t>Financial Instruments Disclosed, But Not Carried, At Fair Value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presents the outstanding principal and fair value of the Company’s financial liabilities disclosed, but not carried, at fair value as of March 31, 2022, and the level of each financial liability within the fair value hierarchy (dollars in thousands):</w:t>
      </w:r>
    </w:p>
    <w:p>
      <w:pPr>
        <w:pStyle w:val="TextBody"/>
        <w:spacing w:lineRule="auto" w:line="273" w:before="0" w:after="0"/>
        <w:jc w:val="both"/>
        <w:rPr/>
      </w:pPr>
      <w:r>
        <w:rPr/>
        <w:t> </w:t>
      </w:r>
    </w:p>
    <w:tbl>
      <w:tblPr>
        <w:tblW w:w="7393" w:type="dxa"/>
        <w:jc w:val="left"/>
        <w:tblInd w:w="0" w:type="dxa"/>
        <w:tblCellMar>
          <w:top w:w="28" w:type="dxa"/>
          <w:left w:w="28" w:type="dxa"/>
          <w:bottom w:w="28" w:type="dxa"/>
          <w:right w:w="28" w:type="dxa"/>
        </w:tblCellMar>
      </w:tblPr>
      <w:tblGrid>
        <w:gridCol w:w="1771"/>
        <w:gridCol w:w="146"/>
        <w:gridCol w:w="222"/>
        <w:gridCol w:w="784"/>
        <w:gridCol w:w="146"/>
        <w:gridCol w:w="146"/>
        <w:gridCol w:w="196"/>
        <w:gridCol w:w="691"/>
        <w:gridCol w:w="146"/>
        <w:gridCol w:w="146"/>
        <w:gridCol w:w="196"/>
        <w:gridCol w:w="601"/>
        <w:gridCol w:w="146"/>
        <w:gridCol w:w="146"/>
        <w:gridCol w:w="228"/>
        <w:gridCol w:w="402"/>
        <w:gridCol w:w="146"/>
        <w:gridCol w:w="146"/>
        <w:gridCol w:w="196"/>
        <w:gridCol w:w="601"/>
        <w:gridCol w:w="19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Outstanding</w:t>
              <w:b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7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2022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22,833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22,861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22,861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7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2022 Convertible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78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52,088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52,213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52,213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7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2026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78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7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4"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124,921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125,074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75,074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50,000</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presents the outstanding principal and fair value of the Company’s financial liabilities disclosed, but not carried, at fair value as of December 31, 2021, and the level of each financial liability within the fair value hierarchy (dollars in thousands):</w:t>
      </w:r>
    </w:p>
    <w:p>
      <w:pPr>
        <w:pStyle w:val="TextBody"/>
        <w:spacing w:lineRule="auto" w:line="273" w:before="0" w:after="0"/>
        <w:jc w:val="both"/>
        <w:rPr/>
      </w:pPr>
      <w:r>
        <w:rPr/>
        <w:t> </w:t>
      </w:r>
    </w:p>
    <w:tbl>
      <w:tblPr>
        <w:tblW w:w="7393" w:type="dxa"/>
        <w:jc w:val="left"/>
        <w:tblInd w:w="0" w:type="dxa"/>
        <w:tblCellMar>
          <w:top w:w="28" w:type="dxa"/>
          <w:left w:w="28" w:type="dxa"/>
          <w:bottom w:w="28" w:type="dxa"/>
          <w:right w:w="28" w:type="dxa"/>
        </w:tblCellMar>
      </w:tblPr>
      <w:tblGrid>
        <w:gridCol w:w="1771"/>
        <w:gridCol w:w="146"/>
        <w:gridCol w:w="222"/>
        <w:gridCol w:w="784"/>
        <w:gridCol w:w="146"/>
        <w:gridCol w:w="146"/>
        <w:gridCol w:w="196"/>
        <w:gridCol w:w="691"/>
        <w:gridCol w:w="146"/>
        <w:gridCol w:w="146"/>
        <w:gridCol w:w="196"/>
        <w:gridCol w:w="601"/>
        <w:gridCol w:w="146"/>
        <w:gridCol w:w="146"/>
        <w:gridCol w:w="228"/>
        <w:gridCol w:w="402"/>
        <w:gridCol w:w="146"/>
        <w:gridCol w:w="146"/>
        <w:gridCol w:w="196"/>
        <w:gridCol w:w="601"/>
        <w:gridCol w:w="19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Outstanding</w:t>
              <w:b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7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2022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22,833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23,285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23,285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7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2022 Convertible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78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52,088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52,983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52,983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7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2026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78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7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84"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124,921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126,268</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76,268</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28"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02"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50,000</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estimated fair value of the 2026 Notes approximates the par value.</w:t>
      </w:r>
    </w:p>
    <w:p>
      <w:pPr>
        <w:pStyle w:val="TextBody"/>
        <w:spacing w:lineRule="auto" w:line="273" w:before="0" w:after="0"/>
        <w:jc w:val="both"/>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16"/>
        </w:rPr>
        <w:t>Note 9. Directors’</w:t>
      </w:r>
      <w:r>
        <w:rPr>
          <w:rFonts w:ascii="Times New Roman" w:hAnsi="Times New Roman"/>
          <w:sz w:val="20"/>
        </w:rPr>
        <w:t xml:space="preserve"> </w:t>
      </w:r>
      <w:r>
        <w:rPr>
          <w:rFonts w:ascii="Times New Roman" w:hAnsi="Times New Roman"/>
          <w:b/>
          <w:sz w:val="16"/>
        </w:rPr>
        <w:t>Fees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months ended March 31, 2022, the Company recognized directors’ fees expense of $0.1 million. For the three months ended March 31, 2021, the Company recognized directors’ fees expense of $0.1 million. No compensation is expected to be paid to directors who are “interested persons” of the Company, as such term is defined in Section 2(a)(19) of the 1940 Act.</w:t>
      </w:r>
    </w:p>
    <w:p>
      <w:pPr>
        <w:pStyle w:val="TextBody"/>
        <w:spacing w:lineRule="auto" w:line="273" w:before="0" w:after="0"/>
        <w:jc w:val="both"/>
        <w:rPr>
          <w:rFonts w:ascii="Times New Roman" w:hAnsi="Times New Roman"/>
          <w:sz w:val="20"/>
        </w:rPr>
      </w:pPr>
      <w:r>
        <w:rPr>
          <w:rFonts w:ascii="Times New Roman" w:hAnsi="Times New Roman"/>
          <w:b/>
          <w:sz w:val="16"/>
        </w:rPr>
        <w:t>Note 10. Earnings Per Share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 xml:space="preserve">In accordance with the provisions of ASC Topic 260 - </w:t>
      </w:r>
      <w:r>
        <w:rPr>
          <w:rFonts w:ascii="Times New Roman" w:hAnsi="Times New Roman"/>
          <w:b w:val="false"/>
          <w:i/>
          <w:sz w:val="16"/>
        </w:rPr>
        <w:t>Earnings per Share</w:t>
      </w:r>
      <w:r>
        <w:rPr>
          <w:rFonts w:ascii="Times New Roman" w:hAnsi="Times New Roman"/>
          <w:sz w:val="20"/>
        </w:rPr>
        <w:t xml:space="preserve"> </w:t>
      </w:r>
      <w:r>
        <w:rPr>
          <w:rFonts w:ascii="Times New Roman" w:hAnsi="Times New Roman"/>
          <w:b w:val="false"/>
          <w:sz w:val="16"/>
        </w:rPr>
        <w:t>(“ASC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months ended March 31, 2022 and 2021, 0.6 million in convertible shares related to the 2022 Convertible Notes were considered anti-dilutive.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following information sets forth the computation of the weighted average basic and diluted net increase (decrease) in net assets per share resulting from operations for the three months ended March 31, 2022 and 2021 (dollars in thousands, except share and per share data):</w:t>
      </w:r>
      <w:r>
        <w:rPr>
          <w:rFonts w:ascii="Times New Roman" w:hAnsi="Times New Roman"/>
          <w:sz w:val="20"/>
        </w:rPr>
        <w:t xml:space="preserve"> </w:t>
      </w:r>
    </w:p>
    <w:p>
      <w:pPr>
        <w:pStyle w:val="TextBody"/>
        <w:spacing w:lineRule="auto" w:line="273" w:before="0" w:after="0"/>
        <w:jc w:val="both"/>
        <w:rPr/>
      </w:pPr>
      <w:r>
        <w:rPr/>
        <w:t> </w:t>
      </w:r>
    </w:p>
    <w:tbl>
      <w:tblPr>
        <w:tblW w:w="8991" w:type="dxa"/>
        <w:jc w:val="left"/>
        <w:tblInd w:w="0" w:type="dxa"/>
        <w:tblCellMar>
          <w:top w:w="28" w:type="dxa"/>
          <w:left w:w="28" w:type="dxa"/>
          <w:bottom w:w="28" w:type="dxa"/>
          <w:right w:w="28" w:type="dxa"/>
        </w:tblCellMar>
      </w:tblPr>
      <w:tblGrid>
        <w:gridCol w:w="5671"/>
        <w:gridCol w:w="146"/>
        <w:gridCol w:w="248"/>
        <w:gridCol w:w="1046"/>
        <w:gridCol w:w="210"/>
        <w:gridCol w:w="185"/>
        <w:gridCol w:w="248"/>
        <w:gridCol w:w="1046"/>
        <w:gridCol w:w="191"/>
      </w:tblGrid>
      <w:tr>
        <w:trPr/>
        <w:tc>
          <w:tcPr>
            <w:tcW w:w="5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6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3" w:type="dxa"/>
            <w:gridSpan w:val="6"/>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191"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56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 xml:space="preserve">2022 </w:t>
            </w:r>
            <w:r>
              <w:rPr>
                <w:rFonts w:ascii="Times New Roman" w:hAnsi="Times New Roman"/>
                <w:b/>
                <w:sz w:val="11"/>
              </w:rPr>
              <w:t>(1)</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29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(decrease) increase in net assets resulting from operations - basic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(858</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12,354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common stock outstanding – basic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(decrease) increase in net assets per share resulting from operations - basic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(0.32</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4.56</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(decrease) increase in net assets resulting from operations -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(858</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12,354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Adjustment for interest on the 2022 Convertible Notes and incentive fees,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843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Adjusted net (decrease) increase in net assets resulting from operations -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(858</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13,197</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common stock outstanding –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Adjustment for dilutive effect of the 2022 Convertible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552,579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Adjusted weighted average common stock outstanding -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3,263,647</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(decrease) increase in net assets per share resulting from operations -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(0.32</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4.04</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(1)</w:t>
      </w:r>
    </w:p>
    <w:p>
      <w:pPr>
        <w:pStyle w:val="TextBody"/>
        <w:spacing w:lineRule="auto" w:line="273"/>
        <w:jc w:val="both"/>
        <w:rPr/>
      </w:pPr>
      <w:r>
        <w:rPr>
          <w:rFonts w:ascii="Times New Roman" w:hAnsi="Times New Roman"/>
          <w:b w:val="false"/>
          <w:sz w:val="16"/>
        </w:rPr>
        <w:t>In applying the if-converted method, conversion is not assumed for purposes of computing diluted earnings per share if the effect would be anti-dilutive. For the three months ended March 31, 2022, conversion of the 0.6 million in convertible shares was not assumed as the effect on diluted earnings per share would be anti-dilutive.</w:t>
        <w:br/>
        <w:br/>
      </w:r>
      <w:r>
        <w:rPr/>
        <w:t> </w:t>
      </w:r>
    </w:p>
    <w:p>
      <w:pPr>
        <w:pStyle w:val="TextBody"/>
        <w:spacing w:lineRule="auto" w:line="273" w:before="0" w:after="0"/>
        <w:jc w:val="left"/>
        <w:rPr>
          <w:rFonts w:ascii="Times New Roman" w:hAnsi="Times New Roman"/>
          <w:b/>
          <w:sz w:val="16"/>
        </w:rPr>
      </w:pPr>
      <w:r>
        <w:rPr>
          <w:rFonts w:ascii="Times New Roman" w:hAnsi="Times New Roman"/>
          <w:b/>
          <w:sz w:val="16"/>
        </w:rPr>
        <w:t>Note 11. Distributions</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Accordingly, distributions may be subject to reclassification based on future dividends and operating results and will not be determined until the end of the year. The Company’s Board determined not to declare a distribution for the quarters ended March 31, 2022 and 2021.</w:t>
      </w:r>
    </w:p>
    <w:p>
      <w:pPr>
        <w:pStyle w:val="TextBody"/>
        <w:spacing w:lineRule="auto" w:line="273" w:before="0" w:after="0"/>
        <w:jc w:val="both"/>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16"/>
        </w:rPr>
        <w:t>Note 12. Financial Highlights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following is a schedule of financial highlights for the three months ended March 31, 2022 and 2021 (dollars in thousands, except share and per share data):</w:t>
      </w:r>
      <w:r>
        <w:rPr>
          <w:rFonts w:ascii="Times New Roman" w:hAnsi="Times New Roman"/>
          <w:sz w:val="20"/>
        </w:rPr>
        <w:t xml:space="preserve"> </w:t>
      </w:r>
    </w:p>
    <w:p>
      <w:pPr>
        <w:pStyle w:val="TextBody"/>
        <w:spacing w:lineRule="auto" w:line="273" w:before="0" w:after="0"/>
        <w:jc w:val="both"/>
        <w:rPr/>
      </w:pPr>
      <w:r>
        <w:rPr/>
        <w:t> </w:t>
      </w:r>
    </w:p>
    <w:tbl>
      <w:tblPr>
        <w:tblW w:w="9746" w:type="dxa"/>
        <w:jc w:val="left"/>
        <w:tblInd w:w="0" w:type="dxa"/>
        <w:tblCellMar>
          <w:top w:w="28" w:type="dxa"/>
          <w:left w:w="28" w:type="dxa"/>
          <w:bottom w:w="28" w:type="dxa"/>
          <w:right w:w="28" w:type="dxa"/>
        </w:tblCellMar>
      </w:tblPr>
      <w:tblGrid>
        <w:gridCol w:w="6271"/>
        <w:gridCol w:w="146"/>
        <w:gridCol w:w="234"/>
        <w:gridCol w:w="990"/>
        <w:gridCol w:w="360"/>
        <w:gridCol w:w="175"/>
        <w:gridCol w:w="234"/>
        <w:gridCol w:w="990"/>
        <w:gridCol w:w="346"/>
      </w:tblGrid>
      <w:tr>
        <w:trPr/>
        <w:tc>
          <w:tcPr>
            <w:tcW w:w="6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6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3" w:type="dxa"/>
            <w:gridSpan w:val="6"/>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34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6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3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122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Per share data: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4" w:type="dxa"/>
            <w:gridSpan w:val="2"/>
            <w:tcBorders/>
            <w:shd w:fill="auto" w:val="clear"/>
            <w:vAlign w:val="center"/>
          </w:tcPr>
          <w:p>
            <w:pPr>
              <w:pStyle w:val="TableContents"/>
              <w:spacing w:lineRule="auto" w:line="252" w:before="0" w:after="0"/>
              <w:ind w:left="0" w:right="0" w:hanging="0"/>
              <w:jc w:val="right"/>
              <w:rPr/>
            </w:pPr>
            <w:r>
              <w:rPr/>
              <w:t> </w:t>
            </w:r>
          </w:p>
        </w:tc>
        <w:tc>
          <w:tcPr>
            <w:tcW w:w="360" w:type="dxa"/>
            <w:tcBorders/>
            <w:shd w:fill="auto" w:val="clear"/>
            <w:vAlign w:val="center"/>
          </w:tcPr>
          <w:p>
            <w:pPr>
              <w:pStyle w:val="TableContents"/>
              <w:spacing w:lineRule="auto" w:line="252" w:before="0" w:after="0"/>
              <w:ind w:left="0" w:right="0" w:hanging="0"/>
              <w:jc w:val="righ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1224" w:type="dxa"/>
            <w:gridSpan w:val="2"/>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righ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asset value at beginning of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39.48</w:t>
            </w:r>
          </w:p>
        </w:tc>
        <w:tc>
          <w:tcPr>
            <w:tcW w:w="360"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40.19</w:t>
            </w:r>
          </w:p>
        </w:tc>
        <w:tc>
          <w:tcPr>
            <w:tcW w:w="346" w:type="dxa"/>
            <w:tcBorders/>
            <w:shd w:fill="auto" w:val="clear"/>
            <w:vAlign w:val="center"/>
          </w:tcPr>
          <w:p>
            <w:pPr>
              <w:pStyle w:val="TableContents"/>
              <w:spacing w:lineRule="auto" w:line="252" w:before="0" w:after="0"/>
              <w:ind w:left="0" w:right="0" w:hanging="0"/>
              <w:jc w:val="lef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Net investment loss</w:t>
            </w:r>
            <w:r>
              <w:rPr>
                <w:rFonts w:ascii="Times New Roman" w:hAnsi="Times New Roman"/>
                <w:b w:val="false"/>
                <w:sz w:val="11"/>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(0.39</w:t>
            </w:r>
          </w:p>
        </w:tc>
        <w:tc>
          <w:tcPr>
            <w:tcW w:w="36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(0.29</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Net realized loss on investments</w:t>
            </w:r>
            <w:r>
              <w:rPr>
                <w:rFonts w:ascii="Times New Roman" w:hAnsi="Times New Roman"/>
                <w:b w:val="false"/>
                <w:sz w:val="11"/>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(0.01</w:t>
            </w:r>
          </w:p>
        </w:tc>
        <w:tc>
          <w:tcPr>
            <w:tcW w:w="36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(5.17</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Net change in unrealized appreciation on investments</w:t>
            </w:r>
            <w:r>
              <w:rPr>
                <w:rFonts w:ascii="Times New Roman" w:hAnsi="Times New Roman"/>
                <w:b w:val="false"/>
                <w:sz w:val="11"/>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0.08</w:t>
            </w:r>
          </w:p>
        </w:tc>
        <w:tc>
          <w:tcPr>
            <w:tcW w:w="360"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10.02</w:t>
            </w:r>
          </w:p>
        </w:tc>
        <w:tc>
          <w:tcPr>
            <w:tcW w:w="346" w:type="dxa"/>
            <w:tcBorders/>
            <w:shd w:fill="auto" w:val="clear"/>
            <w:vAlign w:val="center"/>
          </w:tcPr>
          <w:p>
            <w:pPr>
              <w:pStyle w:val="TableContents"/>
              <w:spacing w:lineRule="auto" w:line="252" w:before="0" w:after="0"/>
              <w:ind w:left="0" w:right="0" w:hanging="0"/>
              <w:jc w:val="lef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Other</w:t>
            </w:r>
            <w:r>
              <w:rPr>
                <w:rFonts w:ascii="Times New Roman" w:hAnsi="Times New Roman"/>
                <w:b w:val="false"/>
                <w:sz w:val="11"/>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(0.01</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asset value at end of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39.16</w:t>
            </w:r>
          </w:p>
        </w:tc>
        <w:tc>
          <w:tcPr>
            <w:tcW w:w="3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44.74</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assets at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106,171</w:t>
            </w:r>
          </w:p>
        </w:tc>
        <w:tc>
          <w:tcPr>
            <w:tcW w:w="360"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121,301</w:t>
            </w:r>
          </w:p>
        </w:tc>
        <w:tc>
          <w:tcPr>
            <w:tcW w:w="346" w:type="dxa"/>
            <w:tcBorders/>
            <w:shd w:fill="auto" w:val="clear"/>
            <w:vAlign w:val="center"/>
          </w:tcPr>
          <w:p>
            <w:pPr>
              <w:pStyle w:val="TableContents"/>
              <w:spacing w:lineRule="auto" w:line="252" w:before="0" w:after="0"/>
              <w:ind w:left="0" w:right="0" w:hanging="0"/>
              <w:jc w:val="lef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Shares outstanding at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360"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2,711,068</w:t>
            </w:r>
          </w:p>
        </w:tc>
        <w:tc>
          <w:tcPr>
            <w:tcW w:w="346" w:type="dxa"/>
            <w:tcBorders/>
            <w:shd w:fill="auto" w:val="clear"/>
            <w:vAlign w:val="center"/>
          </w:tcPr>
          <w:p>
            <w:pPr>
              <w:pStyle w:val="TableContents"/>
              <w:spacing w:lineRule="auto" w:line="252" w:before="0" w:after="0"/>
              <w:ind w:left="0" w:right="0" w:hanging="0"/>
              <w:jc w:val="lef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Per share market value at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22.57</w:t>
            </w:r>
          </w:p>
        </w:tc>
        <w:tc>
          <w:tcPr>
            <w:tcW w:w="360"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15.44</w:t>
            </w:r>
          </w:p>
        </w:tc>
        <w:tc>
          <w:tcPr>
            <w:tcW w:w="346" w:type="dxa"/>
            <w:tcBorders/>
            <w:shd w:fill="auto" w:val="clear"/>
            <w:vAlign w:val="center"/>
          </w:tcPr>
          <w:p>
            <w:pPr>
              <w:pStyle w:val="TableContents"/>
              <w:spacing w:lineRule="auto" w:line="252" w:before="0" w:after="0"/>
              <w:ind w:left="0" w:right="0" w:hanging="0"/>
              <w:jc w:val="lef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Total return based on market value</w:t>
            </w:r>
            <w:r>
              <w:rPr>
                <w:rFonts w:ascii="Times New Roman" w:hAnsi="Times New Roman"/>
                <w:b w:val="false"/>
                <w:sz w:val="11"/>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(1.83</w:t>
            </w:r>
          </w:p>
        </w:tc>
        <w:tc>
          <w:tcPr>
            <w:tcW w:w="36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7.15</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Ratio/Supplemental data: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4" w:type="dxa"/>
            <w:gridSpan w:val="2"/>
            <w:tcBorders/>
            <w:shd w:fill="auto" w:val="clear"/>
            <w:vAlign w:val="center"/>
          </w:tcPr>
          <w:p>
            <w:pPr>
              <w:pStyle w:val="TableContents"/>
              <w:spacing w:lineRule="auto" w:line="252" w:before="0" w:after="0"/>
              <w:ind w:left="0" w:right="0" w:hanging="0"/>
              <w:jc w:val="right"/>
              <w:rPr/>
            </w:pPr>
            <w:r>
              <w:rPr/>
              <w:t> </w:t>
            </w:r>
          </w:p>
        </w:tc>
        <w:tc>
          <w:tcPr>
            <w:tcW w:w="360" w:type="dxa"/>
            <w:tcBorders/>
            <w:shd w:fill="auto" w:val="clear"/>
            <w:vAlign w:val="center"/>
          </w:tcPr>
          <w:p>
            <w:pPr>
              <w:pStyle w:val="TableContents"/>
              <w:spacing w:lineRule="auto" w:line="252" w:before="0" w:after="0"/>
              <w:ind w:left="0" w:right="0" w:hanging="0"/>
              <w:jc w:val="righ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1224" w:type="dxa"/>
            <w:gridSpan w:val="2"/>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righ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Ratio of net investment (loss) income to average net assets</w:t>
            </w:r>
            <w:r>
              <w:rPr>
                <w:rFonts w:ascii="Times New Roman" w:hAnsi="Times New Roman"/>
                <w:b w:val="false"/>
                <w:sz w:val="11"/>
              </w:rPr>
              <w:t>(4)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(4.00</w:t>
            </w:r>
          </w:p>
        </w:tc>
        <w:tc>
          <w:tcPr>
            <w:tcW w:w="36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(2.76</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Ratio of interest and financing expenses to average net assets</w:t>
            </w:r>
            <w:r>
              <w:rPr>
                <w:rFonts w:ascii="Times New Roman" w:hAnsi="Times New Roman"/>
                <w:b w:val="false"/>
                <w:sz w:val="11"/>
              </w:rPr>
              <w:t>(4)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8.32</w:t>
            </w:r>
          </w:p>
        </w:tc>
        <w:tc>
          <w:tcPr>
            <w:tcW w:w="36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10.70</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Ratio of other operating expenses to average net assets</w:t>
            </w:r>
            <w:r>
              <w:rPr>
                <w:rFonts w:ascii="Times New Roman" w:hAnsi="Times New Roman"/>
                <w:b w:val="false"/>
                <w:sz w:val="11"/>
              </w:rPr>
              <w:t>(4)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8.37</w:t>
            </w:r>
          </w:p>
        </w:tc>
        <w:tc>
          <w:tcPr>
            <w:tcW w:w="36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9.41</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Ratio of total expenses including tax provision, net of fee waivers, to average net assets</w:t>
            </w:r>
            <w:r>
              <w:rPr>
                <w:rFonts w:ascii="Times New Roman" w:hAnsi="Times New Roman"/>
                <w:b w:val="false"/>
                <w:sz w:val="11"/>
              </w:rPr>
              <w:t>(4)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16.69</w:t>
            </w:r>
          </w:p>
        </w:tc>
        <w:tc>
          <w:tcPr>
            <w:tcW w:w="36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20.11</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Portfolio turnover rate</w:t>
            </w:r>
            <w:r>
              <w:rPr>
                <w:rFonts w:ascii="Times New Roman" w:hAnsi="Times New Roman"/>
                <w:b w:val="false"/>
                <w:sz w:val="11"/>
              </w:rPr>
              <w:t>(5)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4.15</w:t>
            </w:r>
          </w:p>
        </w:tc>
        <w:tc>
          <w:tcPr>
            <w:tcW w:w="36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990" w:type="dxa"/>
            <w:tcBorders/>
            <w:shd w:fill="auto" w:val="clear"/>
            <w:vAlign w:val="center"/>
          </w:tcPr>
          <w:p>
            <w:pPr>
              <w:pStyle w:val="TableContents"/>
              <w:spacing w:lineRule="auto" w:line="252" w:before="0" w:after="0"/>
              <w:ind w:left="0" w:right="0" w:hanging="0"/>
              <w:jc w:val="right"/>
              <w:rPr/>
            </w:pPr>
            <w:r>
              <w:rPr/>
              <w:t>—</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Average debt outstanding</w:t>
            </w:r>
            <w:r>
              <w:rPr>
                <w:rFonts w:ascii="Times New Roman" w:hAnsi="Times New Roman"/>
                <w:b w:val="false"/>
                <w:sz w:val="11"/>
              </w:rPr>
              <w:t>(6)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124,921</w:t>
            </w:r>
          </w:p>
        </w:tc>
        <w:tc>
          <w:tcPr>
            <w:tcW w:w="360"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209,032</w:t>
            </w:r>
          </w:p>
        </w:tc>
        <w:tc>
          <w:tcPr>
            <w:tcW w:w="346" w:type="dxa"/>
            <w:tcBorders/>
            <w:shd w:fill="auto" w:val="clear"/>
            <w:vAlign w:val="center"/>
          </w:tcPr>
          <w:p>
            <w:pPr>
              <w:pStyle w:val="TableContents"/>
              <w:spacing w:lineRule="auto" w:line="252" w:before="0" w:after="0"/>
              <w:ind w:left="0" w:right="0" w:hanging="0"/>
              <w:jc w:val="lef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Average debt outstanding per common share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46.08</w:t>
            </w:r>
          </w:p>
        </w:tc>
        <w:tc>
          <w:tcPr>
            <w:tcW w:w="360"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77.10</w:t>
            </w:r>
          </w:p>
        </w:tc>
        <w:tc>
          <w:tcPr>
            <w:tcW w:w="346" w:type="dxa"/>
            <w:tcBorders/>
            <w:shd w:fill="auto" w:val="clear"/>
            <w:vAlign w:val="center"/>
          </w:tcPr>
          <w:p>
            <w:pPr>
              <w:pStyle w:val="TableContents"/>
              <w:spacing w:lineRule="auto" w:line="252" w:before="0" w:after="0"/>
              <w:ind w:left="0" w:right="0" w:hanging="0"/>
              <w:jc w:val="left"/>
              <w:rPr/>
            </w:pPr>
            <w:r>
              <w:rPr/>
              <w:t> </w:t>
            </w:r>
          </w:p>
        </w:tc>
      </w:tr>
      <w:tr>
        <w:trPr/>
        <w:tc>
          <w:tcPr>
            <w:tcW w:w="627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Asset coverage ratio per unit</w:t>
            </w:r>
            <w:r>
              <w:rPr>
                <w:rFonts w:ascii="Times New Roman" w:hAnsi="Times New Roman"/>
                <w:b w:val="false"/>
                <w:sz w:val="11"/>
              </w:rPr>
              <w:t>(7)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1,843</w:t>
            </w:r>
          </w:p>
        </w:tc>
        <w:tc>
          <w:tcPr>
            <w:tcW w:w="360" w:type="dxa"/>
            <w:tcBorders/>
            <w:shd w:fill="auto" w:val="clear"/>
            <w:vAlign w:val="center"/>
          </w:tcPr>
          <w:p>
            <w:pPr>
              <w:pStyle w:val="TableContents"/>
              <w:spacing w:lineRule="auto" w:line="252" w:before="0" w:after="0"/>
              <w:ind w:left="0" w:right="0" w:hanging="0"/>
              <w:jc w:val="left"/>
              <w:rPr/>
            </w:pPr>
            <w:r>
              <w:rPr/>
              <w:t> </w:t>
            </w:r>
          </w:p>
        </w:tc>
        <w:tc>
          <w:tcPr>
            <w:tcW w:w="175"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9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1,971</w:t>
            </w:r>
          </w:p>
        </w:tc>
        <w:tc>
          <w:tcPr>
            <w:tcW w:w="34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216"/>
        <w:gridCol w:w="9989"/>
      </w:tblGrid>
      <w:tr>
        <w:trPr/>
        <w:tc>
          <w:tcPr>
            <w:tcW w:w="216" w:type="dxa"/>
            <w:tcBorders/>
            <w:shd w:fill="auto" w:val="clear"/>
            <w:vAlign w:val="center"/>
          </w:tcPr>
          <w:p>
            <w:pPr>
              <w:pStyle w:val="TableContents"/>
              <w:spacing w:before="0" w:after="283"/>
              <w:rPr>
                <w:sz w:val="4"/>
                <w:szCs w:val="4"/>
              </w:rPr>
            </w:pPr>
            <w:r>
              <w:rPr>
                <w:sz w:val="4"/>
                <w:szCs w:val="4"/>
              </w:rPr>
            </w:r>
          </w:p>
        </w:tc>
        <w:tc>
          <w:tcPr>
            <w:tcW w:w="9989" w:type="dxa"/>
            <w:tcBorders/>
            <w:shd w:fill="auto" w:val="clear"/>
            <w:vAlign w:val="center"/>
          </w:tcPr>
          <w:p>
            <w:pPr>
              <w:pStyle w:val="TableContents"/>
              <w:spacing w:before="0" w:after="283"/>
              <w:rPr>
                <w:sz w:val="4"/>
                <w:szCs w:val="4"/>
              </w:rPr>
            </w:pPr>
            <w:r>
              <w:rPr>
                <w:sz w:val="4"/>
                <w:szCs w:val="4"/>
              </w:rPr>
            </w:r>
          </w:p>
        </w:tc>
      </w:tr>
      <w:tr>
        <w:trPr/>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1"/>
              </w:rPr>
            </w:pPr>
            <w:r>
              <w:rPr>
                <w:rFonts w:ascii="Times New Roman" w:hAnsi="Times New Roman"/>
                <w:b w:val="false"/>
                <w:sz w:val="11"/>
              </w:rPr>
              <w:t>(1)</w:t>
            </w:r>
          </w:p>
        </w:tc>
        <w:tc>
          <w:tcPr>
            <w:tcW w:w="998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Based on daily weighted average balance of shares of the Company’s common stock outstanding during the period.</w:t>
            </w:r>
          </w:p>
        </w:tc>
      </w:tr>
      <w:tr>
        <w:trPr/>
        <w:tc>
          <w:tcPr>
            <w:tcW w:w="216" w:type="dxa"/>
            <w:tcBorders/>
            <w:shd w:fill="auto" w:val="clear"/>
            <w:vAlign w:val="center"/>
          </w:tcPr>
          <w:p>
            <w:pPr>
              <w:pStyle w:val="TableContents"/>
              <w:spacing w:lineRule="auto" w:line="252" w:before="0" w:after="0"/>
              <w:ind w:left="0" w:right="0" w:hanging="0"/>
              <w:jc w:val="both"/>
              <w:rPr>
                <w:rFonts w:ascii="Times New Roman" w:hAnsi="Times New Roman"/>
                <w:b w:val="false"/>
                <w:sz w:val="11"/>
              </w:rPr>
            </w:pPr>
            <w:r>
              <w:rPr>
                <w:rFonts w:ascii="Times New Roman" w:hAnsi="Times New Roman"/>
                <w:b w:val="false"/>
                <w:sz w:val="11"/>
              </w:rPr>
              <w:t>(2)</w:t>
            </w:r>
          </w:p>
        </w:tc>
        <w:tc>
          <w:tcPr>
            <w:tcW w:w="998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Includes the impact of different share amounts used in calculating per share data based on weighted average shares of the Company’s common stock outstanding during the period and certain per share data based on shares of the Company’s common stock outstanding as of a period end or transaction date. Also includes the impact of shares of the Company’s common stock issued under the Company’s DRIP.</w:t>
            </w:r>
          </w:p>
        </w:tc>
      </w:tr>
      <w:tr>
        <w:trPr/>
        <w:tc>
          <w:tcPr>
            <w:tcW w:w="216" w:type="dxa"/>
            <w:tcBorders/>
            <w:shd w:fill="auto" w:val="clear"/>
            <w:vAlign w:val="center"/>
          </w:tcPr>
          <w:p>
            <w:pPr>
              <w:pStyle w:val="TableContents"/>
              <w:spacing w:lineRule="auto" w:line="252" w:before="0" w:after="0"/>
              <w:ind w:left="0" w:right="0" w:hanging="0"/>
              <w:jc w:val="both"/>
              <w:rPr>
                <w:rFonts w:ascii="Times New Roman" w:hAnsi="Times New Roman"/>
                <w:b w:val="false"/>
                <w:sz w:val="11"/>
              </w:rPr>
            </w:pPr>
            <w:r>
              <w:rPr>
                <w:rFonts w:ascii="Times New Roman" w:hAnsi="Times New Roman"/>
                <w:b w:val="false"/>
                <w:sz w:val="11"/>
              </w:rPr>
              <w:t>(3)</w:t>
            </w:r>
          </w:p>
        </w:tc>
        <w:tc>
          <w:tcPr>
            <w:tcW w:w="998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tc>
      </w:tr>
      <w:tr>
        <w:trPr/>
        <w:tc>
          <w:tcPr>
            <w:tcW w:w="216" w:type="dxa"/>
            <w:tcBorders/>
            <w:shd w:fill="auto" w:val="clear"/>
            <w:vAlign w:val="center"/>
          </w:tcPr>
          <w:p>
            <w:pPr>
              <w:pStyle w:val="TableContents"/>
              <w:spacing w:lineRule="auto" w:line="252" w:before="0" w:after="0"/>
              <w:ind w:left="0" w:right="0" w:hanging="0"/>
              <w:jc w:val="both"/>
              <w:rPr>
                <w:rFonts w:ascii="Times New Roman" w:hAnsi="Times New Roman"/>
                <w:b w:val="false"/>
                <w:sz w:val="11"/>
              </w:rPr>
            </w:pPr>
            <w:r>
              <w:rPr>
                <w:rFonts w:ascii="Times New Roman" w:hAnsi="Times New Roman"/>
                <w:b w:val="false"/>
                <w:sz w:val="11"/>
              </w:rPr>
              <w:t>(4)</w:t>
            </w:r>
          </w:p>
        </w:tc>
        <w:tc>
          <w:tcPr>
            <w:tcW w:w="998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Ratio is annualized.</w:t>
            </w:r>
          </w:p>
        </w:tc>
      </w:tr>
      <w:tr>
        <w:trPr/>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1"/>
              </w:rPr>
            </w:pPr>
            <w:r>
              <w:rPr>
                <w:rFonts w:ascii="Times New Roman" w:hAnsi="Times New Roman"/>
                <w:b w:val="false"/>
                <w:sz w:val="11"/>
              </w:rPr>
              <w:t>(5)</w:t>
            </w:r>
          </w:p>
        </w:tc>
        <w:tc>
          <w:tcPr>
            <w:tcW w:w="9989" w:type="dxa"/>
            <w:tcBorders/>
            <w:shd w:fill="auto" w:val="clear"/>
            <w:vAlign w:val="center"/>
          </w:tcPr>
          <w:p>
            <w:pPr>
              <w:pStyle w:val="TableContents"/>
              <w:spacing w:lineRule="auto" w:line="252" w:before="0" w:after="0"/>
              <w:ind w:left="0" w:right="0" w:hanging="0"/>
              <w:jc w:val="both"/>
              <w:rPr/>
            </w:pPr>
            <w:r>
              <w:rPr/>
              <w:t> </w:t>
            </w:r>
            <w:r>
              <w:rPr>
                <w:rFonts w:ascii="Times New Roman" w:hAnsi="Times New Roman"/>
                <w:b w:val="false"/>
                <w:sz w:val="16"/>
              </w:rPr>
              <w:t>Portfolio turnover rate is calculated using the lesser of year-to-date sales or year-to-date purchases over the average of the invested assets at fair value. Portfolio turnover rates that cover less than a full period are not annualized.</w:t>
            </w:r>
          </w:p>
        </w:tc>
      </w:tr>
      <w:tr>
        <w:trPr/>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1"/>
              </w:rPr>
            </w:pPr>
            <w:r>
              <w:rPr>
                <w:rFonts w:ascii="Times New Roman" w:hAnsi="Times New Roman"/>
                <w:b w:val="false"/>
                <w:sz w:val="11"/>
              </w:rPr>
              <w:t>(6)</w:t>
            </w:r>
          </w:p>
        </w:tc>
        <w:tc>
          <w:tcPr>
            <w:tcW w:w="998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Based on the daily weighted average balance of debt outstanding during the period.</w:t>
            </w:r>
          </w:p>
        </w:tc>
      </w:tr>
      <w:tr>
        <w:trPr/>
        <w:tc>
          <w:tcPr>
            <w:tcW w:w="216" w:type="dxa"/>
            <w:tcBorders/>
            <w:shd w:fill="auto" w:val="clear"/>
            <w:vAlign w:val="center"/>
          </w:tcPr>
          <w:p>
            <w:pPr>
              <w:pStyle w:val="TableContents"/>
              <w:spacing w:lineRule="auto" w:line="252" w:before="0" w:after="0"/>
              <w:ind w:left="0" w:right="0" w:hanging="0"/>
              <w:jc w:val="both"/>
              <w:rPr>
                <w:rFonts w:ascii="Times New Roman" w:hAnsi="Times New Roman"/>
                <w:b w:val="false"/>
                <w:sz w:val="11"/>
              </w:rPr>
            </w:pPr>
            <w:r>
              <w:rPr>
                <w:rFonts w:ascii="Times New Roman" w:hAnsi="Times New Roman"/>
                <w:b w:val="false"/>
                <w:sz w:val="11"/>
              </w:rPr>
              <w:t>(7)</w:t>
            </w:r>
          </w:p>
        </w:tc>
        <w:tc>
          <w:tcPr>
            <w:tcW w:w="998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March 31, 2021 pursuant to the exemptive relief granted by the SEC in June 2014 that permits us to exclude such debentures from the definition of senior securities in the 150% asset coverage ratio we are required to maintain under the 1940 Act. There were no SBA-guaranteed debentures outstanding as of March 31, 2022. Asset coverage per unit is expressed in terms of dollar amounts per $1,000 of indebtedness.</w:t>
            </w:r>
          </w:p>
        </w:tc>
      </w:tr>
      <w:tr>
        <w:trPr/>
        <w:tc>
          <w:tcPr>
            <w:tcW w:w="216" w:type="dxa"/>
            <w:tcBorders/>
            <w:shd w:fill="auto" w:val="clear"/>
            <w:vAlign w:val="center"/>
          </w:tcPr>
          <w:p>
            <w:pPr>
              <w:pStyle w:val="TableContents"/>
              <w:spacing w:lineRule="auto" w:line="252" w:before="0" w:after="0"/>
              <w:ind w:left="0" w:right="0" w:hanging="0"/>
              <w:jc w:val="both"/>
              <w:rPr/>
            </w:pPr>
            <w:r>
              <w:rPr/>
              <w:t> </w:t>
            </w:r>
          </w:p>
        </w:tc>
        <w:tc>
          <w:tcPr>
            <w:tcW w:w="9989" w:type="dxa"/>
            <w:tcBorders/>
            <w:shd w:fill="auto" w:val="clear"/>
            <w:vAlign w:val="center"/>
          </w:tcPr>
          <w:p>
            <w:pPr>
              <w:pStyle w:val="TableContents"/>
              <w:spacing w:lineRule="auto" w:line="252" w:before="0" w:after="0"/>
              <w:ind w:left="0" w:right="0" w:hanging="0"/>
              <w:jc w:val="both"/>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Note 13. Subsequent Events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Management has evaluated subsequent events through the date of issuance of the consolidated financial statements included herein. There have been no other subsequent events that occurred during such period that would be required to be recognized in the consolidated financial statements as of March 31, 2022, other than as set forth below.</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April 1, 2022, the Company entered into a Note Purchase Agreement (the “Purchase Agreement”) governing the issuance of $15.0 million in aggregate principal amount of 5.25% Convertible Notes due 2032 (the “Convertible Notes”) in a transaction exempt from registration pursuant to Section 4(a)(2) of the Securities Act. The Convertible Notes have not been registered under the Securities Act or any state securities laws and may not be reoffered or resold in the United States absent registration or an applicable exemption from such registration requirements. The Convertible Notes were delivered and paid for on April 1, 2022. The Convertible Notes will mature on April 1, 2032 (the “Maturity Date”). The net proceeds to the Company were $13,650,000, after deducting estimated offering expenses. Capitalized terms used but not defined herein have the meanings ascribed to them in the Purchase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 obtained an Investment Grade rating from a Nationally Recognized Statistical Rating Organization (“NRSRO”) with respect to the Convertible Notes. The Convertible Notes have a fixed interest rate of 5.25% per annum payable semi-annually on March 31 and September 30 of each year, commencing on September 30, 2022, subject to a step up of 0.75% per annum to the extent that the Convertible Notes are downgraded below Investment Grade by an NRSRO or the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r>
        <w:rPr>
          <w:rFonts w:ascii="Times New Roman" w:hAnsi="Times New Roman"/>
          <w:b/>
          <w:sz w:val="16"/>
        </w:rPr>
        <w:t>LOGAN RIDGE FINANCE CORPORATION</w:t>
      </w:r>
    </w:p>
    <w:p>
      <w:pPr>
        <w:pStyle w:val="TextBody"/>
        <w:spacing w:lineRule="auto" w:line="273" w:before="0" w:after="0"/>
        <w:jc w:val="center"/>
        <w:rPr>
          <w:rFonts w:ascii="Times New Roman" w:hAnsi="Times New Roman"/>
          <w:b/>
          <w:sz w:val="16"/>
        </w:rPr>
      </w:pPr>
      <w:r>
        <w:rPr>
          <w:rFonts w:ascii="Times New Roman" w:hAnsi="Times New Roman"/>
          <w:b/>
          <w:sz w:val="16"/>
        </w:rPr>
        <w:t>NOTES TO CONSOLIDATED FINANCIAL STATEMENTS</w:t>
      </w:r>
    </w:p>
    <w:p>
      <w:pPr>
        <w:pStyle w:val="TextBody"/>
        <w:spacing w:lineRule="auto" w:line="273" w:before="0" w:after="0"/>
        <w:jc w:val="center"/>
        <w:rPr>
          <w:rFonts w:ascii="Times New Roman" w:hAnsi="Times New Roman"/>
          <w:sz w:val="20"/>
        </w:rPr>
      </w:pPr>
      <w:r>
        <w:rPr>
          <w:rFonts w:ascii="Times New Roman" w:hAnsi="Times New Roman"/>
          <w:b/>
          <w:sz w:val="16"/>
        </w:rPr>
        <w:t>March 31, 2022</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(Unaudited)</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Convertible Notes for general corporate purposes, which may include repaying outstanding indebtedness, making opportunistic investments and paying corporate expenses. In addition, on the occurrence of a Change in Control Repurchase Event or Delisting Event, the Company will generally be required to make an offer to purchase the outstanding Convertible Notes at a price equal to 100% of the principal amount of such Convertible Notes plus accrued and unpaid interest to the repurchase date.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May 10, 2022, CBL, a direct, wholly owned, consolidated subsidiary of the Company, amended its existing senior secured revolving credit agreement (the “Amended KeyBank Credit Facility"), dated as of October 30, 2020 (and amended as of July 1, 2021) with the Investment Advisor as collateral manager, the lenders from time to time parties thereto (each a “Lender”), KeyBank National Association, as administrative agent, and U.S. Bank National Association, as custodian. Under the Amended KeyBank Credit Facility, the Lender agreed to extend credit to CBL in an initial commitment equal to an aggregate principal amount of $75.0 million. CBL may borrow up to an additional $125.0 million through an incremental uncommitted accordion feature in accordance with the terms and in the manner described in the Amended KeyBank Credit Facility.</w:t>
        <w:br/>
      </w:r>
      <w:r>
        <w:rPr>
          <w:rFonts w:ascii="Times New Roman" w:hAnsi="Times New Roman"/>
          <w:sz w:val="20"/>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period during which the Lender may make loans to CBL under the Amended KeyBank Credit Facility and will continue through May 12, 2025, unless there is an earlier termination or event of default (the “Commitment Termination Date”). The Amended KeyBank Credit Facility will mature on May 10, 2027, unless there is an earlier termination or event of default. Borrowings under the Amended KeyBank Credit Facility will bear interest at a floating forward-looking term rate equal to term SOFR plus an applicable margin of 2.90% until the Commitment Termination Date and 3.25% thereafter. The Company will also pay an unused commitment fee, depending on the level of utilization, at a rate of 1.00%, 0.65%, or 0.35% per annum on the unutilized portion of the aggregate commitments under the Amended KeyBank Credit Facility.</w:t>
        <w:br/>
        <w:br/>
      </w:r>
      <w:r>
        <w:rPr>
          <w:rFonts w:ascii="Times New Roman" w:hAnsi="Times New Roman"/>
          <w:sz w:val="20"/>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bookmarkStart w:id="9" w:name="item_2_management_discussion"/>
      <w:bookmarkEnd w:id="9"/>
      <w:r>
        <w:rPr>
          <w:rFonts w:ascii="Times New Roman" w:hAnsi="Times New Roman"/>
          <w:b/>
          <w:sz w:val="16"/>
        </w:rPr>
        <w:t>Item 2. Management’s Discussion and Analysis</w:t>
      </w:r>
      <w:r>
        <w:rPr>
          <w:rFonts w:ascii="Times New Roman" w:hAnsi="Times New Roman"/>
          <w:sz w:val="20"/>
        </w:rPr>
        <w:t xml:space="preserve"> </w:t>
      </w:r>
      <w:r>
        <w:rPr>
          <w:rFonts w:ascii="Times New Roman" w:hAnsi="Times New Roman"/>
          <w:b/>
          <w:sz w:val="16"/>
        </w:rPr>
        <w:t>of Financial Condition and Results of Operations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discussion and analysis should be read in conjunction with our consolidated financial statements and related notes and other financial information appearing elsewhere in this Quarterly Report on Form 10-Q.</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Except as otherwise specified, references to “we,” “us,” “our,” “Logan Ridge,” or the “Company”, refer to Logan Ridge Finance Corporation.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Forward-Looking Statements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pStyle w:val="TextBody"/>
        <w:spacing w:lineRule="auto" w:line="273" w:before="0" w:after="0"/>
        <w:jc w:val="both"/>
        <w:rPr/>
      </w:pPr>
      <w:r>
        <w:rPr/>
        <w:t> </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our future operating results and the impact of the COVID-19 pandemic thereon;</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our business prospects and the prospects of our portfolio companies, including our and their ability to achieve our respective objectives as a result of the current COVID-19 pandemic;</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the impact of investments that we expect to make;</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our contractual arrangements and relationships with third parties;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the dependence of our future success on the general economy and its impact on the industries in which we invest;</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our expected financings and investments;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the adequacy of our cash resources and working capital; and</w:t>
      </w:r>
    </w:p>
    <w:p>
      <w:pPr>
        <w:pStyle w:val="TextBody"/>
        <w:spacing w:lineRule="auto" w:line="273" w:before="120" w:after="0"/>
        <w:jc w:val="both"/>
        <w:rPr/>
      </w:pPr>
      <w:r>
        <w:rPr/>
        <w:t>•</w:t>
      </w:r>
    </w:p>
    <w:p>
      <w:pPr>
        <w:pStyle w:val="TextBody"/>
        <w:spacing w:lineRule="auto" w:line="273" w:before="120" w:after="283"/>
        <w:jc w:val="both"/>
        <w:rPr>
          <w:rFonts w:ascii="Times New Roman" w:hAnsi="Times New Roman"/>
          <w:b w:val="false"/>
          <w:sz w:val="16"/>
        </w:rPr>
      </w:pPr>
      <w:r>
        <w:rPr>
          <w:rFonts w:ascii="Times New Roman" w:hAnsi="Times New Roman"/>
          <w:b w:val="false"/>
          <w:sz w:val="16"/>
        </w:rPr>
        <w:t>the timing of cash flows, if any, from the operations of our portfolio companies and the impact of the COVID-19 pandemic thereon.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spacing w:lineRule="auto" w:line="273" w:before="0" w:after="0"/>
        <w:jc w:val="both"/>
        <w:rPr/>
      </w:pPr>
      <w:r>
        <w:rPr/>
        <w:t> </w:t>
      </w:r>
    </w:p>
    <w:p>
      <w:pPr>
        <w:pStyle w:val="TextBody"/>
        <w:spacing w:lineRule="auto" w:line="273" w:before="0" w:after="0"/>
        <w:jc w:val="both"/>
        <w:rPr/>
      </w:pPr>
      <w:r>
        <w:rPr/>
        <w: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an economic downturn, due to the COVID-19 pandemic or otherwise, could impair our portfolio companies’ ability to continue to operate or repay their borrowings, which could lead to the loss of some or all of our investments in such portfolio companies;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a contraction of available credit and/or an inability to access the equity markets could impair our lending and investment activities and the impact of the COVID-19 pandemic thereon;</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interest rate volatility could adversely affect our results, particularly if we use leverage as part of our investment strategy; and</w:t>
      </w:r>
    </w:p>
    <w:p>
      <w:pPr>
        <w:pStyle w:val="TextBody"/>
        <w:spacing w:lineRule="auto" w:line="273" w:before="120" w:after="0"/>
        <w:jc w:val="both"/>
        <w:rPr/>
      </w:pPr>
      <w:r>
        <w:rPr/>
        <w:t>•</w:t>
      </w:r>
    </w:p>
    <w:p>
      <w:pPr>
        <w:pStyle w:val="TextBody"/>
        <w:spacing w:lineRule="auto" w:line="273" w:before="120" w:after="283"/>
        <w:jc w:val="both"/>
        <w:rPr/>
      </w:pPr>
      <w:r>
        <w:rPr>
          <w:rFonts w:ascii="Times New Roman" w:hAnsi="Times New Roman"/>
          <w:b w:val="false"/>
          <w:sz w:val="16"/>
        </w:rPr>
        <w:t>the risks, uncertainties and other factors we identify in “Risk Factors” and elsewhere in this Quarterly Report on Form 10-Q.</w:t>
      </w:r>
      <w:r>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2021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Overview</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Mount Logan Management LLC (the ‘‘Investment Advisor’’), and BC Partners Management LLC (the ‘‘Administrator’’) provides the administrative services necessary for us to operate.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$5.0 million and $50.0 million in trailing twelve-month earnings before interest, tax, depreciation, and amortization (‘‘EBITDA’’).</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We invest in first lien loans and, to a lesser extent, second lien loans and equity securities issued by lower middle-market and traditional middle-market companies.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March 31, 2022, our asset coverage ratio was 184%. To maintain our regulated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Corporate History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Definitive Agreement</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sz w:val="20"/>
        </w:rPr>
        <w:t xml:space="preserve"> </w:t>
      </w:r>
      <w:r>
        <w:rPr>
          <w:rFonts w:ascii="Times New Roman" w:hAnsi="Times New Roman"/>
          <w:b w:val="false"/>
          <w:sz w:val="16"/>
        </w:rPr>
        <w:t>The Company’s 5.75% Convertible Notes due 2022 and 6.00% Notes due 2022 continue to trade under the symbols “CPTAG” and “CPTAL,” respectively.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T. Roos was replaced as Secretary and Treasurer of the Company by Brandon Satoren, who was also appointed as Chief Accounting Officer. Mr. Roos continues to serve as Chief Financial Officer of the Company.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Basis of Presentation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 xml:space="preserve">The Company is considered an investment company as defined in Accounting Standards Codification (“ASC”) Topic 946 — </w:t>
      </w:r>
      <w:r>
        <w:rPr>
          <w:rFonts w:ascii="Times New Roman" w:hAnsi="Times New Roman"/>
          <w:b w:val="false"/>
          <w:i/>
          <w:sz w:val="16"/>
        </w:rPr>
        <w:t>Financial Services — Investment Companies</w:t>
      </w:r>
      <w:r>
        <w:rPr>
          <w:rFonts w:ascii="Times New Roman" w:hAnsi="Times New Roman"/>
          <w:sz w:val="20"/>
        </w:rPr>
        <w:t xml:space="preserve"> </w:t>
      </w:r>
      <w:r>
        <w:rPr>
          <w:rFonts w:ascii="Times New Roman" w:hAnsi="Times New Roman"/>
          <w:b w:val="false"/>
          <w:sz w:val="16"/>
        </w:rPr>
        <w:t>(“ASC 946”)</w:t>
      </w:r>
      <w:r>
        <w:rPr>
          <w:rFonts w:ascii="Times New Roman" w:hAnsi="Times New Roman"/>
          <w:b w:val="false"/>
          <w:i/>
          <w:sz w:val="16"/>
        </w:rPr>
        <w:t>.</w:t>
      </w:r>
      <w:r>
        <w:rPr>
          <w:rFonts w:ascii="Times New Roman" w:hAnsi="Times New Roman"/>
          <w:sz w:val="20"/>
        </w:rPr>
        <w:t xml:space="preserve"> </w:t>
      </w:r>
      <w:r>
        <w:rPr>
          <w:rFonts w:ascii="Times New Roman" w:hAnsi="Times New Roman"/>
          <w:b w:val="false"/>
          <w:sz w:val="16"/>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financial statements as of March 31, 2022 and December 31, 2021 and for the periods ended March 31, 2022 and 2021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2021, filed with the SEC on March 14, 2022.</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Consolidation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Revenues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Expenses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pStyle w:val="TextBody"/>
        <w:spacing w:lineRule="auto" w:line="273" w:before="0" w:after="0"/>
        <w:jc w:val="both"/>
        <w:rPr/>
      </w:pPr>
      <w:r>
        <w:rPr/>
        <w:t> </w:t>
      </w:r>
    </w:p>
    <w:p>
      <w:pPr>
        <w:pStyle w:val="TextBody"/>
        <w:spacing w:lineRule="auto" w:line="273" w:before="0" w:after="0"/>
        <w:jc w:val="both"/>
        <w:rPr/>
      </w:pPr>
      <w:r>
        <w:rPr/>
        <w:t>•</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cost of our organization;</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the cost of calculating our net asset value, including the cost of any third-party valuation services;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the cost of effecting sales and repurchases of our shares and other securities;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interest payable on debt, if any, to finance our investments;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transfer agent and custodial fees;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fees and expenses associated with marketing efforts;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costs associated with our reporting and compliance obligations under the 1940 Act, the Securities Exchange Act of 1934, as amended (the “Exchange Act”), other applicable federal and state securities laws and ongoing stock exchange listing fees;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federal, state and local taxes;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independent directors’ fees and expenses;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brokerage commissions;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costs of proxy statements, stockholders’ reports and other communications with stockholders;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fidelity bond, directors’ and officers’ liability insurance, errors and omissions liability insurance and other insurance premiums;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direct costs and expenses of administration, including printing, mailing, telephone and staff;</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fees and expenses associated with independent audits and outside legal costs; and</w:t>
      </w:r>
    </w:p>
    <w:p>
      <w:pPr>
        <w:pStyle w:val="TextBody"/>
        <w:spacing w:lineRule="auto" w:line="273" w:before="120" w:after="0"/>
        <w:jc w:val="both"/>
        <w:rPr/>
      </w:pPr>
      <w:r>
        <w:rPr/>
        <w:t>•</w:t>
      </w:r>
    </w:p>
    <w:p>
      <w:pPr>
        <w:pStyle w:val="TextBody"/>
        <w:spacing w:lineRule="auto" w:line="273" w:before="120" w:after="283"/>
        <w:jc w:val="both"/>
        <w:rPr>
          <w:rFonts w:ascii="Times New Roman" w:hAnsi="Times New Roman"/>
          <w:b w:val="false"/>
          <w:sz w:val="16"/>
        </w:rPr>
      </w:pPr>
      <w:r>
        <w:rPr>
          <w:rFonts w:ascii="Times New Roman" w:hAnsi="Times New Roman"/>
          <w:b w:val="false"/>
          <w:sz w:val="16"/>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Critical Accounting Policies and Use of Estimates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Valuation of Investments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 xml:space="preserve">The Company applies fair value accounting to all of its financial instruments in accordance with the 1940 Act and ASC Topic 820 — </w:t>
      </w:r>
      <w:r>
        <w:rPr>
          <w:rFonts w:ascii="Times New Roman" w:hAnsi="Times New Roman"/>
          <w:b w:val="false"/>
          <w:i/>
          <w:sz w:val="16"/>
        </w:rPr>
        <w:t xml:space="preserve">Fair Value Measurements and Disclosures </w:t>
      </w:r>
      <w:r>
        <w:rPr>
          <w:rFonts w:ascii="Times New Roman" w:hAnsi="Times New Roman"/>
          <w:b w:val="false"/>
          <w:sz w:val="16"/>
        </w:rPr>
        <w:t>(“ASC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r>
        <w:rPr>
          <w:rFonts w:ascii="Times New Roman" w:hAnsi="Times New Roman"/>
          <w:sz w:val="20"/>
        </w:rPr>
        <w:t xml:space="preserve"> </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sz w:val="16"/>
        </w:rPr>
        <w:t xml:space="preserve">Level 1 </w:t>
      </w:r>
      <w:r>
        <w:rPr>
          <w:rFonts w:ascii="Times New Roman" w:hAnsi="Times New Roman"/>
          <w:sz w:val="20"/>
        </w:rPr>
        <w:t xml:space="preserve">— </w:t>
      </w:r>
      <w:r>
        <w:rPr>
          <w:rFonts w:ascii="Times New Roman" w:hAnsi="Times New Roman"/>
          <w:b w:val="false"/>
          <w:sz w:val="16"/>
        </w:rPr>
        <w:t>Valuations based on unadjusted quoted prices in active markets for identical assets or liabilities that the Company has the ability to 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sz w:val="16"/>
        </w:rPr>
        <w:t xml:space="preserve">Level 2 </w:t>
      </w:r>
      <w:r>
        <w:rPr>
          <w:rFonts w:ascii="Times New Roman" w:hAnsi="Times New Roman"/>
          <w:sz w:val="20"/>
        </w:rPr>
        <w:t xml:space="preserve">— </w:t>
      </w:r>
      <w:r>
        <w:rPr>
          <w:rFonts w:ascii="Times New Roman" w:hAnsi="Times New Roman"/>
          <w:b w:val="false"/>
          <w:sz w:val="16"/>
        </w:rPr>
        <w:t>Valuations based on quoted prices in markets that are not active or for which all significant inputs are observable, either directly or indirectly.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sz w:val="16"/>
        </w:rPr>
        <w:t>Level 3</w:t>
      </w:r>
      <w:r>
        <w:rPr>
          <w:rFonts w:ascii="Times New Roman" w:hAnsi="Times New Roman"/>
          <w:sz w:val="20"/>
        </w:rPr>
        <w:t xml:space="preserve"> — </w:t>
      </w:r>
      <w:r>
        <w:rPr>
          <w:rFonts w:ascii="Times New Roman" w:hAnsi="Times New Roman"/>
          <w:b w:val="false"/>
          <w:sz w:val="16"/>
        </w:rPr>
        <w:t>Valuations based on inputs that are unobservable and significant to the overall fair value measurement.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Valuation Techniques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i/>
          <w:sz w:val="16"/>
        </w:rPr>
      </w:pPr>
      <w:r>
        <w:rPr>
          <w:rFonts w:ascii="Times New Roman" w:hAnsi="Times New Roman"/>
          <w:b w:val="false"/>
          <w:i/>
          <w:sz w:val="16"/>
        </w:rPr>
        <w:t>Enterprise Value Waterfall Approach</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16"/>
        </w:rPr>
      </w:pPr>
      <w:r>
        <w:rPr>
          <w:rFonts w:ascii="Times New Roman" w:hAnsi="Times New Roman"/>
          <w:b w:val="false"/>
          <w:i/>
          <w:sz w:val="16"/>
        </w:rPr>
        <w:t>Income Approach</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i/>
          <w:sz w:val="16"/>
        </w:rPr>
      </w:pPr>
      <w:r>
        <w:rPr>
          <w:rFonts w:ascii="Times New Roman" w:hAnsi="Times New Roman"/>
          <w:b w:val="false"/>
          <w:i/>
          <w:sz w:val="16"/>
        </w:rPr>
        <w:t>Asset Approach</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asset approach values an investment based on the value of the underlying collateral securing the investment.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Revenue Recognition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revenue recognition policies are as follows:</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Interest income and paid-in-kind interest income: </w:t>
      </w:r>
      <w:r>
        <w:rPr>
          <w:rFonts w:ascii="Times New Roman" w:hAnsi="Times New Roman"/>
          <w:b w:val="false"/>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Non-accrual investments: </w:t>
      </w:r>
      <w:r>
        <w:rPr>
          <w:rFonts w:ascii="Times New Roman" w:hAnsi="Times New Roman"/>
          <w:b w:val="false"/>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Gains and losses on investment sales and paydowns: </w:t>
      </w:r>
      <w:r>
        <w:rPr>
          <w:rFonts w:ascii="Times New Roman" w:hAnsi="Times New Roman"/>
          <w:b w:val="false"/>
          <w:sz w:val="16"/>
        </w:rPr>
        <w:t>Realized gains and losses on investments are recognized using the specific identification method.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Dividend income and paid-in-kind dividends: </w:t>
      </w:r>
      <w:r>
        <w:rPr>
          <w:rFonts w:ascii="Times New Roman" w:hAnsi="Times New Roman"/>
          <w:b w:val="false"/>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Original issue discount: </w:t>
      </w:r>
      <w:r>
        <w:rPr>
          <w:rFonts w:ascii="Times New Roman" w:hAnsi="Times New Roman"/>
          <w:b w:val="false"/>
          <w:sz w:val="16"/>
        </w:rPr>
        <w:t>Discounts received to par on loans purchased are capitalized and accreted into income over the life of the loan. Any remaining discount is accreted into income upon prepayment of the loan.</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i/>
          <w:sz w:val="16"/>
        </w:rPr>
        <w:t xml:space="preserve">Other income: </w:t>
      </w:r>
      <w:r>
        <w:rPr>
          <w:rFonts w:ascii="Times New Roman" w:hAnsi="Times New Roman"/>
          <w:b w:val="false"/>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the maturity date are recorded as income upon receipt.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Income Taxes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tax years ended December 31, 2021, 2020, 2019, and 2018 remain subject to examination by U.S. federal, state, and local tax authorities. No interest expense or penalties have been assessed for the periods ended March 31, 2022 and 2021. If the Company was required to recognize interest and penalties, if any, related to unrecognized tax benefits this would be recognized as income tax expense in the consolidated statements of operations.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Taxable Subsidiaries record deferred tax assets or liabilities related to temporary book versus tax differences on the income or loss generated by the underlying equity investments held by the Taxable Subsidiaries. As of March 31, 2022, and December 31, 2021, the Company recorded a net deferred tax asset of zero. For the three months ended March 31, 2022 and 2021, the Company recorded a deferred tax provision of zero. As of March 31, 2022 and December 31, 2021, the valuation allowance on the Company’s deferred tax asset was $2.5 million and $2.5 million, respectively. During the three months ended March 31, 2022, there was no change in the valuation allowance recognized by the Company. During the three months ended March 31, 2021, the Company recognized a decrease in the valuation allowance of $1.0 million.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 xml:space="preserve">ASC Topic 740 — </w:t>
      </w:r>
      <w:r>
        <w:rPr>
          <w:rFonts w:ascii="Times New Roman" w:hAnsi="Times New Roman"/>
          <w:b w:val="false"/>
          <w:i/>
          <w:sz w:val="16"/>
        </w:rPr>
        <w:t>Income Taxes</w:t>
      </w:r>
      <w:r>
        <w:rPr>
          <w:rFonts w:ascii="Times New Roman" w:hAnsi="Times New Roman"/>
          <w:sz w:val="20"/>
        </w:rPr>
        <w:t xml:space="preserve"> </w:t>
      </w:r>
      <w:r>
        <w:rPr>
          <w:rFonts w:ascii="Times New Roman" w:hAnsi="Times New Roman"/>
          <w:b w:val="false"/>
          <w:sz w:val="16"/>
        </w:rPr>
        <w:t>(“ASC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2022 and December 31, 2021, there were no uncertain tax positions.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U.S. GAAP provides guidance on thresholds, measurement, de-recognition, classification, interest and penalties, accounting in interim periods, disclosure, and transition that is intended to provide better financial statement comparability among different entities.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 has concluded that it was not necessary to record a liability for any such tax positions as of March 31, 2022 and December 31, 2021. However, the Company’s conclusions regarding this policy may be subject to review and adjustment at a later date based on factors including, but not limited to, ongoing analyses of, and changes to, tax laws, regulations and interpretations thereof.</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Portfolio and Investment Activity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March 31, 2022, our portfolio consisted of investments in 42 portfolio companies with a fair value of approximately $206.9 million.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March 31, 2022, 8.2% of the fair value of our first lien loans consisted of last-out loans. As of December 31, 2021, 8.5% of the fair value of our first lien loans consisted of last-out loans. In some cases, first lien loans may be subordinated, solely with respect to the payment of cash interest, to an asset based revolving credit facility.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During the three months ended March 31, 2022, we made approximately $16.4 million of investments and had approximately $8.4 million in repayments and sales, resulting in net deployment of approximately $8.0 million for the period. During the three months ended March 31, 2021, we made no investments and had approximately $29.9 million in repayments and sales, resulting in net repayments and sales of approximately $29.9 million for the period.</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of March 31, 2022, our debt investment portfolio, which represented 68.1% of the fair value of our total portfolio, had a weighted average annualized yield of approximately 8.3% (excluding non-accruals and collateralized loan obligations). As of March 31, 2022, 24.3% of the fair value of our debt investment portfolio was bearing a fixed rate of interest. As of December 31, 2021, our debt investment portfolio, which represented 67.4% of the fair value of our total portfolio, had a weighted average annualized yield of approximately 8.1% (excluding non-accruals and collateralized loan obligations). As of December 31, 2021, 22.8% of the fair value of our debt investment portfolio was bearing a fixed rate of interest.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of March 31, 2022, the Board approved the fair value of our investment portfolio of approximately</w:t>
      </w:r>
      <w:r>
        <w:rPr>
          <w:rFonts w:ascii="Times New Roman" w:hAnsi="Times New Roman"/>
          <w:sz w:val="20"/>
        </w:rPr>
        <w:t xml:space="preserve"> </w:t>
      </w:r>
      <w:r>
        <w:rPr>
          <w:rFonts w:ascii="Times New Roman" w:hAnsi="Times New Roman"/>
          <w:b w:val="false"/>
          <w:sz w:val="16"/>
        </w:rPr>
        <w:t>$206.9 million in good faith in accordance with our valuation procedures. The Board approved the fair value of our investment portfolio as of March 31, 2022 with input from a third-party valuation firm and the Investment Advisor based on information known or knowable as of the valuation date, including trailing and forward-looking data.</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of March 31, 2022, we had debt investments in two portfolio companies on non-accrual status with an aggregate amortized cost of $12.7 million and an aggregate fair value of $7.0 million, which represented 6.4% and 3.4% of the investment portfolio, respectively. As of December 31, 2021, we had debt investments in two portfolio companies on non-accrual status with aggregate amortized cost of $12.7 million and an aggregate fair value of $7.6 million, which represented 6.7% and 3.8% of the investment portfolio, respectively.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following table summarizes the amortized cost and the fair value of investments as of March 31, 2022 (dollars in thousands):</w:t>
      </w:r>
      <w:r>
        <w:rPr>
          <w:rFonts w:ascii="Times New Roman" w:hAnsi="Times New Roman"/>
          <w:sz w:val="20"/>
        </w:rPr>
        <w:t xml:space="preserve"> </w:t>
      </w:r>
    </w:p>
    <w:p>
      <w:pPr>
        <w:pStyle w:val="TextBody"/>
        <w:spacing w:lineRule="auto" w:line="273" w:before="0" w:after="0"/>
        <w:jc w:val="both"/>
        <w:rPr/>
      </w:pPr>
      <w:r>
        <w:rPr/>
        <w:t> </w:t>
      </w:r>
    </w:p>
    <w:tbl>
      <w:tblPr>
        <w:tblW w:w="8559" w:type="dxa"/>
        <w:jc w:val="left"/>
        <w:tblInd w:w="0" w:type="dxa"/>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 Cost</w:t>
              <w:br/>
              <w:t>Percentage of</w:t>
              <w:br/>
              <w:t>Total 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br/>
              <w:t>Percentage of</w:t>
              <w:br/>
              <w:t>Total Portfolio</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106,929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53.7</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100,663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48.7</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33,168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16.7</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33,220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16.1</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3.4</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Collateralized Loan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8,106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3.5</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 and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43,649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21.9</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58,708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28.3</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198,969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206,905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table summarizes the amortized cost and the fair value of investments as of December 31, 2021 (dollars in thousands):</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273" w:before="0" w:after="0"/>
        <w:jc w:val="left"/>
        <w:rPr/>
      </w:pPr>
      <w:r>
        <w:rPr/>
        <w:t> </w:t>
      </w:r>
    </w:p>
    <w:tbl>
      <w:tblPr>
        <w:tblW w:w="7794" w:type="dxa"/>
        <w:jc w:val="left"/>
        <w:tblInd w:w="0" w:type="dxa"/>
        <w:tblCellMar>
          <w:top w:w="28" w:type="dxa"/>
          <w:left w:w="28" w:type="dxa"/>
          <w:bottom w:w="28" w:type="dxa"/>
          <w:right w:w="28" w:type="dxa"/>
        </w:tblCellMar>
      </w:tblPr>
      <w:tblGrid>
        <w:gridCol w:w="1546"/>
        <w:gridCol w:w="146"/>
        <w:gridCol w:w="274"/>
        <w:gridCol w:w="971"/>
        <w:gridCol w:w="146"/>
        <w:gridCol w:w="146"/>
        <w:gridCol w:w="276"/>
        <w:gridCol w:w="969"/>
        <w:gridCol w:w="241"/>
        <w:gridCol w:w="146"/>
        <w:gridCol w:w="255"/>
        <w:gridCol w:w="900"/>
        <w:gridCol w:w="146"/>
        <w:gridCol w:w="146"/>
        <w:gridCol w:w="266"/>
        <w:gridCol w:w="934"/>
        <w:gridCol w:w="286"/>
      </w:tblGrid>
      <w:tr>
        <w:trPr/>
        <w:tc>
          <w:tcPr>
            <w:tcW w:w="1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5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 Cost</w:t>
              <w:br/>
              <w:t>Percentage of</w:t>
              <w:br/>
              <w:t>Total 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br/>
              <w:t>Percentage of</w:t>
              <w:br/>
              <w:t>Total Portfolio</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5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First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103,667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54.4</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98,251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49.6</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5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Second Lien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30,048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15.8</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30,190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15.2</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5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Subordinated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5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Equity and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51,717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27.2</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64,698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32.6</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5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190,482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198,189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73" w:before="20" w:after="0"/>
        <w:jc w:val="both"/>
        <w:rPr/>
      </w:pPr>
      <w:r>
        <w:rPr/>
        <w:t> </w:t>
      </w:r>
    </w:p>
    <w:p>
      <w:pPr>
        <w:pStyle w:val="TextBody"/>
        <w:spacing w:lineRule="auto" w:line="273" w:before="20" w:after="0"/>
        <w:jc w:val="both"/>
        <w:rPr>
          <w:rFonts w:ascii="Times New Roman" w:hAnsi="Times New Roman"/>
          <w:sz w:val="20"/>
        </w:rPr>
      </w:pPr>
      <w:r>
        <w:rPr>
          <w:rFonts w:ascii="Times New Roman" w:hAnsi="Times New Roman"/>
          <w:b w:val="false"/>
          <w:sz w:val="16"/>
        </w:rPr>
        <w:t>The following table shows the portfolio composition by industry grouping at fair value as of March 31, 2022 and December 31, 2021 (dollars in thousands):</w:t>
      </w:r>
      <w:r>
        <w:rPr>
          <w:rFonts w:ascii="Times New Roman" w:hAnsi="Times New Roman"/>
          <w:sz w:val="20"/>
        </w:rPr>
        <w:t xml:space="preserve"> </w:t>
      </w:r>
    </w:p>
    <w:p>
      <w:pPr>
        <w:pStyle w:val="TextBody"/>
        <w:spacing w:lineRule="auto" w:line="273" w:before="0" w:after="0"/>
        <w:jc w:val="left"/>
        <w:rPr/>
      </w:pPr>
      <w:r>
        <w:rPr/>
        <w:t> </w:t>
      </w:r>
    </w:p>
    <w:tbl>
      <w:tblPr>
        <w:tblW w:w="9010" w:type="dxa"/>
        <w:jc w:val="left"/>
        <w:tblInd w:w="0" w:type="dxa"/>
        <w:tblCellMar>
          <w:top w:w="28" w:type="dxa"/>
          <w:left w:w="28" w:type="dxa"/>
          <w:bottom w:w="28" w:type="dxa"/>
          <w:right w:w="28" w:type="dxa"/>
        </w:tblCellMar>
      </w:tblPr>
      <w:tblGrid>
        <w:gridCol w:w="3421"/>
        <w:gridCol w:w="146"/>
        <w:gridCol w:w="255"/>
        <w:gridCol w:w="900"/>
        <w:gridCol w:w="146"/>
        <w:gridCol w:w="146"/>
        <w:gridCol w:w="203"/>
        <w:gridCol w:w="713"/>
        <w:gridCol w:w="241"/>
        <w:gridCol w:w="146"/>
        <w:gridCol w:w="255"/>
        <w:gridCol w:w="900"/>
        <w:gridCol w:w="146"/>
        <w:gridCol w:w="146"/>
        <w:gridCol w:w="212"/>
        <w:gridCol w:w="748"/>
        <w:gridCol w:w="286"/>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3"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 2022</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0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Percentage</w:t>
              <w:br/>
              <w:t xml:space="preserve">of Total </w:t>
              <w:br/>
              <w:t>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Percentage </w:t>
              <w:br/>
              <w:t xml:space="preserve">of Total </w:t>
              <w:br/>
              <w:t>Portfolio</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Healthcare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35,509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17.2</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28,852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14.6</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Business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32,456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15.7</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32,819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16.6</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Information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25,605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12.4</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24,066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12.1</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Financials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19,679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9.5</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17,162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8.7</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Consumer Discretionary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12,809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6.2</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5.6</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Industrials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14,640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7.4</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Entertainment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8,643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4.2</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8,894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4.5</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Electronic Machine Repair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8,395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8,465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QSR Franchisor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8,178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8,007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Financial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7,498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7,430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3.7</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Healthcare Management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6,247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7,002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3.5</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Online Merchandise Retailer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5,954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2.9</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5,951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Textile Equipment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5,107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Medical Device Distributor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2.4</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Automobile Part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4,402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Advertising &amp; Marketing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4,579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Home Repair Parts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3,055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Testing Laboratories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0.5</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0.6</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Consumer Products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803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0.4</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Household Product Manufacturer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758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0.4</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0.1</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General Industrial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Data Processing &amp; Digital Marketing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Oil &amp; Gas Engineering and Consulting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713"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0.1</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90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0.2</w:t>
            </w:r>
          </w:p>
        </w:tc>
        <w:tc>
          <w:tcPr>
            <w:tcW w:w="28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206,905</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13"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4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00"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198,189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2"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48"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w:t>
            </w:r>
          </w:p>
        </w:tc>
        <w:tc>
          <w:tcPr>
            <w:tcW w:w="28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Results of Operations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Operating results for the three months ended March 31, 2022 and 2021 were as follows (dollars in thousands):</w:t>
      </w:r>
    </w:p>
    <w:p>
      <w:pPr>
        <w:pStyle w:val="TextBody"/>
        <w:spacing w:lineRule="auto" w:line="273" w:before="0" w:after="0"/>
        <w:jc w:val="both"/>
        <w:rPr/>
      </w:pPr>
      <w:r>
        <w:rPr/>
        <w:t> </w:t>
      </w:r>
    </w:p>
    <w:tbl>
      <w:tblPr>
        <w:tblW w:w="7707" w:type="dxa"/>
        <w:jc w:val="left"/>
        <w:tblInd w:w="0" w:type="dxa"/>
        <w:tblCellMar>
          <w:top w:w="28" w:type="dxa"/>
          <w:left w:w="28" w:type="dxa"/>
          <w:bottom w:w="28" w:type="dxa"/>
          <w:right w:w="28" w:type="dxa"/>
        </w:tblCellMar>
      </w:tblPr>
      <w:tblGrid>
        <w:gridCol w:w="4366"/>
        <w:gridCol w:w="146"/>
        <w:gridCol w:w="302"/>
        <w:gridCol w:w="880"/>
        <w:gridCol w:w="256"/>
        <w:gridCol w:w="225"/>
        <w:gridCol w:w="302"/>
        <w:gridCol w:w="1019"/>
        <w:gridCol w:w="211"/>
      </w:tblGrid>
      <w:tr>
        <w:trPr/>
        <w:tc>
          <w:tcPr>
            <w:tcW w:w="4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132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investment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3,337</w:t>
            </w:r>
          </w:p>
        </w:tc>
        <w:tc>
          <w:tcPr>
            <w:tcW w:w="25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1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4,926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3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expenses, net of incentive fee waiver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4,388</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5,709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investment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(1,051</w:t>
            </w:r>
          </w:p>
        </w:tc>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101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(783</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3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realized loss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101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(14,023</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3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change in unrealized appreciation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229</w:t>
            </w:r>
          </w:p>
        </w:tc>
        <w:tc>
          <w:tcPr>
            <w:tcW w:w="25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101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27,160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3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(decrease) increase in net assets resulting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80"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(858</w:t>
            </w:r>
          </w:p>
        </w:tc>
        <w:tc>
          <w:tcPr>
            <w:tcW w:w="25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302"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19"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12,354</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16"/>
        </w:rPr>
      </w:pPr>
      <w:r>
        <w:rPr>
          <w:rFonts w:ascii="Times New Roman" w:hAnsi="Times New Roman"/>
          <w:b/>
          <w:i/>
          <w:sz w:val="16"/>
        </w:rPr>
        <w:t>Investment income</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composition of our investment income for the three months ended March 31, 2022 and 2021 was as follows (dollars in thousands):</w:t>
      </w:r>
    </w:p>
    <w:p>
      <w:pPr>
        <w:pStyle w:val="TextBody"/>
        <w:spacing w:lineRule="auto" w:line="273" w:before="0" w:after="0"/>
        <w:jc w:val="both"/>
        <w:rPr/>
      </w:pPr>
      <w:r>
        <w:rPr/>
        <w:t> </w:t>
      </w:r>
    </w:p>
    <w:tbl>
      <w:tblPr>
        <w:tblW w:w="6667" w:type="dxa"/>
        <w:jc w:val="left"/>
        <w:tblInd w:w="0" w:type="dxa"/>
        <w:tblCellMar>
          <w:top w:w="28" w:type="dxa"/>
          <w:left w:w="28" w:type="dxa"/>
          <w:bottom w:w="28" w:type="dxa"/>
          <w:right w:w="28" w:type="dxa"/>
        </w:tblCellMar>
      </w:tblPr>
      <w:tblGrid>
        <w:gridCol w:w="3346"/>
        <w:gridCol w:w="146"/>
        <w:gridCol w:w="343"/>
        <w:gridCol w:w="894"/>
        <w:gridCol w:w="255"/>
        <w:gridCol w:w="255"/>
        <w:gridCol w:w="343"/>
        <w:gridCol w:w="894"/>
        <w:gridCol w:w="191"/>
      </w:tblGrid>
      <w:tr>
        <w:trPr/>
        <w:tc>
          <w:tcPr>
            <w:tcW w:w="3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3,197</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4,592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Other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Payment-in-kind interest and dividend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132</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Dividend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pPr>
            <w:r>
              <w:rPr/>
              <w:t>—</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investment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94"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3,337</w:t>
            </w:r>
          </w:p>
        </w:tc>
        <w:tc>
          <w:tcPr>
            <w:tcW w:w="255"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94"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4,926</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r>
        <w:rPr>
          <w:rFonts w:ascii="Times New Roman" w:hAnsi="Times New Roman"/>
          <w:sz w:val="20"/>
        </w:rPr>
        <w:t xml:space="preserve"> </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For the three months ended March 31, 2022, total investment income decreased by $1.6 million, or 32.3%, compared to the three months ended March 31, 2021. The decrease from the prior period was driven by a decrease in interest income from $4.6 million for the three months ended March 31, 2021 to $3.2 million for the three months ended March 31, 2022. The decline in interest income is primarily due to lower average outstanding debt investments for the three months ended March 31, 2022 compared to the three months ended March 31, 2021. PIK income declined from $0.2 million for the three months ended March 31, 2021 to $0.1 million for the three months ended March 31, 2022. The decrease in PIK income was due to a decline in investments with a contractual PIK rate. Dividend income decreased from $0.2 million for the three months ended March 31, 2021 to zero for the three months ended March 31, 2022, primarily due to non-recurring dividends received from portfolio companies during the three months ended March 31, 2021</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Operating expenses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composition of our expenses for the three months ended March 31, 2022 and 2021 was as follows (dollars in thousands):</w:t>
      </w:r>
    </w:p>
    <w:p>
      <w:pPr>
        <w:pStyle w:val="TextBody"/>
        <w:spacing w:lineRule="auto" w:line="273" w:before="0" w:after="0"/>
        <w:jc w:val="both"/>
        <w:rPr/>
      </w:pPr>
      <w:r>
        <w:rPr/>
        <w:t> </w:t>
      </w:r>
    </w:p>
    <w:tbl>
      <w:tblPr>
        <w:tblW w:w="5962" w:type="dxa"/>
        <w:jc w:val="left"/>
        <w:tblInd w:w="0" w:type="dxa"/>
        <w:tblCellMar>
          <w:top w:w="28" w:type="dxa"/>
          <w:left w:w="28" w:type="dxa"/>
          <w:bottom w:w="28" w:type="dxa"/>
          <w:right w:w="28" w:type="dxa"/>
        </w:tblCellMar>
      </w:tblPr>
      <w:tblGrid>
        <w:gridCol w:w="2641"/>
        <w:gridCol w:w="146"/>
        <w:gridCol w:w="343"/>
        <w:gridCol w:w="894"/>
        <w:gridCol w:w="255"/>
        <w:gridCol w:w="255"/>
        <w:gridCol w:w="343"/>
        <w:gridCol w:w="894"/>
        <w:gridCol w:w="19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and financing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2,188</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3,037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Base management fee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1,027</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1,398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Directors'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103</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Administrative service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120</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350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General and administrative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950</w:t>
            </w:r>
          </w:p>
        </w:tc>
        <w:tc>
          <w:tcPr>
            <w:tcW w:w="2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4,388</w:t>
            </w:r>
          </w:p>
        </w:tc>
        <w:tc>
          <w:tcPr>
            <w:tcW w:w="2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3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5,709</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For the three months ended March 31, 2022, operating expenses decreased by $1.3 million, or 23.2%, compared to the three months ended March 31, 2021. Interest and financing expenses decreased from $3.0 million for the three months ended March 31, 2021 to $2.2 million for the three months ended March 31, 2022</w:t>
      </w:r>
      <w:r>
        <w:rPr>
          <w:rFonts w:ascii="Times New Roman" w:hAnsi="Times New Roman"/>
          <w:sz w:val="20"/>
        </w:rPr>
        <w:t xml:space="preserve"> </w:t>
      </w:r>
      <w:r>
        <w:rPr>
          <w:rFonts w:ascii="Times New Roman" w:hAnsi="Times New Roman"/>
          <w:b w:val="false"/>
          <w:sz w:val="16"/>
        </w:rPr>
        <w:t>due primarily to lower average outstanding debt during the three months ended March 31, 2022 compared to the three months ended March 31, 2021. Base management fees declined from $1.4 million for the three months ended March 31, 2021 to $1.0 million for the three months ended March 31, 2022, due to lower average assets under management. Administrative services fees declined from $0.4 million for the three months ended March 31, 2021 to $0.1 million for the three months ended March 31, 2022, due to efficiencies generated by the size and scale of the Investment Advisor's platform. General and administrative expenses increased</w:t>
      </w:r>
      <w:r>
        <w:rPr>
          <w:rFonts w:ascii="Times New Roman" w:hAnsi="Times New Roman"/>
          <w:sz w:val="20"/>
        </w:rPr>
        <w:t xml:space="preserve"> </w:t>
      </w:r>
      <w:r>
        <w:rPr>
          <w:rFonts w:ascii="Times New Roman" w:hAnsi="Times New Roman"/>
          <w:b w:val="false"/>
          <w:sz w:val="16"/>
        </w:rPr>
        <w:t>from $0.8 million for the three months ended March 31, 2021 to $1.0 million for the three months ended March 31, 2022, primarily due to accelerated one-time prepaid financing costs during the three months ended March 31, 2022 as well as higher professional fees.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Net realized loss on sales of investments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During the three months ended March</w:t>
      </w:r>
      <w:r>
        <w:rPr>
          <w:rFonts w:ascii="Times New Roman" w:hAnsi="Times New Roman"/>
          <w:sz w:val="20"/>
        </w:rPr>
        <w:t xml:space="preserve"> </w:t>
      </w:r>
      <w:r>
        <w:rPr>
          <w:rFonts w:ascii="Times New Roman" w:hAnsi="Times New Roman"/>
          <w:b w:val="false"/>
          <w:sz w:val="16"/>
        </w:rPr>
        <w:t>31, 2022, we recognized $36 thousand of net realized losses on our portfolio investments. During the three months ended March 31, 2021 we recognized $14.0 million of net realized losses on our portfolio investments.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Net unrealized appreciation (depreciation) on investments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Net change in unrealized (depreciation) appreciation on investments reflects the net change in the fair value of our investment portfolio. For the three months ended March 31, 2022 and 2021, we recognized $0.2 million and $27.2 million of net change in unrealized appreciation investments, respectively.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16"/>
        </w:rPr>
      </w:pPr>
      <w:r>
        <w:rPr>
          <w:rFonts w:ascii="Times New Roman" w:hAnsi="Times New Roman"/>
          <w:b/>
          <w:i/>
          <w:sz w:val="16"/>
        </w:rPr>
        <w:t>Changes in net assets resulting from operations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For the three months ended March 31, 2022, we recorded a net decrease in net assets resulting from operations of $0.9 million. Based on the weighted average shares of common stock outstanding for the three months March 31, 2022, our per share net decrease in net assets resulting from operations was $0.32.</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For the three months ended March 31, 2021, we recorded a net increase in net assets resulting from operations of $12.4 million. Based on the weighted average shares of common stock outstanding for the three months ended March 31, 2021, our per share net increase in net assets resulting from operations was $4.56.</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Financial Condition, Liquidity and Capital Resources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We use and intend to use existing cash primarily to originate investments in new and existing portfolio companies, pay distributions to our stockholders, and repay indebtedness.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Since our IPO, we have raised approximately $136.0 million in net proceeds from equity offerings through March 31, 2022.</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KeyBank Credit Facility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October 30, 2020, Capitala Business Lending, LLC ("CBL"), a direct, wholly owned, consolidated subsidiary of the Company, entered into a senior secured revolving credit agreement (the “KeyBank Credit Facility") with the Company’s investment adviser at the time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On January 1, 2021, the KeyBank Credit Facility was amended to replace the collateral manager with the Company’s Investment Advisor.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default. Borrowings under the KeyBank Credit Facility bear interest at one- month LIBOR plus 3.5%. The KeyBank Credit Facility includes customary affirmative and negative covenants, including certain limitations on the incurrence of additional indebtedness and liens, as well as usual and customary events of default for revolving credit facilities of this nature. As of March 31, 2022, there were no outstanding draws on the KeyBank Credit Facility.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2026 Notes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 xml:space="preserve">On October 29, 2021, we issued $50.0 million in aggregate principal amount of 5.25% fixed rate notes due October 30, 2026 (the "2026 Notes") at 98.00%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Times New Roman" w:hAnsi="Times New Roman"/>
          <w:b w:val="false"/>
          <w:i/>
          <w:sz w:val="16"/>
        </w:rPr>
        <w:t>pari passu</w:t>
      </w:r>
      <w:r>
        <w:rPr>
          <w:rFonts w:ascii="Times New Roman" w:hAnsi="Times New Roman"/>
          <w:sz w:val="20"/>
        </w:rPr>
        <w:t xml:space="preserve"> </w:t>
      </w:r>
      <w:r>
        <w:rPr>
          <w:rFonts w:ascii="Times New Roman" w:hAnsi="Times New Roman"/>
          <w:b w:val="false"/>
          <w:sz w:val="16"/>
        </w:rPr>
        <w:t>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of March 31, 2022, the Company had approximately</w:t>
      </w:r>
      <w:r>
        <w:rPr>
          <w:rFonts w:ascii="Times New Roman" w:hAnsi="Times New Roman"/>
          <w:sz w:val="20"/>
        </w:rPr>
        <w:t xml:space="preserve"> </w:t>
      </w:r>
      <w:r>
        <w:rPr>
          <w:rFonts w:ascii="Times New Roman" w:hAnsi="Times New Roman"/>
          <w:b w:val="false"/>
          <w:sz w:val="16"/>
        </w:rPr>
        <w:t>$50.0 million in aggregate principal amount of 2026 Notes outstanding.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2022 Notes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November 1, 2021, the Company notified the Trustee for the Company's 2022 Notes, of the Company's election to redeem $50.0 million aggregate principal amount of the 2022 Notes outstanding. The redemption was completed on December 6, 2021. As of March 31, 2022, the Company had approximately</w:t>
      </w:r>
      <w:r>
        <w:rPr>
          <w:rFonts w:ascii="Times New Roman" w:hAnsi="Times New Roman"/>
          <w:sz w:val="20"/>
        </w:rPr>
        <w:t xml:space="preserve"> </w:t>
      </w:r>
      <w:r>
        <w:rPr>
          <w:rFonts w:ascii="Times New Roman" w:hAnsi="Times New Roman"/>
          <w:b w:val="false"/>
          <w:sz w:val="16"/>
        </w:rPr>
        <w:t>$22.8 million in aggregate principal amount of 2022 Notes outstanding.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2022 Convertible Notes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 As of March 31, 2022, the Company had approximately $52.1 million in aggregate principal amount of 2022 Convertible Notes outstanding.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Bond Repurchase Program</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July 30, 2020, the Board approved a bond repurchase program which authorizes the Company to repurchase up to an aggregate of $10.0 million worth of the Company's outstanding 2022 Notes and/or 2022 Convertible Notes (the "Bond Repurchase Program"). The Bond Repurchase Program expired on July 30, 2021. During the three months ended March 31, 2021, the Company did not purchase any of the 2022 Notes or the 2022 Convertible Notes.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Asset Coverage Ratio</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We are only allowed to borrow money such that our asset coverage, as defined in the 1940 Act, equals at least 150% if certain requirements are met, after such borrowing, with certain limited exceptions. As of March 31, 2022, our asset coverage ratio was 184%. If our asset coverage ratio falls below 150% due a decline in the fair market of our portfolio, we may be limited in our ability to raise additional debt.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Cash and Cash Equivalents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of March 31, 2022, we had $15.8 million in cash and cash equivalents.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Contractual Obligations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 summary of our significant contractual payment obligations as of March 31, 2022 are as follows (dollars in millions):</w:t>
      </w:r>
    </w:p>
    <w:p>
      <w:pPr>
        <w:pStyle w:val="TextBody"/>
        <w:spacing w:lineRule="auto" w:line="273" w:before="0" w:after="0"/>
        <w:jc w:val="left"/>
        <w:rPr/>
      </w:pPr>
      <w:r>
        <w:rPr/>
        <w:t> </w:t>
      </w:r>
    </w:p>
    <w:tbl>
      <w:tblPr>
        <w:tblW w:w="6809" w:type="dxa"/>
        <w:jc w:val="left"/>
        <w:tblInd w:w="0" w:type="dxa"/>
        <w:tblCellMar>
          <w:top w:w="28" w:type="dxa"/>
          <w:left w:w="28" w:type="dxa"/>
          <w:bottom w:w="28" w:type="dxa"/>
          <w:right w:w="28" w:type="dxa"/>
        </w:tblCellMar>
      </w:tblPr>
      <w:tblGrid>
        <w:gridCol w:w="2161"/>
        <w:gridCol w:w="146"/>
        <w:gridCol w:w="196"/>
        <w:gridCol w:w="421"/>
        <w:gridCol w:w="146"/>
        <w:gridCol w:w="146"/>
        <w:gridCol w:w="196"/>
        <w:gridCol w:w="346"/>
        <w:gridCol w:w="146"/>
        <w:gridCol w:w="146"/>
        <w:gridCol w:w="196"/>
        <w:gridCol w:w="421"/>
        <w:gridCol w:w="146"/>
        <w:gridCol w:w="146"/>
        <w:gridCol w:w="239"/>
        <w:gridCol w:w="421"/>
        <w:gridCol w:w="146"/>
        <w:gridCol w:w="146"/>
        <w:gridCol w:w="196"/>
        <w:gridCol w:w="511"/>
        <w:gridCol w:w="19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11" w:type="dxa"/>
            <w:gridSpan w:val="1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Contractual Obligations Payments Due by 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1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Less</w:t>
              <w:br/>
              <w:t>Than</w:t>
              <w:b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1 – 3</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1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3 – 5</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More</w:t>
              <w:br/>
              <w:t>Than</w:t>
              <w:br/>
              <w:t>5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6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2022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2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16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2022 Convertible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52.1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16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2026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16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Contractual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2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74.9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3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2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2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51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124.9</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Distributions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the first quarter of 2022 and 2021.</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Company's Board determined not to declare a distribution for any quarter of 2021 and through March 31, 2022.</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Tax characteristics of all distributions paid are reported to stockholders on Form 1099 after the end of the calendar year. There were no distributions for the year ended December 31, 2021. Distributions may be subject to reclassification based on future dividends and operating results and will not be determined until the end of the year.</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Related Parties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July 1, 2021, we entered into the Investment Advisory Agreement with the Investment Advisor. The Company is externally managed by the Investment Advisor, an affiliate of BC Partners, pursuant to the Investment Advisory Agreement. Mr. Goldthorpe, an interested member of the Board, has a direct or indirect pecuniary interest in the Investment Advisor. The Investment Advisor is a registered investment adviser under the Investment Advisers Act of 1940, as amended. The Investment Advisor is an affiliate of BC Partners Advisors L.P. for U.S. regulatory purposes. Mount Logan Capital Inc. is the ultimate control person of the Investment Advisor.</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Under the Investment Advisory Agreement, fees payable to the Investment Advisor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October 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 Under the terms of the exemptive order, in order for Logan Ridge to participate in a co-investment transaction, a "required majority" (as defined in Section 57(0)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 Administration Agreement with our current Administrator, BC Partners Management LLC. Pursuant to the terms of the Administration Agreement, our Administrator provides us with the office facilities and administrative services necessary to conduct our day-to-day operations.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r>
        <w:rPr>
          <w:rFonts w:ascii="Times New Roman" w:hAnsi="Times New Roman"/>
          <w:b/>
          <w:sz w:val="16"/>
        </w:rPr>
        <w:t>Off-Balance Sheet Arrangements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As of March 31, 2022, the Company had outstanding unfunded commitments related to debt investments in existing portfolio companies of $0.4 million to American Academy Holdings, LLC, $4.7 million to Accordion Partners LLC, $0.9 million to Bradshaw International, Inc., $3.1 million to Critical Nurse Staffing, LLC, $0.9 million to Keg Logistics LLC, $1.5 million to Premiere Imaging, LLC, and $3.0 million to Wealth Enhancement Group, LLC. As of December 31, 2021, the Company had outstanding unfunded commitments related to debt investments in existing portfolio companies of $9.0 million to Accordion Partners LLC, $0.7 million to Bradshaw International, Inc., $3.1 million to Critical Nursing Staffing, Inc., $3.5 million to J5 Infrastructure Partners, LLC, $0.9 million to Keg Logistics LLC, $2.5 million to Marble Point Credit Management LLC, $1.9 million to Premiere Imaging, LLC, and $3.5 million to Wealth Enhancement Group, LLC.</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Recent Developments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On April 1, 2022, the Company entered into a Note Purchase Agreement (the “Purchase Agreement”) governing the issuance of $15.0 million in aggregate principal amount of 5.25% Convertible Notes due 2032 (the “Convertible Notes”) in a transaction exempt from registration pursuant to Section 4(a)(2) of the Securities Act. The Convertible Notes have not been registered under the Securities Act or any state securities laws and may not be reoffered or resold in the United States absent registration or an applicable exemption from such registration requirements. The Convertible Notes were delivered and paid for on April 1, 2022. The Convertible Notes will mature on April 1, 2032 (the “Maturity Date”). The net proceeds to the Company were $13,650,000, after deducting estimated offering expenses. Capitalized terms used but not defined herein have the meanings ascribed to them in the Purchase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Company obtained an Investment Grade rating from a Nationally Recognized Statistical Rating Organization (“NRSRO”) with respect to the Convertible Notes. The Convertible Notes have a fixed interest rate of 5.25% per annum payable semi-annually on March 31 and September 30 of each year, commencing on September 30, 2022, subject to a step up of 0.75% per annum to the extent that the Convertible Notes are downgraded below Investment Grade by an NRSRO or the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Convertible Notes for general corporate purposes, which may include repaying outstanding indebtedness, making opportunistic investments and paying corporate expenses. In addition, on the occurrence of a Change in Control Repurchase Event or Delisting Event, the Company will generally be required to make an offer to purchase the outstanding Convertible Notes at a price equal to 100% of the principal amount of such Convertible Notes plus accrued and unpaid interest to the repurchase date.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On May 10, 2022, CBL, a direct, wholly owned, consolidated subsidiary of the Company, amended its existing senior secured revolving credit agreement (the “Amended KeyBank Credit Facility"), dated as of October 30, 2020 (and amended as of July 1, 2021) with the Investment Advisor as collateral manager, the lenders from time to time parties thereto (each a “Lender”), KeyBank National Association, as administrative agent, and U.S. Bank National Association, as custodian. Under the Amended KeyBank Credit Facility, the Lender agreed to extend credit to CBL in an initial commitment equal to an aggregate principal amount of $75.0 million. CBL may borrow up to an additional $125.0 million through an incremental uncommitted accordion feature in accordance with the terms and in the manner described in the Amended KeyBank Credit Facility.</w:t>
        <w:br/>
      </w:r>
      <w:r>
        <w:rPr>
          <w:rFonts w:ascii="Times New Roman" w:hAnsi="Times New Roman"/>
          <w:sz w:val="20"/>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period during which the Lender may make loans to CBL under the Amended KeyBank Credit Facility and will continue through May 12, 2025, unless there is an earlier termination or event of default (the “Commitment Termination Date”). The Amended KeyBank Credit Facility will mature on May 10, 2027, unless there is an earlier termination or event of default. Borrowings under the Amended KeyBank Credit Facility will bear interest at a floating forward-looking term rate equal to term SOFR plus an applicable margin of 2.90% until the Commitment Termination Date and 3.25% thereafter. The Company will also pay an unused commitment fee, depending on the level of utilization, at a rate of 1.00%, 0.65%, or 0.35% per annum on the unutilized portion of the aggregate commitments under the Amended KeyBank Credit Facility.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bookmarkStart w:id="10" w:name="item_3_quantitative_and_qualitative"/>
      <w:bookmarkEnd w:id="10"/>
      <w:r>
        <w:rPr>
          <w:rFonts w:ascii="Times New Roman" w:hAnsi="Times New Roman"/>
          <w:b/>
          <w:sz w:val="16"/>
        </w:rPr>
        <w:t>Item 3. Quantitative and Qualitative Disclosures About Market Risk</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three months ended March 31, 2022, we did not engage in hedging activities.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of March 31, 2022, we held 28 securities bearing a variable rate of interest. Our variable rate investments represent approximately</w:t>
      </w:r>
      <w:r>
        <w:rPr>
          <w:rFonts w:ascii="Times New Roman" w:hAnsi="Times New Roman"/>
          <w:sz w:val="20"/>
        </w:rPr>
        <w:t xml:space="preserve"> </w:t>
      </w:r>
      <w:r>
        <w:rPr>
          <w:rFonts w:ascii="Times New Roman" w:hAnsi="Times New Roman"/>
          <w:b w:val="false"/>
          <w:sz w:val="16"/>
        </w:rPr>
        <w:t>75.7% of the fair value of our total debt investments. As of March 31, 2022, 100.0% of the variable rate securities were yielding interest at a rate equal to the established interest rate floor. As of March 31, 2022, we had nothing outstanding on our KeyBank Credit Facility, which has a variable rate of interest at one-month LIBOR + 3.5%. Our KeyBank Credit Facility is subject to an interest rate floor such that the minimum interest rate is 4.25%. As of March 31, 2022, all of our other interest paying liabilities, consisting of $22.8 million in 2022 Notes, $52.1 million in 2022 Convertible Notes and $50.0 million in 2026 Notes were bearing interest at a fixed rate.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Based on our March 31, 2022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tbl>
      <w:tblPr>
        <w:tblW w:w="6689" w:type="dxa"/>
        <w:jc w:val="left"/>
        <w:tblInd w:w="0" w:type="dxa"/>
        <w:tblCellMar>
          <w:top w:w="28" w:type="dxa"/>
          <w:left w:w="28" w:type="dxa"/>
          <w:bottom w:w="28" w:type="dxa"/>
          <w:right w:w="28" w:type="dxa"/>
        </w:tblCellMar>
      </w:tblPr>
      <w:tblGrid>
        <w:gridCol w:w="1696"/>
        <w:gridCol w:w="598"/>
        <w:gridCol w:w="1562"/>
        <w:gridCol w:w="166"/>
        <w:gridCol w:w="449"/>
        <w:gridCol w:w="796"/>
        <w:gridCol w:w="146"/>
        <w:gridCol w:w="295"/>
        <w:gridCol w:w="770"/>
        <w:gridCol w:w="211"/>
      </w:tblGrid>
      <w:tr>
        <w:trPr/>
        <w:tc>
          <w:tcPr>
            <w:tcW w:w="169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6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Basis Point Change</w:t>
            </w:r>
          </w:p>
        </w:tc>
        <w:tc>
          <w:tcPr>
            <w:tcW w:w="21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Increase</w:t>
              <w:br/>
              <w:t>(decrease) in interest 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(Increase)</w:t>
              <w:br/>
              <w:t>decrease in</w:t>
              <w:br/>
              <w:t>interest expense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Increase</w:t>
              <w:br/>
              <w:t xml:space="preserve">(decrease) in </w:t>
              <w:br/>
              <w:t>net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6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Up 300 basis points</w:t>
            </w:r>
          </w:p>
        </w:tc>
        <w:tc>
          <w:tcPr>
            <w:tcW w:w="59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56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2,258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4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7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2,258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6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Up 200 basis points</w:t>
            </w:r>
          </w:p>
        </w:tc>
        <w:tc>
          <w:tcPr>
            <w:tcW w:w="598" w:type="dxa"/>
            <w:tcBorders/>
            <w:shd w:fill="auto" w:val="clear"/>
            <w:vAlign w:val="center"/>
          </w:tcPr>
          <w:p>
            <w:pPr>
              <w:pStyle w:val="TableContents"/>
              <w:spacing w:lineRule="auto" w:line="252" w:before="0" w:after="0"/>
              <w:ind w:left="0" w:right="0" w:hanging="0"/>
              <w:jc w:val="left"/>
              <w:rPr/>
            </w:pPr>
            <w:r>
              <w:rPr/>
              <w:t> </w:t>
            </w:r>
          </w:p>
        </w:tc>
        <w:tc>
          <w:tcPr>
            <w:tcW w:w="156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49"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77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1,374</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6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Up 100 basis points</w:t>
            </w:r>
          </w:p>
        </w:tc>
        <w:tc>
          <w:tcPr>
            <w:tcW w:w="598" w:type="dxa"/>
            <w:tcBorders/>
            <w:shd w:fill="auto" w:val="clear"/>
            <w:vAlign w:val="center"/>
          </w:tcPr>
          <w:p>
            <w:pPr>
              <w:pStyle w:val="TableContents"/>
              <w:spacing w:lineRule="auto" w:line="252" w:before="0" w:after="0"/>
              <w:ind w:left="0" w:right="0" w:hanging="0"/>
              <w:jc w:val="left"/>
              <w:rPr/>
            </w:pPr>
            <w:r>
              <w:rPr/>
              <w:t> </w:t>
            </w:r>
          </w:p>
        </w:tc>
        <w:tc>
          <w:tcPr>
            <w:tcW w:w="156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49"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77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605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6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Down 100 basis points</w:t>
            </w:r>
          </w:p>
        </w:tc>
        <w:tc>
          <w:tcPr>
            <w:tcW w:w="598" w:type="dxa"/>
            <w:tcBorders/>
            <w:shd w:fill="auto" w:val="clear"/>
            <w:vAlign w:val="center"/>
          </w:tcPr>
          <w:p>
            <w:pPr>
              <w:pStyle w:val="TableContents"/>
              <w:spacing w:lineRule="auto" w:line="252" w:before="0" w:after="0"/>
              <w:ind w:left="0" w:right="0" w:hanging="0"/>
              <w:jc w:val="left"/>
              <w:rPr/>
            </w:pPr>
            <w:r>
              <w:rPr/>
              <w:t> </w:t>
            </w:r>
          </w:p>
        </w:tc>
        <w:tc>
          <w:tcPr>
            <w:tcW w:w="156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49"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77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(135</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6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Down 200 basis points</w:t>
            </w:r>
          </w:p>
        </w:tc>
        <w:tc>
          <w:tcPr>
            <w:tcW w:w="598" w:type="dxa"/>
            <w:tcBorders/>
            <w:shd w:fill="auto" w:val="clear"/>
            <w:vAlign w:val="center"/>
          </w:tcPr>
          <w:p>
            <w:pPr>
              <w:pStyle w:val="TableContents"/>
              <w:spacing w:lineRule="auto" w:line="252" w:before="0" w:after="0"/>
              <w:ind w:left="0" w:right="0" w:hanging="0"/>
              <w:jc w:val="left"/>
              <w:rPr/>
            </w:pPr>
            <w:r>
              <w:rPr/>
              <w:t> </w:t>
            </w:r>
          </w:p>
        </w:tc>
        <w:tc>
          <w:tcPr>
            <w:tcW w:w="156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49"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77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(135</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6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Down 300 basis points</w:t>
            </w:r>
          </w:p>
        </w:tc>
        <w:tc>
          <w:tcPr>
            <w:tcW w:w="598" w:type="dxa"/>
            <w:tcBorders/>
            <w:shd w:fill="auto" w:val="clear"/>
            <w:vAlign w:val="center"/>
          </w:tcPr>
          <w:p>
            <w:pPr>
              <w:pStyle w:val="TableContents"/>
              <w:spacing w:lineRule="auto" w:line="252" w:before="0" w:after="0"/>
              <w:ind w:left="0" w:right="0" w:hanging="0"/>
              <w:jc w:val="left"/>
              <w:rPr/>
            </w:pPr>
            <w:r>
              <w:rPr/>
              <w:t> </w:t>
            </w:r>
          </w:p>
        </w:tc>
        <w:tc>
          <w:tcPr>
            <w:tcW w:w="1562"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449"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770"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(135</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bookmarkStart w:id="11" w:name="item_4_controls_and_procedures"/>
      <w:bookmarkEnd w:id="11"/>
      <w:r>
        <w:rPr>
          <w:rFonts w:ascii="Times New Roman" w:hAnsi="Times New Roman"/>
          <w:b/>
          <w:sz w:val="16"/>
        </w:rPr>
        <w:t>Item 4. Controls and Procedures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(a)</w:t>
      </w:r>
    </w:p>
    <w:p>
      <w:pPr>
        <w:pStyle w:val="TextBody"/>
        <w:spacing w:lineRule="auto" w:line="273"/>
        <w:jc w:val="both"/>
        <w:rPr>
          <w:rFonts w:ascii="Times New Roman" w:hAnsi="Times New Roman"/>
          <w:b/>
          <w:i/>
          <w:sz w:val="16"/>
        </w:rPr>
      </w:pPr>
      <w:r>
        <w:rPr>
          <w:rFonts w:ascii="Times New Roman" w:hAnsi="Times New Roman"/>
          <w:b/>
          <w:i/>
          <w:sz w:val="16"/>
        </w:rPr>
        <w:t>Evaluation of Disclosure Controls and Procedures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As of March 31, 2022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i/>
          <w:sz w:val="16"/>
        </w:rPr>
      </w:pPr>
      <w:r>
        <w:rPr>
          <w:rFonts w:ascii="Times New Roman" w:hAnsi="Times New Roman"/>
          <w:b/>
          <w:i/>
          <w:sz w:val="16"/>
        </w:rPr>
        <w:t>(b)</w:t>
      </w:r>
    </w:p>
    <w:p>
      <w:pPr>
        <w:pStyle w:val="TextBody"/>
        <w:spacing w:lineRule="auto" w:line="273"/>
        <w:jc w:val="both"/>
        <w:rPr>
          <w:rFonts w:ascii="Times New Roman" w:hAnsi="Times New Roman"/>
          <w:b/>
          <w:i/>
          <w:sz w:val="16"/>
        </w:rPr>
      </w:pPr>
      <w:r>
        <w:rPr>
          <w:rFonts w:ascii="Times New Roman" w:hAnsi="Times New Roman"/>
          <w:b/>
          <w:i/>
          <w:sz w:val="16"/>
        </w:rPr>
        <w:t>Changes in Internal Controls Over Financial Reporting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Management has not identified any change in the Company’s internal control over financial reporting that occurred during the first</w:t>
      </w:r>
      <w:r>
        <w:rPr>
          <w:rFonts w:ascii="Times New Roman" w:hAnsi="Times New Roman"/>
          <w:sz w:val="20"/>
        </w:rPr>
        <w:t xml:space="preserve"> </w:t>
      </w:r>
      <w:r>
        <w:rPr>
          <w:rFonts w:ascii="Times New Roman" w:hAnsi="Times New Roman"/>
          <w:b w:val="false"/>
          <w:sz w:val="16"/>
        </w:rPr>
        <w:t>quarter of 2022 that has materially affected, or is reasonably likely to materially affect, the Company’s internal control over financial reporting.</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bookmarkStart w:id="12" w:name="part_ii_other_information"/>
      <w:bookmarkEnd w:id="12"/>
      <w:r>
        <w:rPr>
          <w:rFonts w:ascii="Times New Roman" w:hAnsi="Times New Roman"/>
          <w:b/>
          <w:sz w:val="16"/>
        </w:rPr>
        <w:t>PART II. OTHER</w:t>
      </w:r>
      <w:r>
        <w:rPr>
          <w:rFonts w:ascii="Times New Roman" w:hAnsi="Times New Roman"/>
          <w:sz w:val="20"/>
        </w:rPr>
        <w:t xml:space="preserve"> </w:t>
      </w:r>
      <w:r>
        <w:rPr>
          <w:rFonts w:ascii="Times New Roman" w:hAnsi="Times New Roman"/>
          <w:b/>
          <w:sz w:val="16"/>
        </w:rPr>
        <w:t>INFORMATION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bookmarkStart w:id="13" w:name="item_1_legal_proceedings"/>
      <w:bookmarkEnd w:id="13"/>
      <w:r>
        <w:rPr>
          <w:rFonts w:ascii="Times New Roman" w:hAnsi="Times New Roman"/>
          <w:b/>
          <w:sz w:val="16"/>
        </w:rPr>
        <w:t>Item 1. Legal Proceedings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bookmarkStart w:id="14" w:name="item_1a_risk_factors"/>
      <w:bookmarkEnd w:id="14"/>
      <w:r>
        <w:rPr>
          <w:rFonts w:ascii="Times New Roman" w:hAnsi="Times New Roman"/>
          <w:b/>
          <w:sz w:val="16"/>
        </w:rPr>
        <w:t>Item 1A. Risk Factors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In addition to the other information set forth in this report, you should carefully consider the factors discussed in Part I, “Item 1A. Risk Factors” in our Annual Report on Form 10-K for the fiscal year ended December 31, 2021 (the “Annual Report on Form 10-K”), which could materially affect our business, financial condition and/or operating results.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the Annual Report on Form 10-K.</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bookmarkStart w:id="15" w:name="item_2_unregistered_sales_of_equity"/>
      <w:bookmarkEnd w:id="15"/>
      <w:r>
        <w:rPr>
          <w:rFonts w:ascii="Times New Roman" w:hAnsi="Times New Roman"/>
          <w:b/>
          <w:sz w:val="16"/>
        </w:rPr>
        <w:t>Item 2. Unregistered Sales of Equity Securities and Use of Proceeds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None.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16"/>
        </w:rPr>
      </w:pPr>
      <w:bookmarkStart w:id="16" w:name="item_3_defaults_upon_senior_securities"/>
      <w:bookmarkEnd w:id="16"/>
      <w:r>
        <w:rPr>
          <w:rFonts w:ascii="Times New Roman" w:hAnsi="Times New Roman"/>
          <w:b/>
          <w:sz w:val="16"/>
        </w:rPr>
        <w:t>Item 3. Defaults Upon Senior Securities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None.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sz w:val="16"/>
        </w:rPr>
      </w:pPr>
      <w:bookmarkStart w:id="17" w:name="item_4_mine_safety_disclosures"/>
      <w:bookmarkEnd w:id="17"/>
      <w:r>
        <w:rPr>
          <w:rFonts w:ascii="Times New Roman" w:hAnsi="Times New Roman"/>
          <w:b/>
          <w:sz w:val="16"/>
        </w:rPr>
        <w:t>Item 4. Mine Safety Disclosures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Not applicable.</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bookmarkStart w:id="18" w:name="item_5_other_information"/>
      <w:bookmarkEnd w:id="18"/>
      <w:r>
        <w:rPr>
          <w:rFonts w:ascii="Times New Roman" w:hAnsi="Times New Roman"/>
          <w:b/>
          <w:sz w:val="16"/>
        </w:rPr>
        <w:t>Item 5. Other</w:t>
      </w:r>
      <w:r>
        <w:rPr>
          <w:rFonts w:ascii="Times New Roman" w:hAnsi="Times New Roman"/>
          <w:sz w:val="20"/>
        </w:rPr>
        <w:t xml:space="preserve"> </w:t>
      </w:r>
      <w:r>
        <w:rPr>
          <w:rFonts w:ascii="Times New Roman" w:hAnsi="Times New Roman"/>
          <w:b/>
          <w:sz w:val="16"/>
        </w:rPr>
        <w:t>Information</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6"/>
        </w:rPr>
        <w:t>None.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6"/>
        </w:rPr>
      </w:pPr>
      <w:bookmarkStart w:id="19" w:name="item_6_exhibits"/>
      <w:bookmarkEnd w:id="19"/>
      <w:r>
        <w:rPr>
          <w:rFonts w:ascii="Times New Roman" w:hAnsi="Times New Roman"/>
          <w:b/>
          <w:sz w:val="16"/>
        </w:rPr>
        <w:t>Item 6. Exhibits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The following exhibits are filed as part of this report or hereby incorporated by reference to exhibits previously filed with the SEC:</w:t>
      </w:r>
    </w:p>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706"/>
        <w:gridCol w:w="146"/>
        <w:gridCol w:w="9353"/>
      </w:tblGrid>
      <w:tr>
        <w:trPr/>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53" w:type="dxa"/>
            <w:tcBorders/>
            <w:shd w:fill="auto" w:val="clear"/>
            <w:vAlign w:val="center"/>
          </w:tcPr>
          <w:p>
            <w:pPr>
              <w:pStyle w:val="TableContents"/>
              <w:spacing w:before="0" w:after="283"/>
              <w:rPr>
                <w:sz w:val="4"/>
                <w:szCs w:val="4"/>
              </w:rPr>
            </w:pPr>
            <w:r>
              <w:rPr>
                <w:sz w:val="4"/>
                <w:szCs w:val="4"/>
              </w:rPr>
            </w:r>
          </w:p>
        </w:tc>
      </w:tr>
      <w:tr>
        <w:trPr/>
        <w:tc>
          <w:tcPr>
            <w:tcW w:w="70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Exhibit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left"/>
              <w:rPr/>
            </w:pPr>
            <w:r>
              <w:rPr/>
              <w:t> </w:t>
            </w:r>
          </w:p>
        </w:tc>
      </w:tr>
      <w:tr>
        <w:trPr/>
        <w:tc>
          <w:tcPr>
            <w:tcW w:w="70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Number</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53"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Description of Document</w:t>
            </w:r>
          </w:p>
        </w:tc>
      </w:tr>
      <w:tr>
        <w:trPr/>
        <w:tc>
          <w:tcPr>
            <w:tcW w:w="706" w:type="dxa"/>
            <w:tcBorders/>
            <w:shd w:fill="auto" w:val="clear"/>
            <w:vAlign w:val="center"/>
          </w:tcPr>
          <w:p>
            <w:pPr>
              <w:pStyle w:val="TableContents"/>
              <w:spacing w:lineRule="auto" w:line="252" w:before="0" w:after="0"/>
              <w:ind w:left="0" w:right="0" w:hanging="0"/>
              <w:jc w:val="left"/>
              <w:rPr/>
            </w:pPr>
            <w:hyperlink r:id="rId2">
              <w:r>
                <w:rPr>
                  <w:rStyle w:val="InternetLink"/>
                  <w:rFonts w:ascii="Times New Roman" w:hAnsi="Times New Roman"/>
                  <w:b w:val="false"/>
                  <w:sz w:val="16"/>
                  <w:u w:val="single"/>
                </w:rPr>
                <w:t>3.1</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r:id="rId3">
              <w:r>
                <w:rPr>
                  <w:rStyle w:val="InternetLink"/>
                  <w:rFonts w:ascii="Times New Roman" w:hAnsi="Times New Roman"/>
                  <w:b w:val="false"/>
                  <w:sz w:val="16"/>
                  <w:u w:val="single"/>
                </w:rPr>
                <w:t xml:space="preserve">Articles of Amendment and Restatement </w:t>
              </w:r>
            </w:hyperlink>
            <w:hyperlink r:id="rId4">
              <w:r>
                <w:rPr>
                  <w:rStyle w:val="InternetLink"/>
                  <w:rFonts w:ascii="Times New Roman" w:hAnsi="Times New Roman"/>
                  <w:b w:val="false"/>
                  <w:sz w:val="11"/>
                  <w:u w:val="single"/>
                </w:rPr>
                <w:t>(1)</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r:id="rId5">
              <w:r>
                <w:rPr>
                  <w:rStyle w:val="InternetLink"/>
                  <w:rFonts w:ascii="Times New Roman" w:hAnsi="Times New Roman"/>
                  <w:b w:val="false"/>
                  <w:sz w:val="16"/>
                  <w:u w:val="single"/>
                </w:rPr>
                <w:t>3.2</w:t>
              </w:r>
            </w:hyperlink>
          </w:p>
        </w:tc>
        <w:tc>
          <w:tcPr>
            <w:tcW w:w="146" w:type="dxa"/>
            <w:tcBorders/>
            <w:shd w:fill="auto" w:val="clear"/>
            <w:vAlign w:val="center"/>
          </w:tcPr>
          <w:p>
            <w:pPr>
              <w:pStyle w:val="TableContents"/>
              <w:spacing w:lineRule="auto" w:line="252" w:before="0" w:after="0"/>
              <w:ind w:left="0" w:right="0" w:hanging="0"/>
              <w:jc w:val="both"/>
              <w:rPr/>
            </w:pPr>
            <w:r>
              <w:rPr/>
              <w:t> </w:t>
            </w:r>
          </w:p>
        </w:tc>
        <w:tc>
          <w:tcPr>
            <w:tcW w:w="9353" w:type="dxa"/>
            <w:tcBorders/>
            <w:shd w:fill="auto" w:val="clear"/>
            <w:vAlign w:val="center"/>
          </w:tcPr>
          <w:p>
            <w:pPr>
              <w:pStyle w:val="TableContents"/>
              <w:spacing w:lineRule="auto" w:line="252" w:before="0" w:after="0"/>
              <w:ind w:left="0" w:right="0" w:hanging="0"/>
              <w:jc w:val="both"/>
              <w:rPr/>
            </w:pPr>
            <w:hyperlink r:id="rId6">
              <w:r>
                <w:rPr>
                  <w:rStyle w:val="InternetLink"/>
                  <w:rFonts w:ascii="Times New Roman" w:hAnsi="Times New Roman"/>
                  <w:b w:val="false"/>
                  <w:sz w:val="16"/>
                  <w:u w:val="single"/>
                </w:rPr>
                <w:t xml:space="preserve">Articles of Amendment </w:t>
              </w:r>
            </w:hyperlink>
            <w:hyperlink r:id="rId7">
              <w:r>
                <w:rPr>
                  <w:rStyle w:val="InternetLink"/>
                  <w:rFonts w:ascii="Times New Roman" w:hAnsi="Times New Roman"/>
                  <w:b w:val="false"/>
                  <w:sz w:val="11"/>
                  <w:u w:val="single"/>
                </w:rPr>
                <w:t>(4)</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r:id="rId8">
              <w:r>
                <w:rPr>
                  <w:rStyle w:val="InternetLink"/>
                  <w:rFonts w:ascii="Times New Roman" w:hAnsi="Times New Roman"/>
                  <w:b w:val="false"/>
                  <w:sz w:val="16"/>
                  <w:u w:val="single"/>
                </w:rPr>
                <w:t>3.3</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r:id="rId9">
              <w:r>
                <w:rPr>
                  <w:rStyle w:val="InternetLink"/>
                  <w:rFonts w:ascii="Times New Roman" w:hAnsi="Times New Roman"/>
                  <w:b w:val="false"/>
                  <w:sz w:val="16"/>
                  <w:u w:val="single"/>
                </w:rPr>
                <w:t xml:space="preserve">Certificate of Limited Partnership of CapitalSouth Partners Fund II Limited Partnership </w:t>
              </w:r>
            </w:hyperlink>
            <w:hyperlink r:id="rId10">
              <w:r>
                <w:rPr>
                  <w:rStyle w:val="InternetLink"/>
                  <w:rFonts w:ascii="Times New Roman" w:hAnsi="Times New Roman"/>
                  <w:b w:val="false"/>
                  <w:sz w:val="11"/>
                  <w:u w:val="single"/>
                </w:rPr>
                <w:t>(2)</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r:id="rId11">
              <w:r>
                <w:rPr>
                  <w:rStyle w:val="InternetLink"/>
                  <w:rFonts w:ascii="Times New Roman" w:hAnsi="Times New Roman"/>
                  <w:b w:val="false"/>
                  <w:sz w:val="16"/>
                  <w:u w:val="single"/>
                </w:rPr>
                <w:t>3.4</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r:id="rId12">
              <w:r>
                <w:rPr>
                  <w:rStyle w:val="InternetLink"/>
                  <w:rFonts w:ascii="Times New Roman" w:hAnsi="Times New Roman"/>
                  <w:b w:val="false"/>
                  <w:sz w:val="16"/>
                  <w:u w:val="single"/>
                </w:rPr>
                <w:t xml:space="preserve">Certificate of Limited Partnership of CapitalSouth Fund III, L.P. (f/k/a CapitalSouth Partners SBIC Fund III, L.P.) </w:t>
              </w:r>
            </w:hyperlink>
            <w:hyperlink r:id="rId13">
              <w:r>
                <w:rPr>
                  <w:rStyle w:val="InternetLink"/>
                  <w:rFonts w:ascii="Times New Roman" w:hAnsi="Times New Roman"/>
                  <w:b w:val="false"/>
                  <w:sz w:val="11"/>
                  <w:u w:val="single"/>
                </w:rPr>
                <w:t>(2)</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r:id="rId14">
              <w:r>
                <w:rPr>
                  <w:rStyle w:val="InternetLink"/>
                  <w:rFonts w:ascii="Times New Roman" w:hAnsi="Times New Roman"/>
                  <w:b w:val="false"/>
                  <w:sz w:val="16"/>
                  <w:u w:val="single"/>
                </w:rPr>
                <w:t>3.5</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r:id="rId15">
              <w:r>
                <w:rPr>
                  <w:rStyle w:val="InternetLink"/>
                  <w:rFonts w:ascii="Times New Roman" w:hAnsi="Times New Roman"/>
                  <w:b w:val="false"/>
                  <w:sz w:val="16"/>
                  <w:u w:val="single"/>
                </w:rPr>
                <w:t xml:space="preserve">Bylaws </w:t>
              </w:r>
            </w:hyperlink>
            <w:hyperlink r:id="rId16">
              <w:r>
                <w:rPr>
                  <w:rStyle w:val="InternetLink"/>
                  <w:rFonts w:ascii="Times New Roman" w:hAnsi="Times New Roman"/>
                  <w:b w:val="false"/>
                  <w:sz w:val="11"/>
                  <w:u w:val="single"/>
                </w:rPr>
                <w:t>(1)</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r:id="rId17">
              <w:r>
                <w:rPr>
                  <w:rStyle w:val="InternetLink"/>
                  <w:rFonts w:ascii="Times New Roman" w:hAnsi="Times New Roman"/>
                  <w:b w:val="false"/>
                  <w:sz w:val="16"/>
                  <w:u w:val="single"/>
                </w:rPr>
                <w:t>3.6</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r:id="rId18">
              <w:r>
                <w:rPr>
                  <w:rStyle w:val="InternetLink"/>
                  <w:rFonts w:ascii="Times New Roman" w:hAnsi="Times New Roman"/>
                  <w:b w:val="false"/>
                  <w:sz w:val="16"/>
                  <w:u w:val="single"/>
                </w:rPr>
                <w:t xml:space="preserve">Form of Amended and Restated Limited Partnership Agreement of CapitalSouth Partners Fund II Limited Partnership </w:t>
              </w:r>
            </w:hyperlink>
            <w:hyperlink r:id="rId19">
              <w:r>
                <w:rPr>
                  <w:rStyle w:val="InternetLink"/>
                  <w:rFonts w:ascii="Times New Roman" w:hAnsi="Times New Roman"/>
                  <w:b w:val="false"/>
                  <w:sz w:val="11"/>
                  <w:u w:val="single"/>
                </w:rPr>
                <w:t>(3)</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r:id="rId20">
              <w:r>
                <w:rPr>
                  <w:rStyle w:val="InternetLink"/>
                  <w:rFonts w:ascii="Times New Roman" w:hAnsi="Times New Roman"/>
                  <w:b w:val="false"/>
                  <w:sz w:val="16"/>
                  <w:u w:val="single"/>
                </w:rPr>
                <w:t>3.7</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r:id="rId21">
              <w:r>
                <w:rPr>
                  <w:rStyle w:val="InternetLink"/>
                  <w:rFonts w:ascii="Times New Roman" w:hAnsi="Times New Roman"/>
                  <w:b w:val="false"/>
                  <w:sz w:val="16"/>
                  <w:u w:val="single"/>
                </w:rPr>
                <w:t xml:space="preserve">Form of Amended and Restated Agreement of Limited Partnership of Certificate of Limited Partnership of CapitalSouth Fund III, L.P. (f/k/a CapitalSouth Partners SBIC Fund III, L.P.) </w:t>
              </w:r>
            </w:hyperlink>
            <w:hyperlink r:id="rId22">
              <w:r>
                <w:rPr>
                  <w:rStyle w:val="InternetLink"/>
                  <w:rFonts w:ascii="Times New Roman" w:hAnsi="Times New Roman"/>
                  <w:b w:val="false"/>
                  <w:sz w:val="11"/>
                  <w:u w:val="single"/>
                </w:rPr>
                <w:t>(3)</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left"/>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w:anchor="lrfc-ex31_1.htm">
              <w:r>
                <w:rPr>
                  <w:rStyle w:val="InternetLink"/>
                  <w:rFonts w:ascii="Times New Roman" w:hAnsi="Times New Roman"/>
                  <w:b w:val="false"/>
                  <w:sz w:val="16"/>
                  <w:u w:val="single"/>
                </w:rPr>
                <w:t>31.1</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w:anchor="lrfc-ex31_1.htm">
              <w:r>
                <w:rPr>
                  <w:rStyle w:val="InternetLink"/>
                  <w:rFonts w:ascii="Times New Roman" w:hAnsi="Times New Roman"/>
                  <w:b w:val="false"/>
                  <w:sz w:val="16"/>
                  <w:u w:val="single"/>
                </w:rPr>
                <w:t>Certification of Chief Executive Officer pursuant to Rule 13a-14 of the Securities Exchange Act of 1934, as adopted pursuant to Section 302 of the Sarbanes-Oxley Act of 2002 (filed herewith)</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w:anchor="lrfc-ex31_2.htm">
              <w:r>
                <w:rPr>
                  <w:rStyle w:val="InternetLink"/>
                  <w:rFonts w:ascii="Times New Roman" w:hAnsi="Times New Roman"/>
                  <w:b w:val="false"/>
                  <w:sz w:val="16"/>
                  <w:u w:val="single"/>
                </w:rPr>
                <w:t>31.2</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w:anchor="lrfc-ex31_2.htm">
              <w:r>
                <w:rPr>
                  <w:rStyle w:val="InternetLink"/>
                  <w:rFonts w:ascii="Times New Roman" w:hAnsi="Times New Roman"/>
                  <w:b w:val="false"/>
                  <w:sz w:val="16"/>
                  <w:u w:val="single"/>
                </w:rPr>
                <w:t>Certification of Chief Financial Officer pursuant to Rule 13a-14 of the Securities Exchange Act of 1934, as adopted pursuant to Section 302 of the Sarbanes-Oxley Act of 2002 (filed herewith)</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w:anchor="lrfc-ex32_1.htm">
              <w:r>
                <w:rPr>
                  <w:rStyle w:val="InternetLink"/>
                  <w:rFonts w:ascii="Times New Roman" w:hAnsi="Times New Roman"/>
                  <w:b w:val="false"/>
                  <w:sz w:val="16"/>
                  <w:u w:val="single"/>
                </w:rPr>
                <w:t>32.1</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w:anchor="lrfc-ex32_1.htm">
              <w:r>
                <w:rPr>
                  <w:rStyle w:val="InternetLink"/>
                  <w:rFonts w:ascii="Times New Roman" w:hAnsi="Times New Roman"/>
                  <w:b w:val="false"/>
                  <w:sz w:val="16"/>
                  <w:u w:val="single"/>
                </w:rPr>
                <w:t>Certification of Chief Executive Officer pursuant to 18 U.S.C. Section 1350, as adopted pursuant to section 906 of the Sarbanes-Oxley Act of 2002 (filed herewith)</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pPr>
            <w:hyperlink w:anchor="lrfc-ex32_2.htm">
              <w:r>
                <w:rPr>
                  <w:rStyle w:val="InternetLink"/>
                  <w:rFonts w:ascii="Times New Roman" w:hAnsi="Times New Roman"/>
                  <w:b w:val="false"/>
                  <w:sz w:val="16"/>
                  <w:u w:val="single"/>
                </w:rPr>
                <w:t>32.2</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hyperlink w:anchor="lrfc-ex32_2.htm">
              <w:r>
                <w:rPr>
                  <w:rStyle w:val="InternetLink"/>
                  <w:rFonts w:ascii="Times New Roman" w:hAnsi="Times New Roman"/>
                  <w:b w:val="false"/>
                  <w:sz w:val="16"/>
                  <w:u w:val="single"/>
                </w:rPr>
                <w:t>Certification of Chief Financial Officer pursuant to 18 U.S.C. Section 1350, as adopted pursuant to section 906 of the Sarbanes-Oxley Act of 2002 (filed herewith)</w:t>
              </w:r>
            </w:hyperlink>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rFonts w:ascii="Times New Roman" w:hAnsi="Times New Roman"/>
                <w:b w:val="false"/>
                <w:sz w:val="13"/>
              </w:rPr>
            </w:pP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Previously filed in connection with the Pre-Effective Amendment No. 1 to Logan Ridge Finance Corporation’s registration statement on Form N-2 (File No. 333-188956) filed on September 9, 2013.</w:t>
            </w:r>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rFonts w:ascii="Times New Roman" w:hAnsi="Times New Roman"/>
                <w:b w:val="false"/>
                <w:sz w:val="13"/>
              </w:rPr>
            </w:pPr>
            <w:r>
              <w:rPr>
                <w:rFonts w:ascii="Times New Roman" w:hAnsi="Times New Roman"/>
                <w:b w:val="false"/>
                <w:sz w:val="13"/>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Previously filed in connection with Pre-Effective Amendment No. 2 to Logan Ridge Finance Corporation’s registration statement on Form N-2 (File No. 333-188956) filed on September 17, 2013.</w:t>
            </w:r>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rFonts w:ascii="Times New Roman" w:hAnsi="Times New Roman"/>
                <w:b w:val="false"/>
                <w:sz w:val="13"/>
              </w:rPr>
            </w:pPr>
            <w:r>
              <w:rPr>
                <w:rFonts w:ascii="Times New Roman" w:hAnsi="Times New Roman"/>
                <w:b w:val="false"/>
                <w:sz w:val="13"/>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Previously filed in connection with Pre-Effective Amendment No. 5 to Logan Ridge Finance Corporation’s registration statement on Form N-2 (File No. 333-188956) filed on September 24, 2013.</w:t>
            </w:r>
          </w:p>
        </w:tc>
      </w:tr>
      <w:tr>
        <w:trPr/>
        <w:tc>
          <w:tcPr>
            <w:tcW w:w="7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pPr>
            <w:r>
              <w:rPr/>
              <w:t> </w:t>
            </w:r>
          </w:p>
        </w:tc>
      </w:tr>
      <w:tr>
        <w:trPr/>
        <w:tc>
          <w:tcPr>
            <w:tcW w:w="706" w:type="dxa"/>
            <w:tcBorders/>
            <w:shd w:fill="auto" w:val="clear"/>
            <w:vAlign w:val="center"/>
          </w:tcPr>
          <w:p>
            <w:pPr>
              <w:pStyle w:val="TableContents"/>
              <w:spacing w:lineRule="auto" w:line="252" w:before="0" w:after="0"/>
              <w:ind w:left="0" w:right="0" w:hanging="0"/>
              <w:jc w:val="left"/>
              <w:rPr>
                <w:rFonts w:ascii="Times New Roman" w:hAnsi="Times New Roman"/>
                <w:b w:val="false"/>
                <w:sz w:val="13"/>
              </w:rPr>
            </w:pPr>
            <w:r>
              <w:rPr>
                <w:rFonts w:ascii="Times New Roman" w:hAnsi="Times New Roman"/>
                <w:b w:val="false"/>
                <w:sz w:val="13"/>
              </w:rPr>
              <w:t>(4)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53"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Previously filed in connection with Logan Ridge Finance Corporation's report on Form 8-K on August 4, 2020.</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6"/>
        </w:rPr>
      </w:pPr>
      <w:bookmarkStart w:id="20" w:name="signatures"/>
      <w:bookmarkEnd w:id="20"/>
      <w:r>
        <w:rPr>
          <w:rFonts w:ascii="Times New Roman" w:hAnsi="Times New Roman"/>
          <w:b/>
          <w:sz w:val="16"/>
        </w:rPr>
        <w:t>SIGNATURES</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Pursuant to the requirements of the Securities Exchange Act of 1934, the registrant has duly caused this report to be signed on its behalf by the undersigned thereunto duly authorized.</w:t>
      </w:r>
    </w:p>
    <w:p>
      <w:pPr>
        <w:pStyle w:val="TextBody"/>
        <w:spacing w:lineRule="auto" w:line="273" w:before="0" w:after="0"/>
        <w:jc w:val="both"/>
        <w:rPr/>
      </w:pPr>
      <w:r>
        <w:rPr/>
        <w:t> </w:t>
      </w:r>
    </w:p>
    <w:tbl>
      <w:tblPr>
        <w:tblW w:w="4638" w:type="dxa"/>
        <w:jc w:val="left"/>
        <w:tblInd w:w="0" w:type="dxa"/>
        <w:tblCellMar>
          <w:top w:w="28" w:type="dxa"/>
          <w:left w:w="28" w:type="dxa"/>
          <w:bottom w:w="28" w:type="dxa"/>
          <w:right w:w="28" w:type="dxa"/>
        </w:tblCellMar>
      </w:tblPr>
      <w:tblGrid>
        <w:gridCol w:w="1516"/>
        <w:gridCol w:w="346"/>
        <w:gridCol w:w="2776"/>
      </w:tblGrid>
      <w:tr>
        <w:trPr/>
        <w:tc>
          <w:tcPr>
            <w:tcW w:w="151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Date:</w:t>
            </w:r>
            <w:r>
              <w:rPr>
                <w:rFonts w:ascii="Times New Roman" w:hAnsi="Times New Roman"/>
                <w:sz w:val="16"/>
              </w:rPr>
              <w:t> </w:t>
            </w:r>
            <w:r>
              <w:rPr>
                <w:rFonts w:ascii="Times New Roman" w:hAnsi="Times New Roman"/>
                <w:b w:val="false"/>
                <w:sz w:val="16"/>
              </w:rPr>
              <w:t>May 12, 2022</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By</w:t>
            </w:r>
            <w:r>
              <w:rPr>
                <w:rFonts w:ascii="Times New Roman" w:hAnsi="Times New Roman"/>
                <w:sz w:val="16"/>
              </w:rPr>
              <w:t xml:space="preserve"> </w:t>
            </w:r>
          </w:p>
        </w:tc>
        <w:tc>
          <w:tcPr>
            <w:tcW w:w="277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 Ted Goldthorpe</w:t>
            </w:r>
          </w:p>
        </w:tc>
      </w:tr>
      <w:tr>
        <w:trPr/>
        <w:tc>
          <w:tcPr>
            <w:tcW w:w="151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Ted Goldthorpe</w:t>
            </w:r>
          </w:p>
        </w:tc>
      </w:tr>
      <w:tr>
        <w:trPr/>
        <w:tc>
          <w:tcPr>
            <w:tcW w:w="151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Chief Executive Officer and President</w:t>
            </w:r>
          </w:p>
        </w:tc>
      </w:tr>
      <w:tr>
        <w:trPr/>
        <w:tc>
          <w:tcPr>
            <w:tcW w:w="151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i/>
                <w:sz w:val="16"/>
              </w:rPr>
            </w:pPr>
            <w:r>
              <w:rPr>
                <w:rFonts w:ascii="Times New Roman" w:hAnsi="Times New Roman"/>
                <w:b w:val="false"/>
                <w:i/>
                <w:sz w:val="16"/>
              </w:rPr>
              <w:t>(Principal Executive Officer)</w:t>
            </w:r>
          </w:p>
        </w:tc>
      </w:tr>
      <w:tr>
        <w:trPr/>
        <w:tc>
          <w:tcPr>
            <w:tcW w:w="151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Logan Ridge Finance Corporation</w:t>
            </w:r>
          </w:p>
        </w:tc>
      </w:tr>
      <w:tr>
        <w:trPr/>
        <w:tc>
          <w:tcPr>
            <w:tcW w:w="151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pPr>
            <w:r>
              <w:rPr/>
              <w:t> </w:t>
            </w:r>
          </w:p>
        </w:tc>
      </w:tr>
      <w:tr>
        <w:trPr/>
        <w:tc>
          <w:tcPr>
            <w:tcW w:w="151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Date: May 12, 2022</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By</w:t>
            </w:r>
          </w:p>
        </w:tc>
        <w:tc>
          <w:tcPr>
            <w:tcW w:w="277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 Jason Roos</w:t>
            </w:r>
          </w:p>
        </w:tc>
      </w:tr>
      <w:tr>
        <w:trPr/>
        <w:tc>
          <w:tcPr>
            <w:tcW w:w="151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Jason Roos</w:t>
            </w:r>
          </w:p>
        </w:tc>
      </w:tr>
      <w:tr>
        <w:trPr/>
        <w:tc>
          <w:tcPr>
            <w:tcW w:w="151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Chief Financial Officer</w:t>
            </w:r>
          </w:p>
        </w:tc>
      </w:tr>
      <w:tr>
        <w:trPr/>
        <w:tc>
          <w:tcPr>
            <w:tcW w:w="151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i/>
                <w:sz w:val="16"/>
              </w:rPr>
            </w:pPr>
            <w:r>
              <w:rPr>
                <w:rFonts w:ascii="Times New Roman" w:hAnsi="Times New Roman"/>
                <w:b w:val="false"/>
                <w:i/>
                <w:sz w:val="16"/>
              </w:rPr>
              <w:t>(Principal Financial Officer)</w:t>
            </w:r>
          </w:p>
        </w:tc>
      </w:tr>
      <w:tr>
        <w:trPr/>
        <w:tc>
          <w:tcPr>
            <w:tcW w:w="151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Logan Ridge Finance Corporation</w:t>
            </w:r>
          </w:p>
        </w:tc>
      </w:tr>
    </w:tbl>
    <w:p>
      <w:pPr>
        <w:pStyle w:val="TextBody"/>
        <w:spacing w:lineRule="auto" w:line="273" w:before="0" w:after="0"/>
        <w:jc w:val="center"/>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43</w:t>
      </w:r>
    </w:p>
    <w:p>
      <w:pPr>
        <w:pStyle w:val="HorizontalLine"/>
        <w:rPr/>
      </w:pPr>
      <w:r>
        <w:rPr/>
      </w:r>
      <w:r>
        <w:br w:type="page"/>
      </w:r>
    </w:p>
    <w:p>
      <w:pPr>
        <w:pStyle w:val="TextBody"/>
        <w:spacing w:lineRule="auto" w:line="273" w:before="0" w:after="0"/>
        <w:jc w:val="left"/>
        <w:rPr/>
      </w:pPr>
      <w:bookmarkStart w:id="21" w:name="lrfc-ex31_1.htm"/>
      <w:bookmarkStart w:id="22" w:name="kslrfcex31_1"/>
      <w:bookmarkEnd w:id="21"/>
      <w:bookmarkEnd w:id="22"/>
      <w:r>
        <w:rPr/>
        <w:t> </w:t>
      </w:r>
    </w:p>
    <w:p>
      <w:pPr>
        <w:pStyle w:val="TextBody"/>
        <w:spacing w:lineRule="auto" w:line="273" w:before="0" w:after="0"/>
        <w:jc w:val="right"/>
        <w:rPr>
          <w:rFonts w:ascii="Times New Roman" w:hAnsi="Times New Roman"/>
          <w:b/>
          <w:sz w:val="16"/>
        </w:rPr>
      </w:pPr>
      <w:r>
        <w:rPr>
          <w:rFonts w:ascii="Times New Roman" w:hAnsi="Times New Roman"/>
          <w:b/>
          <w:sz w:val="16"/>
        </w:rPr>
        <w:t>Exhibit 31.1</w:t>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sz w:val="20"/>
        </w:rPr>
      </w:pPr>
      <w:r>
        <w:rPr>
          <w:rFonts w:ascii="Times New Roman" w:hAnsi="Times New Roman"/>
          <w:b/>
          <w:sz w:val="16"/>
        </w:rPr>
        <w:t>CERTIFICATION OF CHIEF EXECUTIVE OFFICER</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6"/>
        </w:rPr>
        <w:t>PURSUANT TO RULE 13A-14 OF THE SECURITIES EXCHANGE ACT OF 1934, AS ADOPTED</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PURSUANT TO SECTION 302 OF THE SARBANES-OXLEY ACT OF 2002</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I, Ted Goldthorpe, certify that:</w:t>
      </w:r>
    </w:p>
    <w:p>
      <w:pPr>
        <w:pStyle w:val="TextBody"/>
        <w:spacing w:lineRule="auto" w:line="273" w:before="0" w:after="0"/>
        <w:jc w:val="left"/>
        <w:rPr/>
      </w:pPr>
      <w:r>
        <w:rPr/>
        <w:t> </w:t>
      </w:r>
    </w:p>
    <w:tbl>
      <w:tblPr>
        <w:tblW w:w="6868" w:type="dxa"/>
        <w:jc w:val="left"/>
        <w:tblInd w:w="0" w:type="dxa"/>
        <w:tblCellMar>
          <w:top w:w="28" w:type="dxa"/>
          <w:left w:w="28" w:type="dxa"/>
          <w:bottom w:w="28" w:type="dxa"/>
          <w:right w:w="28" w:type="dxa"/>
        </w:tblCellMar>
      </w:tblPr>
      <w:tblGrid>
        <w:gridCol w:w="161"/>
        <w:gridCol w:w="241"/>
        <w:gridCol w:w="6466"/>
      </w:tblGrid>
      <w:tr>
        <w:trPr/>
        <w:tc>
          <w:tcPr>
            <w:tcW w:w="16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4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w:t>
            </w:r>
          </w:p>
        </w:tc>
        <w:tc>
          <w:tcPr>
            <w:tcW w:w="6466"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I have reviewed this Quarterly Report on Form 10-Q of Logan Ridge Finance Corporation;</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15"/>
        <w:gridCol w:w="9829"/>
      </w:tblGrid>
      <w:tr>
        <w:trPr/>
        <w:tc>
          <w:tcPr>
            <w:tcW w:w="16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829"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15"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w:t>
            </w:r>
          </w:p>
        </w:tc>
        <w:tc>
          <w:tcPr>
            <w:tcW w:w="982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17"/>
        <w:gridCol w:w="9827"/>
      </w:tblGrid>
      <w:tr>
        <w:trPr/>
        <w:tc>
          <w:tcPr>
            <w:tcW w:w="16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827"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3.</w:t>
            </w:r>
          </w:p>
        </w:tc>
        <w:tc>
          <w:tcPr>
            <w:tcW w:w="9827"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11"/>
        <w:gridCol w:w="9833"/>
      </w:tblGrid>
      <w:tr>
        <w:trPr/>
        <w:tc>
          <w:tcPr>
            <w:tcW w:w="1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83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4.</w:t>
            </w:r>
          </w:p>
        </w:tc>
        <w:tc>
          <w:tcPr>
            <w:tcW w:w="9833"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65"/>
        <w:gridCol w:w="9779"/>
      </w:tblGrid>
      <w:tr>
        <w:trPr/>
        <w:tc>
          <w:tcPr>
            <w:tcW w:w="16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779"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both"/>
              <w:rPr/>
            </w:pPr>
            <w:r>
              <w:rPr/>
              <w:t> </w:t>
            </w:r>
          </w:p>
        </w:tc>
        <w:tc>
          <w:tcPr>
            <w:tcW w:w="265"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w:t>
            </w:r>
          </w:p>
        </w:tc>
        <w:tc>
          <w:tcPr>
            <w:tcW w:w="97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8"/>
        <w:gridCol w:w="9766"/>
      </w:tblGrid>
      <w:tr>
        <w:trPr/>
        <w:tc>
          <w:tcPr>
            <w:tcW w:w="16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7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78"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w:t>
            </w:r>
          </w:p>
        </w:tc>
        <w:tc>
          <w:tcPr>
            <w:tcW w:w="97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0"/>
        <w:gridCol w:w="9774"/>
      </w:tblGrid>
      <w:tr>
        <w:trPr/>
        <w:tc>
          <w:tcPr>
            <w:tcW w:w="16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77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7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(c)</w:t>
            </w:r>
          </w:p>
        </w:tc>
        <w:tc>
          <w:tcPr>
            <w:tcW w:w="97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8"/>
        <w:gridCol w:w="9766"/>
      </w:tblGrid>
      <w:tr>
        <w:trPr/>
        <w:tc>
          <w:tcPr>
            <w:tcW w:w="16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7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78"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(d)</w:t>
            </w:r>
          </w:p>
        </w:tc>
        <w:tc>
          <w:tcPr>
            <w:tcW w:w="97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17"/>
        <w:gridCol w:w="9827"/>
      </w:tblGrid>
      <w:tr>
        <w:trPr/>
        <w:tc>
          <w:tcPr>
            <w:tcW w:w="16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827"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5.</w:t>
            </w:r>
          </w:p>
        </w:tc>
        <w:tc>
          <w:tcPr>
            <w:tcW w:w="9827"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1"/>
        <w:gridCol w:w="9773"/>
      </w:tblGrid>
      <w:tr>
        <w:trPr/>
        <w:tc>
          <w:tcPr>
            <w:tcW w:w="1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77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7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w:t>
            </w:r>
          </w:p>
        </w:tc>
        <w:tc>
          <w:tcPr>
            <w:tcW w:w="977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304"/>
        <w:gridCol w:w="9740"/>
      </w:tblGrid>
      <w:tr>
        <w:trPr/>
        <w:tc>
          <w:tcPr>
            <w:tcW w:w="16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974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3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w:t>
            </w:r>
          </w:p>
        </w:tc>
        <w:tc>
          <w:tcPr>
            <w:tcW w:w="97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Any fraud, whether or not material, that involves management or other employees who have a significant role in the registrant’s internal control over financial reporting.</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Date: May 12, 2022</w:t>
      </w:r>
    </w:p>
    <w:p>
      <w:pPr>
        <w:pStyle w:val="TextBody"/>
        <w:spacing w:lineRule="auto" w:line="273" w:before="0" w:after="0"/>
        <w:jc w:val="left"/>
        <w:rPr/>
      </w:pPr>
      <w:r>
        <w:rPr/>
        <w:t> </w:t>
      </w:r>
    </w:p>
    <w:tbl>
      <w:tblPr>
        <w:tblW w:w="2937" w:type="dxa"/>
        <w:jc w:val="left"/>
        <w:tblInd w:w="0" w:type="dxa"/>
        <w:tblCellMar>
          <w:top w:w="28" w:type="dxa"/>
          <w:left w:w="28" w:type="dxa"/>
          <w:bottom w:w="28" w:type="dxa"/>
          <w:right w:w="28" w:type="dxa"/>
        </w:tblCellMar>
      </w:tblPr>
      <w:tblGrid>
        <w:gridCol w:w="161"/>
        <w:gridCol w:w="2776"/>
      </w:tblGrid>
      <w:tr>
        <w:trPr/>
        <w:tc>
          <w:tcPr>
            <w:tcW w:w="161"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77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 Ted Goldthorpe</w:t>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7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Ted Goldthorpe</w:t>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7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Chief Executive Officer and President</w:t>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7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16"/>
              </w:rPr>
            </w:pPr>
            <w:r>
              <w:rPr>
                <w:rFonts w:ascii="Times New Roman" w:hAnsi="Times New Roman"/>
                <w:b w:val="false"/>
                <w:i/>
                <w:sz w:val="16"/>
              </w:rPr>
              <w:t>(Principal Executive Officer)</w:t>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7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Logan Ridge Finance Corporation</w:t>
            </w:r>
          </w:p>
        </w:tc>
      </w:tr>
    </w:tbl>
    <w:p>
      <w:pPr>
        <w:pStyle w:val="TextBody"/>
        <w:spacing w:lineRule="auto" w:line="273" w:before="0" w:after="0"/>
        <w:jc w:val="righ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3" w:name="lrfc-ex31_2.htm"/>
      <w:bookmarkStart w:id="24" w:name="kslrfcex31_2"/>
      <w:bookmarkEnd w:id="23"/>
      <w:bookmarkEnd w:id="24"/>
      <w:r>
        <w:rPr/>
        <w:t> </w:t>
      </w:r>
    </w:p>
    <w:p>
      <w:pPr>
        <w:pStyle w:val="TextBody"/>
        <w:spacing w:lineRule="auto" w:line="273" w:before="0" w:after="0"/>
        <w:jc w:val="right"/>
        <w:rPr>
          <w:rFonts w:ascii="Times New Roman" w:hAnsi="Times New Roman"/>
          <w:b/>
          <w:sz w:val="16"/>
        </w:rPr>
      </w:pPr>
      <w:r>
        <w:rPr>
          <w:rFonts w:ascii="Times New Roman" w:hAnsi="Times New Roman"/>
          <w:b/>
          <w:sz w:val="16"/>
        </w:rPr>
        <w:t>Exhibit 31.2</w:t>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sz w:val="20"/>
        </w:rPr>
      </w:pPr>
      <w:r>
        <w:rPr>
          <w:rFonts w:ascii="Times New Roman" w:hAnsi="Times New Roman"/>
          <w:b/>
          <w:sz w:val="16"/>
        </w:rPr>
        <w:t>CERTIFICATION OF CHIEF FINANCIAL OFFICER</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6"/>
        </w:rPr>
        <w:t>PURSUANT TO RULE 13A-14 OF THE SECURITIES EXCHANGE ACT OF 1934, AS ADOPTED</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PURSUANT TO SECTION 302 OF THE SARBANES-OXLEY ACT OF 2002</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 Jason Roos, certify that:</w:t>
      </w:r>
    </w:p>
    <w:p>
      <w:pPr>
        <w:pStyle w:val="TextBody"/>
        <w:spacing w:lineRule="auto" w:line="273" w:before="0" w:after="0"/>
        <w:jc w:val="both"/>
        <w:rPr/>
      </w:pPr>
      <w:r>
        <w:rPr/>
        <w:t> </w:t>
      </w:r>
    </w:p>
    <w:tbl>
      <w:tblPr>
        <w:tblW w:w="6722" w:type="dxa"/>
        <w:jc w:val="left"/>
        <w:tblInd w:w="0" w:type="dxa"/>
        <w:tblCellMar>
          <w:top w:w="28" w:type="dxa"/>
          <w:left w:w="28" w:type="dxa"/>
          <w:bottom w:w="28" w:type="dxa"/>
          <w:right w:w="28" w:type="dxa"/>
        </w:tblCellMar>
      </w:tblPr>
      <w:tblGrid>
        <w:gridCol w:w="256"/>
        <w:gridCol w:w="6466"/>
      </w:tblGrid>
      <w:tr>
        <w:trPr/>
        <w:tc>
          <w:tcPr>
            <w:tcW w:w="256" w:type="dxa"/>
            <w:tcBorders/>
            <w:shd w:fill="auto" w:val="clear"/>
            <w:vAlign w:val="center"/>
          </w:tcPr>
          <w:p>
            <w:pPr>
              <w:pStyle w:val="TableContents"/>
              <w:spacing w:before="0" w:after="283"/>
              <w:rPr>
                <w:sz w:val="4"/>
                <w:szCs w:val="4"/>
              </w:rPr>
            </w:pPr>
            <w:r>
              <w:rPr>
                <w:sz w:val="4"/>
                <w:szCs w:val="4"/>
              </w:rPr>
            </w:r>
          </w:p>
        </w:tc>
        <w:tc>
          <w:tcPr>
            <w:tcW w:w="6466" w:type="dxa"/>
            <w:tcBorders/>
            <w:shd w:fill="auto" w:val="clear"/>
            <w:vAlign w:val="center"/>
          </w:tcPr>
          <w:p>
            <w:pPr>
              <w:pStyle w:val="TableContents"/>
              <w:spacing w:before="0" w:after="283"/>
              <w:rPr>
                <w:sz w:val="4"/>
                <w:szCs w:val="4"/>
              </w:rPr>
            </w:pPr>
            <w:r>
              <w:rPr>
                <w:sz w:val="4"/>
                <w:szCs w:val="4"/>
              </w:rPr>
            </w:r>
          </w:p>
        </w:tc>
      </w:tr>
      <w:tr>
        <w:trPr/>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w:t>
            </w:r>
          </w:p>
        </w:tc>
        <w:tc>
          <w:tcPr>
            <w:tcW w:w="6466"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I have reviewed this Quarterly Report on Form 10-Q of Logan Ridge Finance Corporation;</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31"/>
        <w:gridCol w:w="9974"/>
      </w:tblGrid>
      <w:tr>
        <w:trPr/>
        <w:tc>
          <w:tcPr>
            <w:tcW w:w="231" w:type="dxa"/>
            <w:tcBorders/>
            <w:shd w:fill="auto" w:val="clear"/>
            <w:vAlign w:val="center"/>
          </w:tcPr>
          <w:p>
            <w:pPr>
              <w:pStyle w:val="TableContents"/>
              <w:spacing w:before="0" w:after="283"/>
              <w:rPr>
                <w:sz w:val="4"/>
                <w:szCs w:val="4"/>
              </w:rPr>
            </w:pPr>
            <w:r>
              <w:rPr>
                <w:sz w:val="4"/>
                <w:szCs w:val="4"/>
              </w:rPr>
            </w:r>
          </w:p>
        </w:tc>
        <w:tc>
          <w:tcPr>
            <w:tcW w:w="9974" w:type="dxa"/>
            <w:tcBorders/>
            <w:shd w:fill="auto" w:val="clear"/>
            <w:vAlign w:val="center"/>
          </w:tcPr>
          <w:p>
            <w:pPr>
              <w:pStyle w:val="TableContents"/>
              <w:spacing w:before="0" w:after="283"/>
              <w:rPr>
                <w:sz w:val="4"/>
                <w:szCs w:val="4"/>
              </w:rPr>
            </w:pPr>
            <w:r>
              <w:rPr>
                <w:sz w:val="4"/>
                <w:szCs w:val="4"/>
              </w:rPr>
            </w:r>
          </w:p>
        </w:tc>
      </w:tr>
      <w:tr>
        <w:trPr/>
        <w:tc>
          <w:tcPr>
            <w:tcW w:w="23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w:t>
            </w:r>
          </w:p>
        </w:tc>
        <w:tc>
          <w:tcPr>
            <w:tcW w:w="9974"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32"/>
        <w:gridCol w:w="9973"/>
      </w:tblGrid>
      <w:tr>
        <w:trPr/>
        <w:tc>
          <w:tcPr>
            <w:tcW w:w="232" w:type="dxa"/>
            <w:tcBorders/>
            <w:shd w:fill="auto" w:val="clear"/>
            <w:vAlign w:val="center"/>
          </w:tcPr>
          <w:p>
            <w:pPr>
              <w:pStyle w:val="TableContents"/>
              <w:spacing w:before="0" w:after="283"/>
              <w:rPr>
                <w:sz w:val="4"/>
                <w:szCs w:val="4"/>
              </w:rPr>
            </w:pPr>
            <w:r>
              <w:rPr>
                <w:sz w:val="4"/>
                <w:szCs w:val="4"/>
              </w:rPr>
            </w:r>
          </w:p>
        </w:tc>
        <w:tc>
          <w:tcPr>
            <w:tcW w:w="9973" w:type="dxa"/>
            <w:tcBorders/>
            <w:shd w:fill="auto" w:val="clear"/>
            <w:vAlign w:val="center"/>
          </w:tcPr>
          <w:p>
            <w:pPr>
              <w:pStyle w:val="TableContents"/>
              <w:spacing w:before="0" w:after="283"/>
              <w:rPr>
                <w:sz w:val="4"/>
                <w:szCs w:val="4"/>
              </w:rPr>
            </w:pPr>
            <w:r>
              <w:rPr>
                <w:sz w:val="4"/>
                <w:szCs w:val="4"/>
              </w:rPr>
            </w:r>
          </w:p>
        </w:tc>
      </w:tr>
      <w:tr>
        <w:trPr/>
        <w:tc>
          <w:tcPr>
            <w:tcW w:w="23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3.</w:t>
            </w:r>
          </w:p>
        </w:tc>
        <w:tc>
          <w:tcPr>
            <w:tcW w:w="9973"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26"/>
        <w:gridCol w:w="9979"/>
      </w:tblGrid>
      <w:tr>
        <w:trPr/>
        <w:tc>
          <w:tcPr>
            <w:tcW w:w="226" w:type="dxa"/>
            <w:tcBorders/>
            <w:shd w:fill="auto" w:val="clear"/>
            <w:vAlign w:val="center"/>
          </w:tcPr>
          <w:p>
            <w:pPr>
              <w:pStyle w:val="TableContents"/>
              <w:spacing w:before="0" w:after="283"/>
              <w:rPr>
                <w:sz w:val="4"/>
                <w:szCs w:val="4"/>
              </w:rPr>
            </w:pPr>
            <w:r>
              <w:rPr>
                <w:sz w:val="4"/>
                <w:szCs w:val="4"/>
              </w:rPr>
            </w:r>
          </w:p>
        </w:tc>
        <w:tc>
          <w:tcPr>
            <w:tcW w:w="9979"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4.</w:t>
            </w:r>
          </w:p>
        </w:tc>
        <w:tc>
          <w:tcPr>
            <w:tcW w:w="99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65"/>
        <w:gridCol w:w="9779"/>
      </w:tblGrid>
      <w:tr>
        <w:trPr/>
        <w:tc>
          <w:tcPr>
            <w:tcW w:w="16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779"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both"/>
              <w:rPr/>
            </w:pPr>
            <w:r>
              <w:rPr/>
              <w:t> </w:t>
            </w:r>
          </w:p>
        </w:tc>
        <w:tc>
          <w:tcPr>
            <w:tcW w:w="265"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w:t>
            </w:r>
          </w:p>
        </w:tc>
        <w:tc>
          <w:tcPr>
            <w:tcW w:w="977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8"/>
        <w:gridCol w:w="9766"/>
      </w:tblGrid>
      <w:tr>
        <w:trPr/>
        <w:tc>
          <w:tcPr>
            <w:tcW w:w="16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7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78"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w:t>
            </w:r>
          </w:p>
        </w:tc>
        <w:tc>
          <w:tcPr>
            <w:tcW w:w="97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0"/>
        <w:gridCol w:w="9774"/>
      </w:tblGrid>
      <w:tr>
        <w:trPr/>
        <w:tc>
          <w:tcPr>
            <w:tcW w:w="16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77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7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(c)</w:t>
            </w:r>
          </w:p>
        </w:tc>
        <w:tc>
          <w:tcPr>
            <w:tcW w:w="97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8"/>
        <w:gridCol w:w="9766"/>
      </w:tblGrid>
      <w:tr>
        <w:trPr/>
        <w:tc>
          <w:tcPr>
            <w:tcW w:w="16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7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78"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(d)</w:t>
            </w:r>
          </w:p>
        </w:tc>
        <w:tc>
          <w:tcPr>
            <w:tcW w:w="97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32"/>
        <w:gridCol w:w="9973"/>
      </w:tblGrid>
      <w:tr>
        <w:trPr/>
        <w:tc>
          <w:tcPr>
            <w:tcW w:w="232" w:type="dxa"/>
            <w:tcBorders/>
            <w:shd w:fill="auto" w:val="clear"/>
            <w:vAlign w:val="center"/>
          </w:tcPr>
          <w:p>
            <w:pPr>
              <w:pStyle w:val="TableContents"/>
              <w:spacing w:before="0" w:after="283"/>
              <w:rPr>
                <w:sz w:val="4"/>
                <w:szCs w:val="4"/>
              </w:rPr>
            </w:pPr>
            <w:r>
              <w:rPr>
                <w:sz w:val="4"/>
                <w:szCs w:val="4"/>
              </w:rPr>
            </w:r>
          </w:p>
        </w:tc>
        <w:tc>
          <w:tcPr>
            <w:tcW w:w="9973" w:type="dxa"/>
            <w:tcBorders/>
            <w:shd w:fill="auto" w:val="clear"/>
            <w:vAlign w:val="center"/>
          </w:tcPr>
          <w:p>
            <w:pPr>
              <w:pStyle w:val="TableContents"/>
              <w:spacing w:before="0" w:after="283"/>
              <w:rPr>
                <w:sz w:val="4"/>
                <w:szCs w:val="4"/>
              </w:rPr>
            </w:pPr>
            <w:r>
              <w:rPr>
                <w:sz w:val="4"/>
                <w:szCs w:val="4"/>
              </w:rPr>
            </w:r>
          </w:p>
        </w:tc>
      </w:tr>
      <w:tr>
        <w:trPr/>
        <w:tc>
          <w:tcPr>
            <w:tcW w:w="23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5.</w:t>
            </w:r>
          </w:p>
        </w:tc>
        <w:tc>
          <w:tcPr>
            <w:tcW w:w="9973"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1"/>
        <w:gridCol w:w="9773"/>
      </w:tblGrid>
      <w:tr>
        <w:trPr/>
        <w:tc>
          <w:tcPr>
            <w:tcW w:w="1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77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7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w:t>
            </w:r>
          </w:p>
        </w:tc>
        <w:tc>
          <w:tcPr>
            <w:tcW w:w="977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304"/>
        <w:gridCol w:w="9740"/>
      </w:tblGrid>
      <w:tr>
        <w:trPr/>
        <w:tc>
          <w:tcPr>
            <w:tcW w:w="16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974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3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(b)</w:t>
            </w:r>
          </w:p>
        </w:tc>
        <w:tc>
          <w:tcPr>
            <w:tcW w:w="97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Any fraud, whether or not material, that involves management or other employees who have a significant role in the registrant’s internal control over financial reporting.</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Date: May 12, 2022</w:t>
      </w:r>
    </w:p>
    <w:p>
      <w:pPr>
        <w:pStyle w:val="TextBody"/>
        <w:spacing w:lineRule="auto" w:line="273" w:before="0" w:after="0"/>
        <w:jc w:val="left"/>
        <w:rPr/>
      </w:pPr>
      <w:r>
        <w:rPr/>
        <w:t> </w:t>
      </w:r>
    </w:p>
    <w:tbl>
      <w:tblPr>
        <w:tblW w:w="2682" w:type="dxa"/>
        <w:jc w:val="left"/>
        <w:tblInd w:w="0" w:type="dxa"/>
        <w:tblCellMar>
          <w:top w:w="28" w:type="dxa"/>
          <w:left w:w="28" w:type="dxa"/>
          <w:bottom w:w="28" w:type="dxa"/>
          <w:right w:w="28" w:type="dxa"/>
        </w:tblCellMar>
      </w:tblPr>
      <w:tblGrid>
        <w:gridCol w:w="161"/>
        <w:gridCol w:w="2521"/>
      </w:tblGrid>
      <w:tr>
        <w:trPr/>
        <w:tc>
          <w:tcPr>
            <w:tcW w:w="161"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52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 Jason Roos</w:t>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Jason Roos</w:t>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Chief Financial Officer</w:t>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16"/>
              </w:rPr>
            </w:pPr>
            <w:r>
              <w:rPr>
                <w:rFonts w:ascii="Times New Roman" w:hAnsi="Times New Roman"/>
                <w:b w:val="false"/>
                <w:i/>
                <w:sz w:val="16"/>
              </w:rPr>
              <w:t>(Principal Financial Officer)</w:t>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Logan Ridge Finance Corporation</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5" w:name="lrfc-ex32_1.htm"/>
      <w:bookmarkStart w:id="26" w:name="kslrfcex32_1"/>
      <w:bookmarkEnd w:id="25"/>
      <w:bookmarkEnd w:id="26"/>
      <w:r>
        <w:rPr/>
        <w:t> </w:t>
      </w:r>
    </w:p>
    <w:p>
      <w:pPr>
        <w:pStyle w:val="TextBody"/>
        <w:spacing w:lineRule="auto" w:line="273" w:before="0" w:after="0"/>
        <w:jc w:val="right"/>
        <w:rPr>
          <w:rFonts w:ascii="Times New Roman" w:hAnsi="Times New Roman"/>
          <w:b/>
          <w:sz w:val="16"/>
        </w:rPr>
      </w:pPr>
      <w:r>
        <w:rPr>
          <w:rFonts w:ascii="Times New Roman" w:hAnsi="Times New Roman"/>
          <w:b/>
          <w:sz w:val="16"/>
        </w:rPr>
        <w:t>Exhibit 32.1</w:t>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sz w:val="20"/>
        </w:rPr>
      </w:pPr>
      <w:r>
        <w:rPr>
          <w:rFonts w:ascii="Times New Roman" w:hAnsi="Times New Roman"/>
          <w:b/>
          <w:sz w:val="16"/>
        </w:rPr>
        <w:t>CERTIFICATION OF CHIEF EXECUTIVE OFFICER</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6"/>
        </w:rPr>
        <w:t>PURSUANT TO 18 U.S.C. SECTION 1350, AS ADOPTED</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PURSUANT TO SECTION 906 OF THE SARBANES-OXLEY ACT OF 2002</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 Ted Goldthorpe, Chief Executive Officer and President, in connection with the Quarterly Report of Logan Ridge Finance Corporation (the “Company”) on Form 10-Q for the quarterly period ended March 31, 2022, as filed with the U.S. Securities and Exchange Commission on the date hereof (the “Quarterly Report”), certify, pursuant to Section 906 of the Sarbanes-Oxley Act of 2002, that:</w:t>
      </w:r>
    </w:p>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161"/>
        <w:gridCol w:w="239"/>
        <w:gridCol w:w="9805"/>
      </w:tblGrid>
      <w:tr>
        <w:trPr/>
        <w:tc>
          <w:tcPr>
            <w:tcW w:w="16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80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both"/>
              <w:rPr/>
            </w:pPr>
            <w:r>
              <w:rPr/>
              <w:t> </w:t>
            </w:r>
          </w:p>
        </w:tc>
        <w:tc>
          <w:tcPr>
            <w:tcW w:w="239"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1.</w:t>
            </w:r>
          </w:p>
        </w:tc>
        <w:tc>
          <w:tcPr>
            <w:tcW w:w="9805"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Quarterly Report fully complies with the requirements of Section 13(a) or 15(d) of the Securities Exchange Act of 1934, as amended;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36"/>
        <w:gridCol w:w="9808"/>
      </w:tblGrid>
      <w:tr>
        <w:trPr/>
        <w:tc>
          <w:tcPr>
            <w:tcW w:w="16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80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2.</w:t>
            </w:r>
          </w:p>
        </w:tc>
        <w:tc>
          <w:tcPr>
            <w:tcW w:w="9808"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information contained in the Quarterly Report fairly presents, in all material respects, the financial condition and results of operations of the Company.</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Date: May 12, 2022</w:t>
      </w:r>
    </w:p>
    <w:p>
      <w:pPr>
        <w:pStyle w:val="TextBody"/>
        <w:spacing w:lineRule="auto" w:line="273" w:before="0" w:after="0"/>
        <w:jc w:val="left"/>
        <w:rPr/>
      </w:pPr>
      <w:r>
        <w:rPr/>
        <w:t> </w:t>
      </w:r>
    </w:p>
    <w:tbl>
      <w:tblPr>
        <w:tblW w:w="2937" w:type="dxa"/>
        <w:jc w:val="left"/>
        <w:tblInd w:w="0" w:type="dxa"/>
        <w:tblCellMar>
          <w:top w:w="28" w:type="dxa"/>
          <w:left w:w="28" w:type="dxa"/>
          <w:bottom w:w="28" w:type="dxa"/>
          <w:right w:w="28" w:type="dxa"/>
        </w:tblCellMar>
      </w:tblPr>
      <w:tblGrid>
        <w:gridCol w:w="161"/>
        <w:gridCol w:w="2776"/>
      </w:tblGrid>
      <w:tr>
        <w:trPr/>
        <w:tc>
          <w:tcPr>
            <w:tcW w:w="161"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77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 Ted Goldthorpe</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Ted Goldthorpe</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Chief Executive Officer and President</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i/>
                <w:sz w:val="16"/>
              </w:rPr>
            </w:pPr>
            <w:r>
              <w:rPr>
                <w:rFonts w:ascii="Times New Roman" w:hAnsi="Times New Roman"/>
                <w:b w:val="false"/>
                <w:i/>
                <w:sz w:val="16"/>
              </w:rPr>
              <w:t>(Principal Executive Officer)</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Logan Ridge Finance Corporation</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7" w:name="lrfc-ex32_2.htm"/>
      <w:bookmarkStart w:id="28" w:name="kslrfcex32_2"/>
      <w:bookmarkEnd w:id="27"/>
      <w:bookmarkEnd w:id="28"/>
      <w:r>
        <w:rPr/>
        <w:t> </w:t>
      </w:r>
    </w:p>
    <w:p>
      <w:pPr>
        <w:pStyle w:val="TextBody"/>
        <w:spacing w:lineRule="auto" w:line="273" w:before="0" w:after="0"/>
        <w:jc w:val="right"/>
        <w:rPr>
          <w:rFonts w:ascii="Times New Roman" w:hAnsi="Times New Roman"/>
          <w:b/>
          <w:sz w:val="16"/>
        </w:rPr>
      </w:pPr>
      <w:r>
        <w:rPr>
          <w:rFonts w:ascii="Times New Roman" w:hAnsi="Times New Roman"/>
          <w:b/>
          <w:sz w:val="16"/>
        </w:rPr>
        <w:t>Exhibit 32.2</w:t>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sz w:val="20"/>
        </w:rPr>
      </w:pPr>
      <w:r>
        <w:rPr>
          <w:rFonts w:ascii="Times New Roman" w:hAnsi="Times New Roman"/>
          <w:b/>
          <w:sz w:val="16"/>
        </w:rPr>
        <w:t>CERTIFICATION OF CHIEF FINANCIAL OFFICER</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6"/>
        </w:rPr>
        <w:t>PURSUANT TO 18 U.S.C. SECTION 1350, AS ADOPTED</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PURSUANT TO SECTION 906 OF THE SARBANES-OXLEY ACT OF 2002</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b w:val="false"/>
          <w:sz w:val="16"/>
        </w:rPr>
      </w:pPr>
      <w:r>
        <w:rPr>
          <w:rFonts w:ascii="Times New Roman" w:hAnsi="Times New Roman"/>
          <w:b w:val="false"/>
          <w:sz w:val="16"/>
        </w:rPr>
        <w:t>I, Jason Roos, Chief Financial Officer, in connection with the Quarterly Report of Logan Ridge Finance Corporation (the “Company”) on Form 10-Q for the quarterly period ended March 31, 2022, as filed with the U.S. Securities and Exchange Commission on the date hereof (the “Quarterly Report”), certify, pursuant to Section 906 of the Sarbanes-Oxley Act of 2002, that:</w:t>
      </w:r>
    </w:p>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161"/>
        <w:gridCol w:w="239"/>
        <w:gridCol w:w="9805"/>
      </w:tblGrid>
      <w:tr>
        <w:trPr/>
        <w:tc>
          <w:tcPr>
            <w:tcW w:w="16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80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w:t>
            </w:r>
          </w:p>
        </w:tc>
        <w:tc>
          <w:tcPr>
            <w:tcW w:w="9805" w:type="dxa"/>
            <w:tcBorders/>
            <w:shd w:fill="auto" w:val="cle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Quarterly Report fully complies with the requirements of Section 13(a) or 15(d) of the Securities Exchange Act of 1934, as amended;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36"/>
        <w:gridCol w:w="9808"/>
      </w:tblGrid>
      <w:tr>
        <w:trPr/>
        <w:tc>
          <w:tcPr>
            <w:tcW w:w="16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80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c>
          <w:tcPr>
            <w:tcW w:w="2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2.</w:t>
            </w:r>
          </w:p>
        </w:tc>
        <w:tc>
          <w:tcPr>
            <w:tcW w:w="9808"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16"/>
              </w:rPr>
            </w:pPr>
            <w:r>
              <w:rPr>
                <w:rFonts w:ascii="Times New Roman" w:hAnsi="Times New Roman"/>
                <w:b w:val="false"/>
                <w:sz w:val="16"/>
              </w:rPr>
              <w:t>The information contained in the Quarterly Report fairly presents, in all material respects, the financial condition and results of operations of the Company.</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Date: May 12, 2022</w:t>
      </w:r>
    </w:p>
    <w:p>
      <w:pPr>
        <w:pStyle w:val="TextBody"/>
        <w:spacing w:lineRule="auto" w:line="273" w:before="0" w:after="0"/>
        <w:jc w:val="left"/>
        <w:rPr/>
      </w:pPr>
      <w:r>
        <w:rPr/>
        <w:t> </w:t>
      </w:r>
    </w:p>
    <w:tbl>
      <w:tblPr>
        <w:tblW w:w="2682" w:type="dxa"/>
        <w:jc w:val="left"/>
        <w:tblInd w:w="0" w:type="dxa"/>
        <w:tblCellMar>
          <w:top w:w="28" w:type="dxa"/>
          <w:left w:w="28" w:type="dxa"/>
          <w:bottom w:w="28" w:type="dxa"/>
          <w:right w:w="28" w:type="dxa"/>
        </w:tblCellMar>
      </w:tblPr>
      <w:tblGrid>
        <w:gridCol w:w="161"/>
        <w:gridCol w:w="2521"/>
      </w:tblGrid>
      <w:tr>
        <w:trPr/>
        <w:tc>
          <w:tcPr>
            <w:tcW w:w="161"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52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 Jason Roos</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5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Jason Roos</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5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Chief Financial Officer</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521" w:type="dxa"/>
            <w:tcBorders/>
            <w:shd w:fill="auto" w:val="clear"/>
            <w:vAlign w:val="center"/>
          </w:tcPr>
          <w:p>
            <w:pPr>
              <w:pStyle w:val="TableContents"/>
              <w:spacing w:lineRule="auto" w:line="252" w:before="0" w:after="0"/>
              <w:ind w:left="0" w:right="0" w:hanging="0"/>
              <w:jc w:val="left"/>
              <w:rPr>
                <w:rFonts w:ascii="Times New Roman" w:hAnsi="Times New Roman"/>
                <w:b w:val="false"/>
                <w:i/>
                <w:sz w:val="16"/>
              </w:rPr>
            </w:pPr>
            <w:r>
              <w:rPr>
                <w:rFonts w:ascii="Times New Roman" w:hAnsi="Times New Roman"/>
                <w:b w:val="false"/>
                <w:i/>
                <w:sz w:val="16"/>
              </w:rPr>
              <w:t>(Principal Financial Officer)</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52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Logan Ridge Finance Corporation</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1483/000119312513361263/d505298dex99a1.htm" TargetMode="External"/><Relationship Id="rId3" Type="http://schemas.openxmlformats.org/officeDocument/2006/relationships/hyperlink" Target="https://www.sec.gov/Archives/edgar/data/1221483/000119312513361263/d505298dex99a1.htm" TargetMode="External"/><Relationship Id="rId4" Type="http://schemas.openxmlformats.org/officeDocument/2006/relationships/hyperlink" Target="https://www.sec.gov/Archives/edgar/data/1221483/000119312513361263/d505298dex99a1.htm" TargetMode="External"/><Relationship Id="rId5" Type="http://schemas.openxmlformats.org/officeDocument/2006/relationships/hyperlink" Target="https://www.sec.gov/Archives/edgar/data/1571329/000110465920090336/tm2026478d1_ex3-1.htm" TargetMode="External"/><Relationship Id="rId6" Type="http://schemas.openxmlformats.org/officeDocument/2006/relationships/hyperlink" Target="https://www.sec.gov/Archives/edgar/data/1571329/000110465920090336/tm2026478d1_ex3-1.htm" TargetMode="External"/><Relationship Id="rId7" Type="http://schemas.openxmlformats.org/officeDocument/2006/relationships/hyperlink" Target="https://www.sec.gov/Archives/edgar/data/1571329/000110465920090336/tm2026478d1_ex3-1.htm" TargetMode="External"/><Relationship Id="rId8" Type="http://schemas.openxmlformats.org/officeDocument/2006/relationships/hyperlink" Target="https://www.sec.gov/Archives/edgar/data/1221483/000119312513368161/d505298dex99a2.htm" TargetMode="External"/><Relationship Id="rId9" Type="http://schemas.openxmlformats.org/officeDocument/2006/relationships/hyperlink" Target="https://www.sec.gov/Archives/edgar/data/1221483/000119312513368161/d505298dex99a2.htm" TargetMode="External"/><Relationship Id="rId10" Type="http://schemas.openxmlformats.org/officeDocument/2006/relationships/hyperlink" Target="https://www.sec.gov/Archives/edgar/data/1221483/000119312513368161/d505298dex99a2.htm" TargetMode="External"/><Relationship Id="rId11" Type="http://schemas.openxmlformats.org/officeDocument/2006/relationships/hyperlink" Target="https://www.sec.gov/Archives/edgar/data/1221483/000119312513368161/d505298dex99a3.htm" TargetMode="External"/><Relationship Id="rId12" Type="http://schemas.openxmlformats.org/officeDocument/2006/relationships/hyperlink" Target="https://www.sec.gov/Archives/edgar/data/1221483/000119312513368161/d505298dex99a3.htm" TargetMode="External"/><Relationship Id="rId13" Type="http://schemas.openxmlformats.org/officeDocument/2006/relationships/hyperlink" Target="https://www.sec.gov/Archives/edgar/data/1221483/000119312513368161/d505298dex99a3.htm" TargetMode="External"/><Relationship Id="rId14" Type="http://schemas.openxmlformats.org/officeDocument/2006/relationships/hyperlink" Target="https://www.sec.gov/Archives/edgar/data/1221483/000119312513361263/d505298dex99b1.htm" TargetMode="External"/><Relationship Id="rId15" Type="http://schemas.openxmlformats.org/officeDocument/2006/relationships/hyperlink" Target="https://www.sec.gov/Archives/edgar/data/1221483/000119312513361263/d505298dex99b1.htm" TargetMode="External"/><Relationship Id="rId16" Type="http://schemas.openxmlformats.org/officeDocument/2006/relationships/hyperlink" Target="https://www.sec.gov/Archives/edgar/data/1221483/000119312513361263/d505298dex99b1.htm" TargetMode="External"/><Relationship Id="rId17" Type="http://schemas.openxmlformats.org/officeDocument/2006/relationships/hyperlink" Target="https://www.sec.gov/Archives/edgar/data/1571329/000119312513376445/d505298dex99b2.htm" TargetMode="External"/><Relationship Id="rId18" Type="http://schemas.openxmlformats.org/officeDocument/2006/relationships/hyperlink" Target="https://www.sec.gov/Archives/edgar/data/1571329/000119312513376445/d505298dex99b2.htm" TargetMode="External"/><Relationship Id="rId19" Type="http://schemas.openxmlformats.org/officeDocument/2006/relationships/hyperlink" Target="https://www.sec.gov/Archives/edgar/data/1571329/000119312513376445/d505298dex99b2.htm" TargetMode="External"/><Relationship Id="rId20" Type="http://schemas.openxmlformats.org/officeDocument/2006/relationships/hyperlink" Target="https://www.sec.gov/Archives/edgar/data/1571329/000119312513376445/d505298dex99b3.htm" TargetMode="External"/><Relationship Id="rId21" Type="http://schemas.openxmlformats.org/officeDocument/2006/relationships/hyperlink" Target="https://www.sec.gov/Archives/edgar/data/1571329/000119312513376445/d505298dex99b3.htm" TargetMode="External"/><Relationship Id="rId22" Type="http://schemas.openxmlformats.org/officeDocument/2006/relationships/hyperlink" Target="https://www.sec.gov/Archives/edgar/data/1571329/000119312513376445/d505298dex99b3.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34835</Words>
  <CharactersWithSpaces>230902</CharactersWithSpaces>
  <Paragraphs>13557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