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40" w:type="dxa"/>
            <w:vAlign w:val="bottom"/>
          </w:tcPr>
          <w:p>
            <w:pPr>
              <w:spacing w:after="0"/>
              <w:rPr>
                <w:sz w:val="20"/>
                <w:szCs w:val="20"/>
                <w:color w:val="auto"/>
              </w:rPr>
            </w:pPr>
          </w:p>
        </w:tc>
      </w:tr>
      <w:tr>
        <w:trPr>
          <w:trHeight w:val="45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Quarterly Report Pursuant to Section 13 or 15(d) of the Securities Exchange Act of 1934</w:t>
            </w:r>
          </w:p>
        </w:tc>
        <w:tc>
          <w:tcPr>
            <w:tcW w:w="1740" w:type="dxa"/>
            <w:vAlign w:val="bottom"/>
          </w:tcPr>
          <w:p>
            <w:pPr>
              <w:spacing w:after="0"/>
              <w:rPr>
                <w:sz w:val="24"/>
                <w:szCs w:val="24"/>
                <w:color w:val="auto"/>
              </w:rPr>
            </w:pPr>
          </w:p>
        </w:tc>
      </w:tr>
      <w:tr>
        <w:trPr>
          <w:trHeight w:val="41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 Ended June 30, 2017</w:t>
            </w:r>
          </w:p>
        </w:tc>
        <w:tc>
          <w:tcPr>
            <w:tcW w:w="1740" w:type="dxa"/>
            <w:vAlign w:val="bottom"/>
          </w:tcPr>
          <w:p>
            <w:pPr>
              <w:spacing w:after="0"/>
              <w:rPr>
                <w:sz w:val="24"/>
                <w:szCs w:val="24"/>
                <w:color w:val="auto"/>
              </w:rPr>
            </w:pPr>
          </w:p>
        </w:tc>
      </w:tr>
      <w:tr>
        <w:trPr>
          <w:trHeight w:val="45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tc>
        <w:tc>
          <w:tcPr>
            <w:tcW w:w="1740" w:type="dxa"/>
            <w:vAlign w:val="bottom"/>
          </w:tcPr>
          <w:p>
            <w:pPr>
              <w:spacing w:after="0"/>
              <w:rPr>
                <w:sz w:val="24"/>
                <w:szCs w:val="24"/>
                <w:color w:val="auto"/>
              </w:rPr>
            </w:pPr>
          </w:p>
        </w:tc>
      </w:tr>
      <w:tr>
        <w:trPr>
          <w:trHeight w:val="39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w:t>
            </w:r>
          </w:p>
        </w:tc>
        <w:tc>
          <w:tcPr>
            <w:tcW w:w="174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charter, address of principal executive</w:t>
            </w:r>
          </w:p>
        </w:tc>
        <w:tc>
          <w:tcPr>
            <w:tcW w:w="1740" w:type="dxa"/>
            <w:vAlign w:val="bottom"/>
          </w:tcPr>
          <w:p>
            <w:pPr>
              <w:spacing w:after="0"/>
              <w:rPr>
                <w:sz w:val="18"/>
                <w:szCs w:val="18"/>
                <w:color w:val="auto"/>
              </w:rPr>
            </w:pPr>
          </w:p>
        </w:tc>
      </w:tr>
      <w:tr>
        <w:trPr>
          <w:trHeight w:val="216"/>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7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office, telephone number and state or other jurisdiction of incorporation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7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organization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268"/>
        </w:trPr>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814-01022</w:t>
            </w:r>
          </w:p>
        </w:tc>
        <w:tc>
          <w:tcPr>
            <w:tcW w:w="120" w:type="dxa"/>
            <w:vAlign w:val="bottom"/>
          </w:tcPr>
          <w:p>
            <w:pPr>
              <w:spacing w:after="0"/>
              <w:rPr>
                <w:sz w:val="23"/>
                <w:szCs w:val="23"/>
                <w:color w:val="auto"/>
              </w:rPr>
            </w:pPr>
          </w:p>
        </w:tc>
        <w:tc>
          <w:tcPr>
            <w:tcW w:w="7740" w:type="dxa"/>
            <w:vAlign w:val="bottom"/>
            <w:tcBorders>
              <w:top w:val="single" w:sz="8" w:color="auto"/>
            </w:tcBorders>
          </w:tcPr>
          <w:p>
            <w:pPr>
              <w:jc w:val="center"/>
              <w:spacing w:after="0" w:line="268" w:lineRule="exact"/>
              <w:rPr>
                <w:sz w:val="20"/>
                <w:szCs w:val="20"/>
                <w:color w:val="auto"/>
              </w:rPr>
            </w:pPr>
            <w:r>
              <w:rPr>
                <w:rFonts w:ascii="Times New Roman" w:cs="Times New Roman" w:eastAsia="Times New Roman" w:hAnsi="Times New Roman"/>
                <w:sz w:val="25"/>
                <w:szCs w:val="25"/>
                <w:b w:val="1"/>
                <w:bCs w:val="1"/>
                <w:color w:val="auto"/>
              </w:rPr>
              <w:t>Capitala Finance Corp.</w:t>
            </w:r>
          </w:p>
        </w:tc>
        <w:tc>
          <w:tcPr>
            <w:tcW w:w="120" w:type="dxa"/>
            <w:vAlign w:val="bottom"/>
          </w:tcPr>
          <w:p>
            <w:pPr>
              <w:spacing w:after="0"/>
              <w:rPr>
                <w:sz w:val="23"/>
                <w:szCs w:val="23"/>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90-0945675</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4201 Congress St., Suite 360</w:t>
            </w:r>
          </w:p>
        </w:tc>
        <w:tc>
          <w:tcPr>
            <w:tcW w:w="17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Charlotte, North Carolina</w:t>
            </w:r>
          </w:p>
        </w:tc>
        <w:tc>
          <w:tcPr>
            <w:tcW w:w="17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Telephone: (704) 376-5502</w:t>
            </w:r>
          </w:p>
        </w:tc>
        <w:tc>
          <w:tcPr>
            <w:tcW w:w="174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Maryland</w:t>
            </w:r>
          </w:p>
        </w:tc>
        <w:tc>
          <w:tcPr>
            <w:tcW w:w="1740" w:type="dxa"/>
            <w:vAlign w:val="bottom"/>
          </w:tcPr>
          <w:p>
            <w:pPr>
              <w:spacing w:after="0"/>
              <w:rPr>
                <w:sz w:val="20"/>
                <w:szCs w:val="20"/>
                <w:color w:val="auto"/>
              </w:rPr>
            </w:pPr>
          </w:p>
        </w:tc>
      </w:tr>
    </w:tbl>
    <w:p>
      <w:pPr>
        <w:spacing w:after="0" w:line="198" w:lineRule="exact"/>
        <w:rPr>
          <w:sz w:val="24"/>
          <w:szCs w:val="24"/>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ind w:left="1720"/>
        <w:spacing w:after="0" w:line="207" w:lineRule="exact"/>
        <w:tabs>
          <w:tab w:leader="none" w:pos="6380" w:val="left"/>
          <w:tab w:leader="none" w:pos="8100" w:val="left"/>
        </w:tabs>
        <w:rPr>
          <w:sz w:val="20"/>
          <w:szCs w:val="20"/>
          <w:color w:val="auto"/>
        </w:rPr>
      </w:pPr>
      <w:r>
        <w:rPr>
          <w:rFonts w:ascii="Times New Roman" w:cs="Times New Roman" w:eastAsia="Times New Roman" w:hAnsi="Times New Roman"/>
          <w:sz w:val="18"/>
          <w:szCs w:val="18"/>
          <w:color w:val="auto"/>
        </w:rPr>
        <w:t>Capitala Finance Corp.</w:t>
      </w:r>
      <w:r>
        <w:rPr>
          <w:sz w:val="20"/>
          <w:szCs w:val="20"/>
          <w:color w:val="auto"/>
        </w:rPr>
        <w:tab/>
      </w: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7" w:lineRule="exact"/>
        <w:rPr>
          <w:sz w:val="24"/>
          <w:szCs w:val="24"/>
          <w:color w:val="auto"/>
        </w:rPr>
      </w:pPr>
    </w:p>
    <w:p>
      <w:pPr>
        <w:ind w:left="1720"/>
        <w:spacing w:after="0" w:line="207" w:lineRule="exact"/>
        <w:tabs>
          <w:tab w:leader="none" w:pos="6380" w:val="left"/>
          <w:tab w:leader="none" w:pos="8100" w:val="left"/>
        </w:tabs>
        <w:rPr>
          <w:sz w:val="20"/>
          <w:szCs w:val="20"/>
          <w:color w:val="auto"/>
        </w:rPr>
      </w:pPr>
      <w:r>
        <w:rPr>
          <w:rFonts w:ascii="Times New Roman" w:cs="Times New Roman" w:eastAsia="Times New Roman" w:hAnsi="Times New Roman"/>
          <w:sz w:val="18"/>
          <w:szCs w:val="18"/>
          <w:color w:val="auto"/>
        </w:rPr>
        <w:t>Capitala Finance Corp.</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c>
          <w:tcPr>
            <w:tcW w:w="2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Large accelerated filer</w:t>
            </w:r>
          </w:p>
        </w:tc>
        <w:tc>
          <w:tcPr>
            <w:tcW w:w="8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2280" w:type="dxa"/>
            <w:vAlign w:val="bottom"/>
          </w:tcPr>
          <w:p>
            <w:pPr>
              <w:spacing w:after="0"/>
              <w:rPr>
                <w:sz w:val="24"/>
                <w:szCs w:val="24"/>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Non-accelerated filer</w:t>
            </w:r>
          </w:p>
        </w:tc>
        <w:tc>
          <w:tcPr>
            <w:tcW w:w="8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2"/>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x</w:t>
            </w:r>
          </w:p>
        </w:tc>
      </w:tr>
    </w:tbl>
    <w:p>
      <w:pPr>
        <w:spacing w:after="0" w:line="198"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752" w:right="239" w:bottom="1440" w:gutter="0" w:footer="0" w:header="0"/>
        </w:sectPr>
      </w:pPr>
    </w:p>
    <w:p>
      <w:pPr>
        <w:spacing w:after="0" w:line="225"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color w:val="auto"/>
        </w:rPr>
        <w:t>Capitala Finance Corp.</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5">
            <w:col w:w="5680" w:space="720"/>
            <w:col w:w="280" w:space="80"/>
            <w:col w:w="640" w:space="720"/>
            <w:col w:w="220" w:space="120"/>
            <w:col w:w="2960"/>
          </w:cols>
          <w:pgMar w:left="240" w:top="752" w:right="239" w:bottom="1440" w:gutter="0" w:footer="0" w:header="0"/>
          <w:type w:val="continuous"/>
        </w:sectPr>
      </w:pPr>
    </w:p>
    <w:p>
      <w:pPr>
        <w:spacing w:after="0" w:line="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The number of shares of Capitala Finance Corp.’s common stock, $0.01 par value, outstanding as of August 7, 2017 was 15,908,384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9"/>
          </w:tcPr>
          <w:p>
            <w:pPr>
              <w:ind w:left="1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Assets and Liabilities as of June 30,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for the three and six months ended June 30, 2017 and 2016 (unaudited)</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Changes in Net Assets for the six months ended June 30, 2017 and 2016 (unaudited)</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six months ended June 30, 2017 and 2016 (unaudited)</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Schedules of Investments as of June 30,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Notes to Consolidated Financial Statements as of June 30, 2017 (unaudited)</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64">
              <w:r>
                <w:rPr>
                  <w:rFonts w:ascii="Times New Roman" w:cs="Times New Roman" w:eastAsia="Times New Roman" w:hAnsi="Times New Roman"/>
                  <w:sz w:val="18"/>
                  <w:szCs w:val="18"/>
                  <w:b w:val="1"/>
                  <w:bCs w:val="1"/>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Capitala Finance Corp.</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Non-control/non-affiliate investments (amortized cost of $317,406 and $391,706, respectively)</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306,376</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investments (amortized cost of $69,857 and $39,279, respectively)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 investments (amortized cost of $86,508 and $82,791, respectively)</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 at fair value (amortized cost of $473,771 and $513,776, respectively)</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76,867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receivable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567,816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debentures (net of deferred financing costs of $2,608 and $2,911, respectively)</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168,092</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2021 Notes (net of deferred financing costs of $0 and $3,025, respectively)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Notes (net of deferred financing costs of $2,739 and $0,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72,261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 (net of deferred financing costs of $1,724 and $0, respectively)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(net of deferred financing costs of $1,437 and $759, respectively)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incentive fee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fees payable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Written call option at fair value (proceeds of $20 and $20, respectively)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common shares authorized, 15,902,495 and 15,868,045 common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240,633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realized losses from investments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written call option</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net assets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14.97</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tcPr>
          <w:p>
            <w:pPr>
              <w:jc w:val="center"/>
              <w:ind w:left="329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60" w:type="dxa"/>
            <w:vAlign w:val="bottom"/>
            <w:gridSpan w:val="5"/>
          </w:tcPr>
          <w:p>
            <w:pPr>
              <w:jc w:val="center"/>
              <w:ind w:left="4250"/>
              <w:spacing w:after="0"/>
              <w:rPr>
                <w:sz w:val="20"/>
                <w:szCs w:val="20"/>
                <w:color w:val="auto"/>
              </w:rPr>
            </w:pPr>
            <w:r>
              <w:rPr>
                <w:rFonts w:ascii="Times New Roman" w:cs="Times New Roman" w:eastAsia="Times New Roman" w:hAnsi="Times New Roman"/>
                <w:sz w:val="18"/>
                <w:szCs w:val="18"/>
                <w:b w:val="1"/>
                <w:bCs w:val="1"/>
                <w:color w:val="auto"/>
                <w:w w:val="99"/>
              </w:rPr>
              <w:t>Capitala Finance Corp.</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520" w:type="dxa"/>
            <w:vAlign w:val="bottom"/>
            <w:gridSpan w:val="6"/>
          </w:tcPr>
          <w:p>
            <w:pPr>
              <w:jc w:val="center"/>
              <w:ind w:left="37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6"/>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60" w:type="dxa"/>
            <w:vAlign w:val="bottom"/>
            <w:gridSpan w:val="5"/>
          </w:tcPr>
          <w:p>
            <w:pPr>
              <w:jc w:val="center"/>
              <w:ind w:left="42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8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80" w:type="dxa"/>
            <w:vAlign w:val="bottom"/>
          </w:tcPr>
          <w:p>
            <w:pPr>
              <w:spacing w:after="0"/>
              <w:rPr>
                <w:sz w:val="24"/>
                <w:szCs w:val="24"/>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10,604</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17,043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1,112</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1,583</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interest and fee income</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Payment-in-kind interest and dividend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 investments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payment-in-kind interest and dividend income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dividend income</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from cash and cash equivalents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2,505</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w:t>
            </w:r>
          </w:p>
        </w:tc>
        <w:tc>
          <w:tcPr>
            <w:tcW w:w="4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 before incentive fee waiver</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Incentive fee waiver (See Note 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expenses, net of fee waivers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(LOSS) ON INVESTMENTS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WRITTEN CALL OPTION:</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4,473</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 investments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realized gain (loss) from investments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written call option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(927)</w:t>
            </w:r>
          </w:p>
        </w:tc>
        <w:tc>
          <w:tcPr>
            <w:tcW w:w="4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on investments and written call option</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7,257</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PER SHARE</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RESULTING FROM OPERATIONS – BASIC AND DILUTED</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0.46</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15,889,682</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15,807,340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15,881,712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15,796,642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PER SHARE</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634"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2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Undistributed Net</w:t>
            </w:r>
          </w:p>
        </w:tc>
        <w:tc>
          <w:tcPr>
            <w:tcW w:w="1100" w:type="dxa"/>
            <w:vAlign w:val="bottom"/>
            <w:gridSpan w:val="4"/>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 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Realized</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on</w:t>
            </w:r>
          </w:p>
        </w:tc>
        <w:tc>
          <w:tcPr>
            <w:tcW w:w="100" w:type="dxa"/>
            <w:vAlign w:val="bottom"/>
          </w:tcPr>
          <w:p>
            <w:pPr>
              <w:spacing w:after="0"/>
              <w:rPr>
                <w:sz w:val="12"/>
                <w:szCs w:val="12"/>
                <w:color w:val="auto"/>
              </w:rPr>
            </w:pPr>
          </w:p>
        </w:tc>
        <w:tc>
          <w:tcPr>
            <w:tcW w:w="110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Written Call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10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December 31, 2015</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15,777,345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239,104</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8,570</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(1,299)</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22,269</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268,802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14,851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realized loss from investments</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(7,867)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(7,867)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Net change in unrealized depreciation on</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(3,917)</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investments</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Distributions to Shareholders: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Stock issued under dividend reinvestment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45,291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524</w:t>
            </w:r>
          </w:p>
        </w:tc>
        <w:tc>
          <w:tcPr>
            <w:tcW w:w="4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plan</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Distributions declared</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(14,851)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2016</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15,822,636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239,628</w:t>
            </w:r>
          </w:p>
        </w:tc>
        <w:tc>
          <w:tcPr>
            <w:tcW w:w="2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8,570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(9,166</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18,352</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257,542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December 31, 2016</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15,868,045</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240,184</w:t>
            </w: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22,973</w:t>
            </w: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(37,881)</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27,863</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(2,716)</w:t>
            </w: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250,582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realized gain from investments</w:t>
            </w: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9,534</w:t>
            </w:r>
          </w:p>
        </w:tc>
        <w:tc>
          <w:tcPr>
            <w:tcW w:w="10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Net change in unrealized depreciation on</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(14,659)</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investments</w:t>
            </w: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Net change in unrealized depreciation on</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(2,412)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written call option</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Distributions to Shareholders:</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Stock issued under dividend reinvestment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34,450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449</w:t>
            </w:r>
          </w:p>
        </w:tc>
        <w:tc>
          <w:tcPr>
            <w:tcW w:w="40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plan</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Distributions declared</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(12,388)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(12,388)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June 30, 2017</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15,902,495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240,633</w:t>
            </w:r>
          </w:p>
        </w:tc>
        <w:tc>
          <w:tcPr>
            <w:tcW w:w="20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(28,347</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13,204</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(5,128</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238,000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6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Capitala Finance Corp.</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36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6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(decrease) in net assets resulting from operations to net cash provided by</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(28,249)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Repayments and sales of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82,336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Payment-in-kind interest and dividends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Accretion of original issue discount on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unrealized depreciation on written call option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and dividend receivable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Due to related parties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Management and incentive fee payable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and financing fees payable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Paydowns on SBA debentures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to Credit Facility</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2022 Notes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2022 Convertible Notes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2021 Notes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paid to shareholders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financing fees paid</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0" w:right="239" w:bottom="1440" w:gutter="0" w:footer="0" w:header="0"/>
        </w:sectPr>
      </w:pPr>
    </w:p>
    <w:p>
      <w:pPr>
        <w:ind w:right="2500"/>
        <w:spacing w:after="0" w:line="276" w:lineRule="auto"/>
        <w:rPr>
          <w:sz w:val="20"/>
          <w:szCs w:val="20"/>
          <w:color w:val="auto"/>
        </w:rPr>
      </w:pPr>
      <w:r>
        <w:rPr>
          <w:rFonts w:ascii="Times New Roman" w:cs="Times New Roman" w:eastAsia="Times New Roman" w:hAnsi="Times New Roman"/>
          <w:sz w:val="17"/>
          <w:szCs w:val="17"/>
          <w:color w:val="auto"/>
        </w:rPr>
        <w:t>NET INCREASE (DECREASE) IN CASH AND CASH EQUIVALENTS 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40,586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(13,997)</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36,281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0"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8,233</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TRANSACTIONS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paid through dividend reinvestment plan share issuances</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 (5)</w:t>
            </w: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3"/>
                <w:szCs w:val="13"/>
                <w:color w:val="auto"/>
              </w:rPr>
            </w:pPr>
          </w:p>
        </w:tc>
        <w:tc>
          <w:tcPr>
            <w:tcW w:w="21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Non-control/non-affiliated investments - 128.7%</w:t>
            </w: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Clinical Solutions,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Healthcare</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(10.5% Cash, Due</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6/11/20)</w:t>
            </w: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8,984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8,984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(10% PIK, Due</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Manufacturer</w:t>
            </w:r>
          </w:p>
        </w:tc>
        <w:tc>
          <w:tcPr>
            <w:tcW w:w="2200" w:type="dxa"/>
            <w:vAlign w:val="bottom"/>
            <w:gridSpan w:val="2"/>
            <w:shd w:val="clear" w:color="auto" w:fill="CCEEFF"/>
          </w:tcPr>
          <w:p>
            <w:pPr>
              <w:ind w:left="120"/>
              <w:spacing w:after="0" w:line="212" w:lineRule="exact"/>
              <w:rPr>
                <w:sz w:val="20"/>
                <w:szCs w:val="20"/>
                <w:color w:val="auto"/>
              </w:rPr>
            </w:pPr>
            <w:r>
              <w:rPr>
                <w:rFonts w:ascii="Times New Roman" w:cs="Times New Roman" w:eastAsia="Times New Roman" w:hAnsi="Times New Roman"/>
                <w:sz w:val="14"/>
                <w:szCs w:val="14"/>
                <w:color w:val="auto"/>
              </w:rPr>
              <w:t xml:space="preserve">1/1/19) </w:t>
            </w:r>
            <w:r>
              <w:rPr>
                <w:rFonts w:ascii="Times New Roman" w:cs="Times New Roman" w:eastAsia="Times New Roman" w:hAnsi="Times New Roman"/>
                <w:sz w:val="23"/>
                <w:szCs w:val="23"/>
                <w:color w:val="auto"/>
                <w:vertAlign w:val="superscript"/>
              </w:rPr>
              <w:t>(1) (2)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Warrants (10%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Manufacturer</w:t>
            </w: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fully diluted)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AmeriMark Direct,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(12.75% Cash, Due</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9/8/21)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19,400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19,400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19,400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B&amp;W Quality Growers,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Farming</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(14% Cash, Due</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5,996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7/23/20)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B&amp;W Quality Growers,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Farming</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Membership Unit Warrants (91,739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BigMouth, Inc.</w:t>
            </w:r>
          </w:p>
        </w:tc>
        <w:tc>
          <w:tcPr>
            <w:tcW w:w="2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Consumer Products</w:t>
            </w:r>
          </w:p>
        </w:tc>
        <w:tc>
          <w:tcPr>
            <w:tcW w:w="2260" w:type="dxa"/>
            <w:vAlign w:val="bottom"/>
            <w:gridSpan w:val="3"/>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First Lien Debt (12.6%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11/14/21)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10,138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BigMouth, Inc.</w:t>
            </w:r>
          </w:p>
        </w:tc>
        <w:tc>
          <w:tcPr>
            <w:tcW w:w="2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Consumer Products</w:t>
            </w:r>
          </w:p>
        </w:tc>
        <w:tc>
          <w:tcPr>
            <w:tcW w:w="2260" w:type="dxa"/>
            <w:vAlign w:val="bottom"/>
            <w:gridSpan w:val="3"/>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Series A Preferred Stock (350,000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shares, 8% PIK) </w:t>
            </w:r>
            <w:r>
              <w:rPr>
                <w:rFonts w:ascii="Times New Roman" w:cs="Times New Roman" w:eastAsia="Times New Roman" w:hAnsi="Times New Roman"/>
                <w:sz w:val="23"/>
                <w:szCs w:val="23"/>
                <w:color w:val="auto"/>
                <w:vertAlign w:val="superscript"/>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Bluestem Brands, Inc.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Online Merchandise Retailer</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(8.73% Cash (1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+ 7.5%,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11/7/20)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4,064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4,064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Brunswick Bowling Products, Inc.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Bowling Products</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(8% Cash (1 month</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LIBOR + 6%, 2% Floor),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5/22/20)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Brunswick Bowling Products, Inc.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Bowling Products</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(16.25% Cash (1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+ 14.25%, 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5,586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5,586</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Floor), Due 5/22/20)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Brunswick Bowling Products, Inc.</w:t>
            </w:r>
          </w:p>
        </w:tc>
        <w:tc>
          <w:tcPr>
            <w:tcW w:w="2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Bowling Products</w:t>
            </w:r>
          </w:p>
        </w:tc>
        <w:tc>
          <w:tcPr>
            <w:tcW w:w="2260" w:type="dxa"/>
            <w:vAlign w:val="bottom"/>
            <w:gridSpan w:val="3"/>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Preferred Shares (2,966 shares, 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PIK) </w:t>
            </w:r>
            <w:r>
              <w:rPr>
                <w:rFonts w:ascii="Times New Roman" w:cs="Times New Roman" w:eastAsia="Times New Roman" w:hAnsi="Times New Roman"/>
                <w:sz w:val="23"/>
                <w:szCs w:val="23"/>
                <w:color w:val="auto"/>
                <w:vertAlign w:val="superscript"/>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Burke America Parts Group, LLC</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 Repair Parts Manufacturer</w:t>
            </w: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Membership Units (14 units)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California Pizza Kitchen, Inc.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Restaurant</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Second Lien Debt (11.3% Cash (3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+ 10%,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8/23/23)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4,868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4,868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Caregiver Services, Inc.</w:t>
            </w: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In-Home Healthcare Services</w:t>
            </w:r>
          </w:p>
        </w:tc>
        <w:tc>
          <w:tcPr>
            <w:tcW w:w="2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(293,186 shares)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Caregiver Services, Inc.</w:t>
            </w:r>
          </w:p>
        </w:tc>
        <w:tc>
          <w:tcPr>
            <w:tcW w:w="2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In-Home Healthcare Services</w:t>
            </w:r>
          </w:p>
        </w:tc>
        <w:tc>
          <w:tcPr>
            <w:tcW w:w="2260" w:type="dxa"/>
            <w:vAlign w:val="bottom"/>
            <w:gridSpan w:val="3"/>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Common Stock Warrants (655,908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23"/>
                <w:szCs w:val="23"/>
                <w:color w:val="auto"/>
                <w:vertAlign w:val="superscript"/>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Cedar Electronics Holding Corp.</w:t>
            </w:r>
          </w:p>
        </w:tc>
        <w:tc>
          <w:tcPr>
            <w:tcW w:w="20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Consumer Electronics</w:t>
            </w:r>
          </w:p>
        </w:tc>
        <w:tc>
          <w:tcPr>
            <w:tcW w:w="2260" w:type="dxa"/>
            <w:vAlign w:val="bottom"/>
            <w:gridSpan w:val="3"/>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Subordinated Debt (12%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12/26/20) </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16,091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16,091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Corporate Visions, Inc.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Sales &amp; Marketing Services</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(9% Cash, 2%</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16,431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16,431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14,663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PIK, Due 11/29/21)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&amp; Marketing Services</w:t>
            </w: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(15,750 shares)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15,380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CSM Bakery Solutions,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Bakery Supplies Distributor</w:t>
            </w:r>
          </w:p>
        </w:tc>
        <w:tc>
          <w:tcPr>
            <w:tcW w:w="22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Second Lien Debt (8.9% Cash (1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11,829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10,500</w:t>
            </w:r>
          </w:p>
        </w:tc>
        <w:tc>
          <w:tcPr>
            <w:tcW w:w="10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+ 7.75%,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8/7/22)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0" w:right="23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Currency Capital, LLC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Financial Services</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(12.08% Cash (1</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month LIBOR + 11.00%, 0.50%</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5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Floor) Due 1/20/22) </w:t>
            </w:r>
            <w:r>
              <w:rPr>
                <w:rFonts w:ascii="Times New Roman" w:cs="Times New Roman" w:eastAsia="Times New Roman" w:hAnsi="Times New Roman"/>
                <w:sz w:val="23"/>
                <w:szCs w:val="23"/>
                <w:color w:val="auto"/>
                <w:vertAlign w:val="superscript"/>
              </w:rPr>
              <w:t>(8)</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Currency Capital, LLC</w:t>
            </w:r>
          </w:p>
        </w:tc>
        <w:tc>
          <w:tcPr>
            <w:tcW w:w="21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Financial Services</w:t>
            </w:r>
          </w:p>
        </w:tc>
        <w:tc>
          <w:tcPr>
            <w:tcW w:w="25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Class A Preferred Units (2,000,000</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520" w:type="dxa"/>
            <w:vAlign w:val="bottom"/>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23"/>
                <w:szCs w:val="23"/>
                <w:color w:val="auto"/>
                <w:vertAlign w:val="superscript"/>
              </w:rPr>
              <w:t>(8)</w:t>
            </w:r>
          </w:p>
        </w:tc>
        <w:tc>
          <w:tcPr>
            <w:tcW w:w="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Flavors Holdings, Inc.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Food Product Manufacturer</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(7.04% Cash (3</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+ 5.75%, 1% Floor),</w:t>
            </w:r>
          </w:p>
        </w:tc>
        <w:tc>
          <w:tcPr>
            <w:tcW w:w="9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6,900</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6,759</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4/3/20)</w:t>
            </w:r>
          </w:p>
        </w:tc>
        <w:tc>
          <w:tcPr>
            <w:tcW w:w="94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Flavors Holdings, Inc.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Food Product Manufacturer</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Second Lien Debt (11.3% Cash (3</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+ 10%, 1% Floor),</w:t>
            </w: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Due 10/3/21)</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11,705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18,464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Immersive Media Tactical Solutions, LLC</w:t>
            </w:r>
          </w:p>
        </w:tc>
        <w:tc>
          <w:tcPr>
            <w:tcW w:w="21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Specialty Defense Contractor</w:t>
            </w:r>
          </w:p>
        </w:tc>
        <w:tc>
          <w:tcPr>
            <w:tcW w:w="25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Subordinated Debt (Due 12/9/19)</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Kelle's Transport Service, LLC</w:t>
            </w:r>
          </w:p>
        </w:tc>
        <w:tc>
          <w:tcPr>
            <w:tcW w:w="21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Transportation</w:t>
            </w:r>
          </w:p>
        </w:tc>
        <w:tc>
          <w:tcPr>
            <w:tcW w:w="25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First Lien Debt (14% Cash, Due</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5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3/31/19)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13,674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13,669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Kelle's Transport Service, LLC</w:t>
            </w:r>
          </w:p>
        </w:tc>
        <w:tc>
          <w:tcPr>
            <w:tcW w:w="21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Transportation</w:t>
            </w:r>
          </w:p>
        </w:tc>
        <w:tc>
          <w:tcPr>
            <w:tcW w:w="2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Units (1,000 units)</w:t>
            </w:r>
          </w:p>
        </w:tc>
        <w:tc>
          <w:tcPr>
            <w:tcW w:w="9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3,433</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Kelle's Transport Service, LLC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Transportation</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Warrants (15%</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fully diluted)</w:t>
            </w:r>
          </w:p>
        </w:tc>
        <w:tc>
          <w:tcPr>
            <w:tcW w:w="9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17,125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Nth Degree, Inc.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(8.08% Cash (1</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+ 7%, 1% Floor),</w:t>
            </w:r>
          </w:p>
        </w:tc>
        <w:tc>
          <w:tcPr>
            <w:tcW w:w="9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8,984</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8,984</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8,984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 PIK, Due 12/14/20)</w:t>
            </w:r>
          </w:p>
        </w:tc>
        <w:tc>
          <w:tcPr>
            <w:tcW w:w="94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Nth Degree, Inc.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(12.58% Cash (1</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month LIBOR + 11.5%, 1% Floor),</w:t>
            </w:r>
          </w:p>
        </w:tc>
        <w:tc>
          <w:tcPr>
            <w:tcW w:w="94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7,423</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7,423</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7,423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 PIK, Due 12/14/20)</w:t>
            </w:r>
          </w:p>
        </w:tc>
        <w:tc>
          <w:tcPr>
            <w:tcW w:w="94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Nth Degree, Inc.</w:t>
            </w:r>
          </w:p>
        </w:tc>
        <w:tc>
          <w:tcPr>
            <w:tcW w:w="21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Business Services</w:t>
            </w:r>
          </w:p>
        </w:tc>
        <w:tc>
          <w:tcPr>
            <w:tcW w:w="25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Preferred Stock (2,400 Units, 10%</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520" w:type="dxa"/>
            <w:vAlign w:val="bottom"/>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PIK dividend) </w:t>
            </w:r>
            <w:r>
              <w:rPr>
                <w:rFonts w:ascii="Times New Roman" w:cs="Times New Roman" w:eastAsia="Times New Roman" w:hAnsi="Times New Roman"/>
                <w:sz w:val="23"/>
                <w:szCs w:val="23"/>
                <w:color w:val="auto"/>
                <w:vertAlign w:val="superscript"/>
              </w:rPr>
              <w:t>(6)</w:t>
            </w:r>
          </w:p>
        </w:tc>
        <w:tc>
          <w:tcPr>
            <w:tcW w:w="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2,796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24,827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Portrait Innovations, Inc.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Professional and Personal Digital</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(12% Cash, Due</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Imaging</w:t>
            </w:r>
          </w:p>
        </w:tc>
        <w:tc>
          <w:tcPr>
            <w:tcW w:w="252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4"/>
                <w:szCs w:val="14"/>
                <w:color w:val="auto"/>
              </w:rPr>
              <w:t xml:space="preserve">2/26/20) </w:t>
            </w:r>
            <w:r>
              <w:rPr>
                <w:rFonts w:ascii="Times New Roman" w:cs="Times New Roman" w:eastAsia="Times New Roman" w:hAnsi="Times New Roman"/>
                <w:sz w:val="23"/>
                <w:szCs w:val="23"/>
                <w:color w:val="auto"/>
                <w:vertAlign w:val="superscript"/>
              </w:rPr>
              <w:t>(14)</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Sequoia Healthcare Management, LLC</w:t>
            </w:r>
          </w:p>
        </w:tc>
        <w:tc>
          <w:tcPr>
            <w:tcW w:w="21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Healthcare Management</w:t>
            </w:r>
          </w:p>
        </w:tc>
        <w:tc>
          <w:tcPr>
            <w:tcW w:w="25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(13% Cash, 4%</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PIK, Due 7/17/19)</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10,029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9,957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10,029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10,029</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 (5)</w:t>
            </w: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3"/>
                <w:szCs w:val="13"/>
                <w:color w:val="auto"/>
              </w:rPr>
            </w:pPr>
          </w:p>
        </w:tc>
        <w:tc>
          <w:tcPr>
            <w:tcW w:w="22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Sierra Hamilton, LLC</w:t>
            </w: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Oil &amp; Gas Engineering and</w:t>
            </w:r>
          </w:p>
        </w:tc>
        <w:tc>
          <w:tcPr>
            <w:tcW w:w="23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(9.23% Cash (1</w:t>
            </w: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Consulting Services</w:t>
            </w:r>
          </w:p>
        </w:tc>
        <w:tc>
          <w:tcPr>
            <w:tcW w:w="2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Month LIBOR + 8.00%, 1.00%</w:t>
            </w: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320" w:type="dxa"/>
            <w:vAlign w:val="bottom"/>
            <w:gridSpan w:val="3"/>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Floor), Due 6/13/17) </w:t>
            </w:r>
            <w:r>
              <w:rPr>
                <w:rFonts w:ascii="Times New Roman" w:cs="Times New Roman" w:eastAsia="Times New Roman" w:hAnsi="Times New Roman"/>
                <w:sz w:val="23"/>
                <w:szCs w:val="23"/>
                <w:color w:val="auto"/>
                <w:vertAlign w:val="superscript"/>
              </w:rPr>
              <w:t>(15)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900" w:orient="portrait"/>
          <w:cols w:equalWidth="0" w:num="1">
            <w:col w:w="11420"/>
          </w:cols>
          <w:pgMar w:left="240" w:top="913" w:right="239" w:bottom="0" w:gutter="0" w:footer="0" w:header="0"/>
        </w:sect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Sierra Hamilton, LLC</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Oil &amp; Gas Engineering and</w:t>
            </w: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 Lien Debt (12.25% Cash, Due</w:t>
            </w:r>
          </w:p>
        </w:tc>
      </w:tr>
      <w:tr>
        <w:trPr>
          <w:trHeight w:val="327"/>
        </w:trPr>
        <w:tc>
          <w:tcPr>
            <w:tcW w:w="248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Consulting Services</w:t>
            </w: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12/15/18) </w:t>
            </w:r>
            <w:r>
              <w:rPr>
                <w:rFonts w:ascii="Times New Roman" w:cs="Times New Roman" w:eastAsia="Times New Roman" w:hAnsi="Times New Roman"/>
                <w:sz w:val="23"/>
                <w:szCs w:val="23"/>
                <w:color w:val="auto"/>
                <w:vertAlign w:val="superscript"/>
              </w:rPr>
              <w:t>(2)</w:t>
            </w:r>
          </w:p>
        </w:tc>
      </w:tr>
      <w:tr>
        <w:trPr>
          <w:trHeight w:val="510"/>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Sur La Table, Inc.</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 Lien Debt (12% Cash, Due</w:t>
            </w:r>
          </w:p>
        </w:tc>
      </w:tr>
      <w:tr>
        <w:trPr>
          <w:trHeight w:val="188"/>
        </w:trPr>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7/28/20)</w:t>
            </w:r>
          </w:p>
        </w:tc>
      </w:tr>
      <w:tr>
        <w:trPr>
          <w:trHeight w:val="609"/>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Taylor Precision Products, Inc.</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Household Product Manufacturer</w:t>
            </w: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Series C Preferred Stock (379</w:t>
            </w:r>
          </w:p>
        </w:tc>
      </w:tr>
      <w:tr>
        <w:trPr>
          <w:trHeight w:val="188"/>
        </w:trPr>
        <w:tc>
          <w:tcPr>
            <w:tcW w:w="2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r>
      <w:tr>
        <w:trPr>
          <w:trHeight w:val="620"/>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Velum Global Credit Management, LLC</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Services</w:t>
            </w: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 Lien Debt (15% PIK, Due</w:t>
            </w:r>
          </w:p>
        </w:tc>
      </w:tr>
      <w:tr>
        <w:trPr>
          <w:trHeight w:val="315"/>
        </w:trPr>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12/31/17) </w:t>
            </w:r>
            <w:r>
              <w:rPr>
                <w:rFonts w:ascii="Times New Roman" w:cs="Times New Roman" w:eastAsia="Times New Roman" w:hAnsi="Times New Roman"/>
                <w:sz w:val="23"/>
                <w:szCs w:val="23"/>
                <w:color w:val="auto"/>
                <w:vertAlign w:val="superscript"/>
              </w:rPr>
              <w:t>(1)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-1830705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-1298575</wp:posOffset>
            </wp:positionV>
            <wp:extent cx="72466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-998855</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-793115</wp:posOffset>
            </wp:positionV>
            <wp:extent cx="72466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15,000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15,000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8"/>
              </w:rPr>
              <w:t>11,374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900" w:orient="portrait"/>
          <w:cols w:equalWidth="0" w:num="2">
            <w:col w:w="6880" w:space="660"/>
            <w:col w:w="3880"/>
          </w:cols>
          <w:pgMar w:left="240" w:top="913" w:right="239" w:bottom="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11,374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Vintage Stock, Inc.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Specialty Retail</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 Lien Debt (13.55% Cash (1</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month LIBOR + 12.5%, 0.5%</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floor), 3% PIK, Due 11/3/21)</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Vology, Inc.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Information Technology</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Subordinated Debt (15% Cash (3</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month LIBOR + 14%, 1% Ceiling),</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 PIK Due 1/24/21)</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8,205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Western Windows Systems, LLC</w:t>
            </w:r>
          </w:p>
        </w:tc>
        <w:tc>
          <w:tcPr>
            <w:tcW w:w="24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Building Products</w:t>
            </w:r>
          </w:p>
        </w:tc>
        <w:tc>
          <w:tcPr>
            <w:tcW w:w="22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First Lien Debt (11.7%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7/31/20)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Western Windows Systems, LLC</w:t>
            </w:r>
          </w:p>
        </w:tc>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Building Products</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Membership Units (39,860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Xirgo Technologies, LLC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Information Technology</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Subordinated Debt (11.5% Cash,</w:t>
            </w:r>
          </w:p>
        </w:tc>
        <w:tc>
          <w:tcPr>
            <w:tcW w:w="3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15,750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15,750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15,750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Due 3/1/22)</w:t>
            </w:r>
          </w:p>
        </w:tc>
        <w:tc>
          <w:tcPr>
            <w:tcW w:w="3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Xirgo Technologies, LLC</w:t>
            </w:r>
          </w:p>
        </w:tc>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Membership Units (600,000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16,350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16,350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317,406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306,376</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color w:val="auto"/>
              </w:rPr>
              <w:t>128.7</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Affiliate investments - 39.1%</w:t>
            </w:r>
          </w:p>
        </w:tc>
        <w:tc>
          <w:tcPr>
            <w:tcW w:w="24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AAE Acquisition, LLC</w:t>
            </w:r>
          </w:p>
        </w:tc>
        <w:tc>
          <w:tcPr>
            <w:tcW w:w="24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2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Second Lien Debt (8% Cash, 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PIK, Due 8/24/19)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15,532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15,532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15,032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AAE Acquisition, LLC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Membership Units (2.19% fully</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AAE Acquisition, LLC</w:t>
            </w:r>
          </w:p>
        </w:tc>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Industrial Equipment Rental</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Warrants (37.78% fully diluted)</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15,549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15,032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Burgaflex Holdings, LLC</w:t>
            </w:r>
          </w:p>
        </w:tc>
        <w:tc>
          <w:tcPr>
            <w:tcW w:w="24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Automobile Part Manufacturer</w:t>
            </w:r>
          </w:p>
        </w:tc>
        <w:tc>
          <w:tcPr>
            <w:tcW w:w="22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Subordinated Debt (14%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8/9/19) </w:t>
            </w:r>
            <w:r>
              <w:rPr>
                <w:rFonts w:ascii="Times New Roman" w:cs="Times New Roman" w:eastAsia="Times New Roman" w:hAnsi="Times New Roman"/>
                <w:sz w:val="23"/>
                <w:szCs w:val="23"/>
                <w:color w:val="auto"/>
                <w:vertAlign w:val="superscript"/>
              </w:rPr>
              <w:t>(10)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Burgaflex Holdings, LLC</w:t>
            </w:r>
          </w:p>
        </w:tc>
        <w:tc>
          <w:tcPr>
            <w:tcW w:w="24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Automobile Part Manufacturer</w:t>
            </w:r>
          </w:p>
        </w:tc>
        <w:tc>
          <w:tcPr>
            <w:tcW w:w="22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Subordinated Debt (12%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8/9/19) </w:t>
            </w:r>
            <w:r>
              <w:rPr>
                <w:rFonts w:ascii="Times New Roman" w:cs="Times New Roman" w:eastAsia="Times New Roman" w:hAnsi="Times New Roman"/>
                <w:sz w:val="23"/>
                <w:szCs w:val="23"/>
                <w:color w:val="auto"/>
                <w:vertAlign w:val="superscript"/>
              </w:rPr>
              <w:t>(10)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Burgaflex Holdings, LLC</w:t>
            </w:r>
          </w:p>
        </w:tc>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Automobile Part Manufacturer</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(1,253,198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10,332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City Gear, LLC</w:t>
            </w:r>
          </w:p>
        </w:tc>
        <w:tc>
          <w:tcPr>
            <w:tcW w:w="24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Footwear Retail</w:t>
            </w:r>
          </w:p>
        </w:tc>
        <w:tc>
          <w:tcPr>
            <w:tcW w:w="22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Subordinated Debt (13%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10/20/19)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Preferred Membership Units</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(2.78% fully diluted, 9% Cash</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Dividend) </w:t>
            </w:r>
            <w:r>
              <w:rPr>
                <w:rFonts w:ascii="Times New Roman" w:cs="Times New Roman" w:eastAsia="Times New Roman" w:hAnsi="Times New Roman"/>
                <w:sz w:val="23"/>
                <w:szCs w:val="23"/>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Membership Unit Warrants</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(11.38% fully diluted)</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19,162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GA Communications, Inc.</w:t>
            </w:r>
          </w:p>
        </w:tc>
        <w:tc>
          <w:tcPr>
            <w:tcW w:w="2440" w:type="dxa"/>
            <w:vAlign w:val="bottom"/>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24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Series A-1 Preferred Stock (1,998</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200" w:lineRule="exact"/>
              <w:rPr>
                <w:sz w:val="20"/>
                <w:szCs w:val="20"/>
                <w:color w:val="auto"/>
              </w:rPr>
            </w:pPr>
            <w:r>
              <w:rPr>
                <w:rFonts w:ascii="Times New Roman" w:cs="Times New Roman" w:eastAsia="Times New Roman" w:hAnsi="Times New Roman"/>
                <w:sz w:val="14"/>
                <w:szCs w:val="14"/>
                <w:color w:val="auto"/>
              </w:rPr>
              <w:t xml:space="preserve">shares, 8% PIK Dividend) </w:t>
            </w:r>
            <w:r>
              <w:rPr>
                <w:rFonts w:ascii="Times New Roman" w:cs="Times New Roman" w:eastAsia="Times New Roman" w:hAnsi="Times New Roman"/>
                <w:sz w:val="23"/>
                <w:szCs w:val="23"/>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 Communications, Inc.</w:t>
            </w:r>
          </w:p>
        </w:tc>
        <w:tc>
          <w:tcPr>
            <w:tcW w:w="244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24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Series B-1 Common Stock</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(200,000 shares)</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2,774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J&amp;J Produce Holdings, Inc.</w:t>
            </w:r>
          </w:p>
        </w:tc>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Produce Distribution</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Subordinated Debt (13% Cash, Due</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bl>
    <w:p>
      <w:pPr>
        <w:sectPr>
          <w:pgSz w:w="11900" w:h="16900" w:orient="portrait"/>
          <w:cols w:equalWidth="0" w:num="1">
            <w:col w:w="11420"/>
          </w:cols>
          <w:pgMar w:left="240" w:top="913" w:right="23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7/16/18)</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Stock (8,182 shares)</w:t>
            </w:r>
          </w:p>
        </w:tc>
        <w:tc>
          <w:tcPr>
            <w:tcW w:w="9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J&amp;J Produce Holdings, Inc.</w:t>
            </w:r>
          </w:p>
        </w:tc>
        <w:tc>
          <w:tcPr>
            <w:tcW w:w="2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Produce Distribution</w:t>
            </w:r>
          </w:p>
        </w:tc>
        <w:tc>
          <w:tcPr>
            <w:tcW w:w="24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Warrants (6,369</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9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LJS Partners, LLC</w:t>
            </w: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QSR Franchisor</w:t>
            </w: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Common Stock (1,500,000 shares)</w:t>
            </w: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1,525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1,525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MMI Holdings, LLC</w:t>
            </w:r>
          </w:p>
        </w:tc>
        <w:tc>
          <w:tcPr>
            <w:tcW w:w="2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Medical Device Distributor</w:t>
            </w:r>
          </w:p>
        </w:tc>
        <w:tc>
          <w:tcPr>
            <w:tcW w:w="24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First Lien Debt (12% Cash, Due</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80" w:type="dxa"/>
            <w:vAlign w:val="bottom"/>
            <w:shd w:val="clear" w:color="auto" w:fill="CCEEFF"/>
          </w:tcPr>
          <w:p>
            <w:pPr>
              <w:ind w:left="80"/>
              <w:spacing w:after="0" w:line="200" w:lineRule="exact"/>
              <w:rPr>
                <w:sz w:val="20"/>
                <w:szCs w:val="20"/>
                <w:color w:val="auto"/>
              </w:rPr>
            </w:pPr>
            <w:r>
              <w:rPr>
                <w:rFonts w:ascii="Times New Roman" w:cs="Times New Roman" w:eastAsia="Times New Roman" w:hAnsi="Times New Roman"/>
                <w:sz w:val="14"/>
                <w:szCs w:val="14"/>
                <w:color w:val="auto"/>
              </w:rPr>
              <w:t xml:space="preserve">1/31/18)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MMI Holdings, LLC</w:t>
            </w:r>
          </w:p>
        </w:tc>
        <w:tc>
          <w:tcPr>
            <w:tcW w:w="2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Medical Device Distributor</w:t>
            </w:r>
          </w:p>
        </w:tc>
        <w:tc>
          <w:tcPr>
            <w:tcW w:w="24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Subordinated Debt (6% Cash, Due</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80" w:type="dxa"/>
            <w:vAlign w:val="bottom"/>
            <w:shd w:val="clear" w:color="auto" w:fill="CCEEFF"/>
          </w:tcPr>
          <w:p>
            <w:pPr>
              <w:ind w:left="80"/>
              <w:spacing w:after="0" w:line="200" w:lineRule="exact"/>
              <w:rPr>
                <w:sz w:val="20"/>
                <w:szCs w:val="20"/>
                <w:color w:val="auto"/>
              </w:rPr>
            </w:pPr>
            <w:r>
              <w:rPr>
                <w:rFonts w:ascii="Times New Roman" w:cs="Times New Roman" w:eastAsia="Times New Roman" w:hAnsi="Times New Roman"/>
                <w:sz w:val="14"/>
                <w:szCs w:val="14"/>
                <w:color w:val="auto"/>
              </w:rPr>
              <w:t xml:space="preserve">1/31/18)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MMI Holdings, LLC</w:t>
            </w:r>
          </w:p>
        </w:tc>
        <w:tc>
          <w:tcPr>
            <w:tcW w:w="2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Medical Device Distributor</w:t>
            </w:r>
          </w:p>
        </w:tc>
        <w:tc>
          <w:tcPr>
            <w:tcW w:w="24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Preferred Units (1,000 units, 6%</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80" w:type="dxa"/>
            <w:vAlign w:val="bottom"/>
            <w:shd w:val="clear" w:color="auto" w:fill="CCEEFF"/>
          </w:tcPr>
          <w:p>
            <w:pPr>
              <w:ind w:left="80"/>
              <w:spacing w:after="0" w:line="200" w:lineRule="exact"/>
              <w:rPr>
                <w:sz w:val="20"/>
                <w:szCs w:val="20"/>
                <w:color w:val="auto"/>
              </w:rPr>
            </w:pPr>
            <w:r>
              <w:rPr>
                <w:rFonts w:ascii="Times New Roman" w:cs="Times New Roman" w:eastAsia="Times New Roman" w:hAnsi="Times New Roman"/>
                <w:sz w:val="14"/>
                <w:szCs w:val="14"/>
                <w:color w:val="auto"/>
              </w:rPr>
              <w:t xml:space="preserve">PIK dividend) </w:t>
            </w:r>
            <w:r>
              <w:rPr>
                <w:rFonts w:ascii="Times New Roman" w:cs="Times New Roman" w:eastAsia="Times New Roman" w:hAnsi="Times New Roman"/>
                <w:sz w:val="23"/>
                <w:szCs w:val="23"/>
                <w:color w:val="auto"/>
                <w:vertAlign w:val="superscript"/>
              </w:rPr>
              <w:t>(6)</w:t>
            </w:r>
          </w:p>
        </w:tc>
        <w:tc>
          <w:tcPr>
            <w:tcW w:w="9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MMI Holdings, LLC</w:t>
            </w:r>
          </w:p>
        </w:tc>
        <w:tc>
          <w:tcPr>
            <w:tcW w:w="2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Medical Device Distributor</w:t>
            </w:r>
          </w:p>
        </w:tc>
        <w:tc>
          <w:tcPr>
            <w:tcW w:w="24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Membership Units (45</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units)</w:t>
            </w:r>
          </w:p>
        </w:tc>
        <w:tc>
          <w:tcPr>
            <w:tcW w:w="9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4,310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MTI Holdings, LLC</w:t>
            </w:r>
          </w:p>
        </w:tc>
        <w:tc>
          <w:tcPr>
            <w:tcW w:w="2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Retail Display &amp; Security Services</w:t>
            </w:r>
          </w:p>
        </w:tc>
        <w:tc>
          <w:tcPr>
            <w:tcW w:w="24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Membership Units (2,000,000</w:t>
            </w: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80" w:type="dxa"/>
            <w:vAlign w:val="bottom"/>
            <w:shd w:val="clear" w:color="auto" w:fill="CCEEFF"/>
          </w:tcPr>
          <w:p>
            <w:pPr>
              <w:ind w:left="80"/>
              <w:spacing w:after="0" w:line="213"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23"/>
                <w:szCs w:val="23"/>
                <w:color w:val="auto"/>
                <w:vertAlign w:val="superscript"/>
              </w:rPr>
              <w:t>(12)</w:t>
            </w:r>
          </w:p>
        </w:tc>
        <w:tc>
          <w:tcPr>
            <w:tcW w:w="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Penray, LLC</w:t>
            </w:r>
          </w:p>
        </w:tc>
        <w:tc>
          <w:tcPr>
            <w:tcW w:w="2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Automotive Chemicals &amp;</w:t>
            </w:r>
          </w:p>
        </w:tc>
        <w:tc>
          <w:tcPr>
            <w:tcW w:w="24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Membership Units (11.3%</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Lubricants</w:t>
            </w: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ownership)</w:t>
            </w:r>
          </w:p>
        </w:tc>
        <w:tc>
          <w:tcPr>
            <w:tcW w:w="9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STX Healthcare Management Services,</w:t>
            </w:r>
          </w:p>
        </w:tc>
        <w:tc>
          <w:tcPr>
            <w:tcW w:w="2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Dental Practice Management</w:t>
            </w:r>
          </w:p>
        </w:tc>
        <w:tc>
          <w:tcPr>
            <w:tcW w:w="24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(1,200,000 shares)</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2280" w:type="dxa"/>
            <w:vAlign w:val="bottom"/>
            <w:shd w:val="clear" w:color="auto" w:fill="CCEEFF"/>
          </w:tcPr>
          <w:p>
            <w:pPr>
              <w:spacing w:after="0"/>
              <w:rPr>
                <w:sz w:val="17"/>
                <w:szCs w:val="17"/>
                <w:color w:val="auto"/>
              </w:rPr>
            </w:pP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(12)</w:t>
            </w:r>
          </w:p>
        </w:tc>
        <w:tc>
          <w:tcPr>
            <w:tcW w:w="9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 Well Services, LLC</w:t>
            </w:r>
          </w:p>
        </w:tc>
        <w:tc>
          <w:tcPr>
            <w:tcW w:w="2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Oil &amp; Gas Services</w:t>
            </w:r>
          </w:p>
        </w:tc>
        <w:tc>
          <w:tcPr>
            <w:tcW w:w="24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First Lien Debt (7.23% Cash (1</w:t>
            </w:r>
          </w:p>
        </w:tc>
        <w:tc>
          <w:tcPr>
            <w:tcW w:w="9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month LIBOR + 6%, 1% floor),</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80" w:type="dxa"/>
            <w:vAlign w:val="bottom"/>
            <w:shd w:val="clear" w:color="auto" w:fill="CCEEFF"/>
          </w:tcPr>
          <w:p>
            <w:pPr>
              <w:ind w:left="80"/>
              <w:spacing w:after="0" w:line="200" w:lineRule="exact"/>
              <w:rPr>
                <w:sz w:val="20"/>
                <w:szCs w:val="20"/>
                <w:color w:val="auto"/>
              </w:rPr>
            </w:pPr>
            <w:r>
              <w:rPr>
                <w:rFonts w:ascii="Times New Roman" w:cs="Times New Roman" w:eastAsia="Times New Roman" w:hAnsi="Times New Roman"/>
                <w:sz w:val="14"/>
                <w:szCs w:val="14"/>
                <w:color w:val="auto"/>
              </w:rPr>
              <w:t xml:space="preserve">Due 1/31/22) </w:t>
            </w:r>
            <w:r>
              <w:rPr>
                <w:rFonts w:ascii="Times New Roman" w:cs="Times New Roman" w:eastAsia="Times New Roman" w:hAnsi="Times New Roman"/>
                <w:sz w:val="23"/>
                <w:szCs w:val="23"/>
                <w:color w:val="auto"/>
                <w:vertAlign w:val="superscript"/>
              </w:rPr>
              <w:t>(13)</w:t>
            </w:r>
          </w:p>
        </w:tc>
        <w:tc>
          <w:tcPr>
            <w:tcW w:w="9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1,653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1,653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1,653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 (5)</w:t>
            </w:r>
          </w:p>
        </w:tc>
        <w:tc>
          <w:tcPr>
            <w:tcW w:w="100" w:type="dxa"/>
            <w:vAlign w:val="bottom"/>
          </w:tcPr>
          <w:p>
            <w:pPr>
              <w:spacing w:after="0"/>
              <w:rPr>
                <w:sz w:val="22"/>
                <w:szCs w:val="22"/>
                <w:color w:val="auto"/>
              </w:rPr>
            </w:pPr>
          </w:p>
        </w:tc>
        <w:tc>
          <w:tcPr>
            <w:tcW w:w="2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Industry</w:t>
            </w:r>
          </w:p>
        </w:tc>
      </w:tr>
      <w:tr>
        <w:trPr>
          <w:trHeight w:val="308"/>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U.S. Well Services, LLC</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Oil &amp; Gas Services</w:t>
            </w:r>
          </w:p>
        </w:tc>
      </w:tr>
      <w:tr>
        <w:trPr>
          <w:trHeight w:val="59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U.S. Well Services, LLC</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Oil &amp; Gas Services</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U.S. Well Services, LLC</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Oil &amp; Gas Services</w:t>
            </w:r>
          </w:p>
        </w:tc>
      </w:tr>
      <w:tr>
        <w:trPr>
          <w:trHeight w:val="609"/>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V12 Holdings, Inc.</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Data Processing &amp; Digital</w:t>
            </w:r>
          </w:p>
        </w:tc>
      </w:tr>
      <w:tr>
        <w:trPr>
          <w:trHeight w:val="188"/>
        </w:trPr>
        <w:tc>
          <w:tcPr>
            <w:tcW w:w="2520" w:type="dxa"/>
            <w:vAlign w:val="bottom"/>
          </w:tcPr>
          <w:p>
            <w:pPr>
              <w:spacing w:after="0"/>
              <w:rPr>
                <w:sz w:val="16"/>
                <w:szCs w:val="16"/>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Marketing</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00" w:type="dxa"/>
            <w:vAlign w:val="bottom"/>
            <w:vMerge w:val="restart"/>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vMerge w:val="restart"/>
          </w:tcPr>
          <w:p>
            <w:pPr>
              <w:spacing w:after="0"/>
              <w:rPr>
                <w:sz w:val="13"/>
                <w:szCs w:val="13"/>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 Debt (12.23% PIK (1</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month LIBOR + 11%, 1% floor),</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8,950</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8,950</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8"/>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1/31/22)</w:t>
            </w:r>
          </w:p>
        </w:tc>
        <w:tc>
          <w:tcPr>
            <w:tcW w:w="11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A Units (5,680,688 Units)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6,260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8,908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9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B Units (2,076,298 Units)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Subordinated Debt </w:t>
            </w:r>
            <w:r>
              <w:rPr>
                <w:rFonts w:ascii="Times New Roman" w:cs="Times New Roman" w:eastAsia="Times New Roman" w:hAnsi="Times New Roman"/>
                <w:sz w:val="23"/>
                <w:szCs w:val="23"/>
                <w:color w:val="auto"/>
                <w:vertAlign w:val="superscript"/>
              </w:rPr>
              <w:t>(12)</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20" w:type="dxa"/>
            <w:vAlign w:val="bottom"/>
            <w:vMerge w:val="restart"/>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220" w:type="dxa"/>
            <w:vAlign w:val="bottom"/>
            <w:vMerge w:val="restart"/>
          </w:tcPr>
          <w:p>
            <w:pPr>
              <w:spacing w:after="0"/>
              <w:rPr>
                <w:sz w:val="24"/>
                <w:szCs w:val="2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32"/>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-1177290</wp:posOffset>
            </wp:positionV>
            <wp:extent cx="724662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-800100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-611505</wp:posOffset>
            </wp:positionV>
            <wp:extent cx="72466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-405130</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-199390</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4680" w:space="100"/>
            <w:col w:w="6640"/>
          </w:cols>
          <w:pgMar w:left="240" w:top="913" w:right="239" w:bottom="0" w:gutter="0" w:footer="0" w:header="0"/>
        </w:sect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813</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Affiliate investments</w:t>
            </w:r>
          </w:p>
        </w:tc>
        <w:tc>
          <w:tcPr>
            <w:tcW w:w="22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69,857</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93,014</w:t>
            </w:r>
          </w:p>
        </w:tc>
        <w:tc>
          <w:tcPr>
            <w:tcW w:w="11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2"/>
                <w:szCs w:val="12"/>
                <w:color w:val="auto"/>
              </w:rPr>
              <w:t>39.1</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investments- 36.8%</w:t>
            </w:r>
          </w:p>
        </w:tc>
        <w:tc>
          <w:tcPr>
            <w:tcW w:w="2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 Lien Debt (12% Cash, 4%</w:t>
            </w:r>
          </w:p>
        </w:tc>
        <w:tc>
          <w:tcPr>
            <w:tcW w:w="36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12,123</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12,123</w:t>
            </w:r>
          </w:p>
        </w:tc>
        <w:tc>
          <w:tcPr>
            <w:tcW w:w="24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12,123</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PIK, Due 5/24/18)</w:t>
            </w:r>
          </w:p>
        </w:tc>
        <w:tc>
          <w:tcPr>
            <w:tcW w:w="3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(19.7% fully</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1,394</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 ownership)</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Warrants (10%</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fully diluted ownership)</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13,517</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12,123</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Eastport Holdings, LLC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Subordinated Debt (14.22% Cash</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 month LIBOR + 13%, 0.5%</w:t>
            </w:r>
          </w:p>
        </w:tc>
        <w:tc>
          <w:tcPr>
            <w:tcW w:w="3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14,358</w:t>
            </w:r>
          </w:p>
        </w:tc>
        <w:tc>
          <w:tcPr>
            <w:tcW w:w="2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16,500</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Floor), Due 4/29/20)</w:t>
            </w:r>
          </w:p>
        </w:tc>
        <w:tc>
          <w:tcPr>
            <w:tcW w:w="3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Eastport Holdings, LLC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Membership Units (30.1% fully</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line="213" w:lineRule="exact"/>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23"/>
                <w:szCs w:val="23"/>
                <w:color w:val="auto"/>
                <w:vertAlign w:val="superscript"/>
              </w:rPr>
              <w:t>(11)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21,115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19,091</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37,615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Micro Precision, LLC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Conglomerate</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Subordinated Debt (10% Cash,</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Due 9/15/18)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Micro Precision, LLC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Conglomerate</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Subordinated Debt (14% Cash, 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PIK, Due 9/15/18)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4,070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4,070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Conglomerate</w:t>
            </w: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A Preferred Units (47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1,629</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1,629</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7,561</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7,561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Navis Holdings, Inc.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First Lien Debt (15% Cash, Due</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10/30/20)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Navis Holdings, Inc.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Class A Preferred Stock (1,000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shares, 10% Cash Dividend) </w:t>
            </w:r>
            <w:r>
              <w:rPr>
                <w:rFonts w:ascii="Times New Roman" w:cs="Times New Roman" w:eastAsia="Times New Roman" w:hAnsi="Times New Roman"/>
                <w:sz w:val="23"/>
                <w:szCs w:val="23"/>
                <w:color w:val="auto"/>
                <w:vertAlign w:val="superscript"/>
              </w:rPr>
              <w:t>(6)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Textile Equipment Manufacturer</w:t>
            </w: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(300,000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5,405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7,501</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12,905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On-Site Fuel Services, Inc.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Subordinated Debt (14% Cash, 4%</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PIK, Due 12/19/17) </w:t>
            </w:r>
            <w:r>
              <w:rPr>
                <w:rFonts w:ascii="Times New Roman" w:cs="Times New Roman" w:eastAsia="Times New Roman" w:hAnsi="Times New Roman"/>
                <w:sz w:val="23"/>
                <w:szCs w:val="23"/>
                <w:color w:val="auto"/>
                <w:vertAlign w:val="superscript"/>
              </w:rPr>
              <w:t>(1) (2)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11,020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10,881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Series A Preferred Stock (32,782</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3,278</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Series B Preferred Stock (23,648</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2,365</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Fuel Transportation Services</w:t>
            </w: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 (33,107 shares)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16,696</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10,881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Print Direction, Inc.</w:t>
            </w:r>
          </w:p>
        </w:tc>
        <w:tc>
          <w:tcPr>
            <w:tcW w:w="226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Printing Services</w:t>
            </w:r>
          </w:p>
        </w:tc>
        <w:tc>
          <w:tcPr>
            <w:tcW w:w="222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First Lien Debt (10% Cash, 2%</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2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4"/>
                <w:szCs w:val="14"/>
                <w:color w:val="auto"/>
              </w:rPr>
              <w:t xml:space="preserve">PIK, Due 2/24/19)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19,152</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 Direction, Inc.</w:t>
            </w:r>
          </w:p>
        </w:tc>
        <w:tc>
          <w:tcPr>
            <w:tcW w:w="22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Printing Services</w:t>
            </w:r>
          </w:p>
        </w:tc>
        <w:tc>
          <w:tcPr>
            <w:tcW w:w="2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(18,543 shares)</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 Direction, Inc.</w:t>
            </w:r>
          </w:p>
        </w:tc>
        <w:tc>
          <w:tcPr>
            <w:tcW w:w="22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22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Warrants (820</w:t>
            </w:r>
          </w:p>
        </w:tc>
        <w:tc>
          <w:tcPr>
            <w:tcW w:w="3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22,142</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22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86,508</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87,585</w:t>
            </w:r>
          </w:p>
        </w:tc>
        <w:tc>
          <w:tcPr>
            <w:tcW w:w="11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2"/>
                <w:szCs w:val="12"/>
                <w:color w:val="auto"/>
              </w:rPr>
              <w:t>36.8</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 - 204.6%</w:t>
            </w:r>
          </w:p>
        </w:tc>
        <w:tc>
          <w:tcPr>
            <w:tcW w:w="22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473,771</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486,975</w:t>
            </w:r>
          </w:p>
        </w:tc>
        <w:tc>
          <w:tcPr>
            <w:tcW w:w="110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b w:val="1"/>
                <w:bCs w:val="1"/>
                <w:color w:val="auto"/>
              </w:rPr>
              <w:t>204.6</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 (2.2)%</w:t>
            </w:r>
          </w:p>
        </w:tc>
        <w:tc>
          <w:tcPr>
            <w:tcW w:w="226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Eastport Holdings, LLC</w:t>
            </w:r>
          </w:p>
        </w:tc>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 xml:space="preserve">Written Call Option </w:t>
            </w:r>
            <w:r>
              <w:rPr>
                <w:rFonts w:ascii="Times New Roman" w:cs="Times New Roman" w:eastAsia="Times New Roman" w:hAnsi="Times New Roman"/>
                <w:sz w:val="23"/>
                <w:szCs w:val="23"/>
                <w:color w:val="auto"/>
                <w:vertAlign w:val="superscript"/>
              </w:rPr>
              <w:t>(11)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(5,148)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DERIVATIVES- (2.2)%</w:t>
            </w:r>
          </w:p>
        </w:tc>
        <w:tc>
          <w:tcPr>
            <w:tcW w:w="22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b w:val="1"/>
                <w:bCs w:val="1"/>
                <w:color w:val="auto"/>
              </w:rPr>
              <w:t>(20</w:t>
            </w:r>
            <w:r>
              <w:rPr>
                <w:rFonts w:ascii="Times New Roman" w:cs="Times New Roman" w:eastAsia="Times New Roman" w:hAnsi="Times New Roman"/>
                <w:sz w:val="20"/>
                <w:szCs w:val="20"/>
                <w:b w:val="1"/>
                <w:bCs w:val="1"/>
                <w:color w:val="auto"/>
                <w:vertAlign w:val="superscript"/>
              </w:rPr>
              <w:t>)</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b w:val="1"/>
                <w:bCs w:val="1"/>
                <w:color w:val="auto"/>
              </w:rPr>
              <w:t>(5,148</w:t>
            </w:r>
            <w:r>
              <w:rPr>
                <w:rFonts w:ascii="Times New Roman" w:cs="Times New Roman" w:eastAsia="Times New Roman" w:hAnsi="Times New Roman"/>
                <w:sz w:val="20"/>
                <w:szCs w:val="20"/>
                <w:b w:val="1"/>
                <w:bCs w:val="1"/>
                <w:color w:val="auto"/>
                <w:vertAlign w:val="superscript"/>
              </w:rPr>
              <w:t>)</w:t>
            </w:r>
          </w:p>
        </w:tc>
        <w:tc>
          <w:tcPr>
            <w:tcW w:w="11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2"/>
                <w:szCs w:val="12"/>
                <w:b w:val="1"/>
                <w:bCs w:val="1"/>
                <w:color w:val="auto"/>
              </w:rPr>
              <w:t>(2.2</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original investment has been extended.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Non-accrual investment.</w:t>
      </w:r>
    </w:p>
    <w:p>
      <w:pPr>
        <w:sectPr>
          <w:pgSz w:w="11900" w:h="16838" w:orient="portrait"/>
          <w:cols w:equalWidth="0" w:num="1">
            <w:col w:w="11420"/>
          </w:cols>
          <w:pgMar w:left="240" w:top="913" w:right="239" w:bottom="0" w:gutter="0" w:footer="0" w:header="0"/>
          <w:type w:val="continuous"/>
        </w:sectPr>
      </w:pPr>
    </w:p>
    <w:bookmarkStart w:id="11" w:name="page12"/>
    <w:bookmarkEnd w:id="11"/>
    <w:p>
      <w:pPr>
        <w:ind w:left="252" w:hanging="252"/>
        <w:spacing w:after="0"/>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rate equals the approximate current yield on our last-out portion of the unitranche facility.</w:t>
      </w:r>
    </w:p>
    <w:p>
      <w:pPr>
        <w:spacing w:after="0" w:line="27"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investments are income producing, unless otherwise noted. Equity and warrant investments are non-income producing, unless otherwise noted.</w:t>
      </w:r>
    </w:p>
    <w:p>
      <w:pPr>
        <w:spacing w:after="0" w:line="9"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$238,000 as of June 30, 2017.</w:t>
      </w:r>
    </w:p>
    <w:p>
      <w:pPr>
        <w:spacing w:after="0" w:line="9"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is income producing, based on rate disclosed.</w:t>
      </w:r>
    </w:p>
    <w:p>
      <w:pPr>
        <w:spacing w:after="0" w:line="9"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has an exercisable put option.</w:t>
      </w:r>
    </w:p>
    <w:p>
      <w:pPr>
        <w:spacing w:after="0" w:line="9" w:lineRule="exact"/>
        <w:rPr>
          <w:rFonts w:ascii="Times New Roman" w:cs="Times New Roman" w:eastAsia="Times New Roman" w:hAnsi="Times New Roman"/>
          <w:sz w:val="18"/>
          <w:szCs w:val="18"/>
          <w:color w:val="auto"/>
        </w:rPr>
      </w:pPr>
    </w:p>
    <w:p>
      <w:pPr>
        <w:ind w:left="-8" w:firstLine="8"/>
        <w:spacing w:after="0" w:line="250" w:lineRule="auto"/>
        <w:tabs>
          <w:tab w:leader="none" w:pos="2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June 30, 2017, 5.2% of the Company's total assets were non-qualifying assets.</w:t>
      </w:r>
    </w:p>
    <w:p>
      <w:pPr>
        <w:spacing w:after="0" w:line="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was amended to zero. The Company is entitled to receive earn-out payments of up to $2.4 million in satisfaction of the debt.</w:t>
      </w:r>
    </w:p>
    <w:p>
      <w:pPr>
        <w:spacing w:after="0" w:line="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stated rate, the investment is paying 3% default interest.</w:t>
      </w:r>
    </w:p>
    <w:p>
      <w:pPr>
        <w:spacing w:after="0" w:line="9" w:lineRule="exact"/>
        <w:rPr>
          <w:rFonts w:ascii="Times New Roman" w:cs="Times New Roman" w:eastAsia="Times New Roman" w:hAnsi="Times New Roman"/>
          <w:sz w:val="18"/>
          <w:szCs w:val="18"/>
          <w:color w:val="auto"/>
        </w:rPr>
      </w:pPr>
    </w:p>
    <w:p>
      <w:pPr>
        <w:ind w:left="-8" w:right="380" w:firstLine="8"/>
        <w:spacing w:after="0" w:line="250" w:lineRule="auto"/>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a call option that enables CapitalSouth Partners Florida Sidecar Fund II, L.P. to purchase up to 31.25% of the Company's interest at a strike price of $1.5 million. As of June 30, 2017, the fair value of the written call option is approximately $5.1 million. See Note 4 to the consolidated financial statements for further detail on the written call option transaction.</w:t>
      </w:r>
    </w:p>
    <w:p>
      <w:pPr>
        <w:spacing w:after="0" w:line="1"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has been exited. The residual value reflects estimated escrow to be settled post-closing.</w:t>
      </w:r>
    </w:p>
    <w:p>
      <w:pPr>
        <w:spacing w:after="0" w:line="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has a $1.3 million unfunded commitment.</w:t>
      </w:r>
    </w:p>
    <w:p>
      <w:pPr>
        <w:spacing w:after="0" w:line="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stated rate, the investment is paying 2% default interest.</w:t>
      </w:r>
    </w:p>
    <w:p>
      <w:pPr>
        <w:spacing w:after="0" w:line="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was paid off on July 31, 2017. See Note 14 for further details.</w:t>
      </w:r>
    </w:p>
    <w:p>
      <w:pPr>
        <w:spacing w:after="0" w:line="20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121" w:right="319" w:bottom="144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 (5)</w:t>
            </w:r>
          </w:p>
        </w:tc>
        <w:tc>
          <w:tcPr>
            <w:tcW w:w="21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Non-control/non-affiliated investments - 157.1%</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AAE Acquisition,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Debt (12% Cash, Due</w:t>
            </w:r>
          </w:p>
        </w:tc>
        <w:tc>
          <w:tcPr>
            <w:tcW w:w="4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11,000</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10,755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3/31/18)</w:t>
            </w:r>
          </w:p>
        </w:tc>
        <w:tc>
          <w:tcPr>
            <w:tcW w:w="48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AAE Acquisition,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Industrial Equipment Rental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Membership Units (14% fully</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Clinical Solutions,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Healthcare</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(10.5% Cash (3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month LIBOR + 9.5%, 1% Floor),</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4"/>
                <w:szCs w:val="14"/>
                <w:color w:val="auto"/>
              </w:rPr>
              <w:t>Due 6/11/20)</w:t>
            </w:r>
            <w:r>
              <w:rPr>
                <w:rFonts w:ascii="Times New Roman" w:cs="Times New Roman" w:eastAsia="Times New Roman" w:hAnsi="Times New Roman"/>
                <w:sz w:val="23"/>
                <w:szCs w:val="23"/>
                <w:color w:val="auto"/>
                <w:vertAlign w:val="superscript"/>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8,582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8,582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(10% PIK, Due</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Manufacturer</w:t>
            </w:r>
          </w:p>
        </w:tc>
        <w:tc>
          <w:tcPr>
            <w:tcW w:w="2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4"/>
                <w:szCs w:val="14"/>
                <w:color w:val="auto"/>
              </w:rPr>
              <w:t xml:space="preserve">1/1/17) </w:t>
            </w:r>
            <w:r>
              <w:rPr>
                <w:rFonts w:ascii="Times New Roman" w:cs="Times New Roman" w:eastAsia="Times New Roman" w:hAnsi="Times New Roman"/>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American Exteriors,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Replacement Window</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Warrants (10%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Manufacturer</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fully diluted)</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AmeriMark Direct,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(12.75% Cash,</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9/8/21)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19,700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B&amp;W Quality Growers,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Farming</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(14% Cash,</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5,996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7/23/20)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B&amp;W Quality Growers,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Farming</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Membership Unit Warrants</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(91,739 Units)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BigMouth, Inc.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Consumer Products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First Lien Debt (12.6% Cash, Due</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11/14/21)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BigMouth, Inc.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Consumer Products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Series A Preferred Stock (350,000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4"/>
                <w:szCs w:val="14"/>
                <w:color w:val="auto"/>
              </w:rPr>
              <w:t xml:space="preserve">shares, 8% PIK)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10,667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10,667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Bluestem Brands,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Online Merchandise Retailer</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(8.5% Cash (1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 LIBOR + 7.5%, 1% Floor),</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11/7/20)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4,169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Brock Holdings III,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Industrial Specialty Services</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Debt (10% Cash (1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 LIBOR + 8.25%, 1.75%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Due 3/16/18)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4,935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Brunswick Bowling Products,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Bowling Products</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(8% Cash (1 month</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LIBOR + 6.0%, 2% Floor), Due</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5/22/20)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Brunswick Bowling Products,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Bowling Products</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(16.25% Cash (1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 LIBOR + 14.25%, 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5,586</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Due 5/22/20)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Brunswick Bowling Products, Inc.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Bowling Products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Preferred Shares (2,966 shares, 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4"/>
                <w:szCs w:val="14"/>
                <w:color w:val="auto"/>
              </w:rPr>
              <w:t xml:space="preserve">PIK)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Burke America Parts Group, LLC</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Home Repair Parts Manufacturer</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Units (14 units)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California Pizza Kitchen,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Restaurant</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Debt (11% Cash (1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 LIBOR + 10%, 1% Floor),</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8/23/23)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Caregiver Services, Inc.</w:t>
            </w:r>
          </w:p>
        </w:tc>
        <w:tc>
          <w:tcPr>
            <w:tcW w:w="2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In-Home Healthcare Services</w:t>
            </w: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(293,186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Caregiver Services, Inc.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In-Home Healthcare Services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Common Stock Warrants (655,908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23"/>
                <w:szCs w:val="23"/>
                <w:color w:val="auto"/>
                <w:vertAlign w:val="superscript"/>
              </w:rPr>
              <w:t>(7)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Cedar Electronics Holding Corp.</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Electronics</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 (12% Cash,</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21,550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bl>
    <w:p>
      <w:pPr>
        <w:sectPr>
          <w:pgSz w:w="11900" w:h="16900" w:orient="portrait"/>
          <w:cols w:equalWidth="0" w:num="1">
            <w:col w:w="11420"/>
          </w:cols>
          <w:pgMar w:left="240" w:top="900"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12/26/20)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Community Choice Financial, Inc.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Services</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First Lien Debt (18% Cash (1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month LIBOR + 17%, 1% Floor),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Due 3/30/18) </w:t>
            </w:r>
            <w:r>
              <w:rPr>
                <w:rFonts w:ascii="Times New Roman" w:cs="Times New Roman" w:eastAsia="Times New Roman" w:hAnsi="Times New Roman"/>
                <w:sz w:val="23"/>
                <w:szCs w:val="23"/>
                <w:color w:val="auto"/>
                <w:vertAlign w:val="superscript"/>
              </w:rPr>
              <w:t>(1)(8)</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51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Partners, Inc.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Construction Services</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Second Lien Debt (11.5% Cash,</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6/12/20)</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Sales &amp; Marketing Services</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Subordinated Debt (9% Cash, 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16,267</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PIK, Due 11/29/21)</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Corporate Visions, Inc.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Sales &amp; Marketing Services</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(15,750 shares)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CSM Bakery Solutions, LLC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Bakery Supplies Distributor</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Second Lien Debt (8.75% Cash (1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month LIBOR + 7.75%, 1%</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Floor), Due 8/7/22)</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Emerging Markets Communications, LLC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Satellite Communications</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Second Lien Debt (10.625% Cash</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(1 month LIBOR + 9.625%, 1%</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Floor), Due 7/1/22)</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Flavors Holdings, Inc.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Food Product Manufacturer</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First Lien Debt (6.75% Cash (1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month LIBOR + 5.75%, 1%</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Floor), Due 4/3/20)</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Flavors Holdings, Inc.</w:t>
            </w:r>
          </w:p>
        </w:tc>
        <w:tc>
          <w:tcPr>
            <w:tcW w:w="1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Food Product Manufacturer</w:t>
            </w: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Second Lien Debt (11% Cash (1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month LIBOR + 10%, 1% Floor),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10/3/21)</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-4109085</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-3903345</wp:posOffset>
            </wp:positionV>
            <wp:extent cx="72466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-3697605</wp:posOffset>
            </wp:positionV>
            <wp:extent cx="72466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-3277235</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-3071495</wp:posOffset>
            </wp:positionV>
            <wp:extent cx="724662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-2771775</wp:posOffset>
            </wp:positionV>
            <wp:extent cx="72466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-2566035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-2282825</wp:posOffset>
            </wp:positionV>
            <wp:extent cx="72466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-2077085</wp:posOffset>
            </wp:positionV>
            <wp:extent cx="72466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-1871345</wp:posOffset>
            </wp:positionV>
            <wp:extent cx="72466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-1476375</wp:posOffset>
            </wp:positionV>
            <wp:extent cx="724662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-1270635</wp:posOffset>
            </wp:positionV>
            <wp:extent cx="72466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-876300</wp:posOffset>
            </wp:positionV>
            <wp:extent cx="72466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24662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21,550</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20,818</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9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5"/>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59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10,188</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18,601</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16,599</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-4218940</wp:posOffset>
            </wp:positionV>
            <wp:extent cx="19983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2">
            <w:col w:w="7940" w:space="220"/>
            <w:col w:w="3260"/>
          </w:cols>
          <w:pgMar w:left="240" w:top="118" w:right="239" w:bottom="1440" w:gutter="0" w:footer="0" w:header="0"/>
        </w:sectPr>
      </w:pPr>
    </w:p>
    <w:bookmarkStart w:id="14" w:name="page15"/>
    <w:bookmarkEnd w:id="14"/>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 (5)</w:t>
            </w:r>
          </w:p>
        </w:tc>
        <w:tc>
          <w:tcPr>
            <w:tcW w:w="100" w:type="dxa"/>
            <w:vAlign w:val="bottom"/>
          </w:tcPr>
          <w:p>
            <w:pPr>
              <w:spacing w:after="0"/>
              <w:rPr>
                <w:sz w:val="22"/>
                <w:szCs w:val="22"/>
                <w:color w:val="auto"/>
              </w:rPr>
            </w:pPr>
          </w:p>
        </w:tc>
        <w:tc>
          <w:tcPr>
            <w:tcW w:w="2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22"/>
                <w:szCs w:val="22"/>
                <w:color w:val="auto"/>
              </w:rPr>
            </w:pPr>
          </w:p>
        </w:tc>
        <w:tc>
          <w:tcPr>
            <w:tcW w:w="2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268"/>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Group Cirque du Soleil,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Entertainment</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Second Lien Debt (9.25% Cash (3</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month LIBOR + 8.25%, 1%</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Floor), Due 7/8/23) </w:t>
            </w:r>
            <w:r>
              <w:rPr>
                <w:rFonts w:ascii="Times New Roman" w:cs="Times New Roman" w:eastAsia="Times New Roman" w:hAnsi="Times New Roman"/>
                <w:sz w:val="23"/>
                <w:szCs w:val="23"/>
                <w:color w:val="auto"/>
                <w:vertAlign w:val="superscript"/>
              </w:rPr>
              <w:t>(8)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52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Immersive Media Tactical Solutions,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Specialty Defense Contractor</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 (Due 12/9/19)</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Kelle's Transport Service,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Transportation</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(14% Cash, Due</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3/31/19)</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Kelle's Transport Service,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Transportation</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Preferred Units (1,000 units, 10%</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PIK Dividend) </w:t>
            </w:r>
            <w:r>
              <w:rPr>
                <w:rFonts w:ascii="Times New Roman" w:cs="Times New Roman" w:eastAsia="Times New Roman" w:hAnsi="Times New Roman"/>
                <w:sz w:val="23"/>
                <w:szCs w:val="23"/>
                <w:color w:val="auto"/>
                <w:vertAlign w:val="superscript"/>
              </w:rPr>
              <w:t>(6)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Kelle's Transport Service, LLC</w:t>
            </w:r>
          </w:p>
        </w:tc>
        <w:tc>
          <w:tcPr>
            <w:tcW w:w="21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Transportation</w:t>
            </w:r>
          </w:p>
        </w:tc>
        <w:tc>
          <w:tcPr>
            <w:tcW w:w="20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Common Stock Warrants (15%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fully diluted)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Depot,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Medical Device Distributor</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 (14% Cash,</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Due 9/27/20) </w:t>
            </w:r>
            <w:r>
              <w:rPr>
                <w:rFonts w:ascii="Times New Roman" w:cs="Times New Roman" w:eastAsia="Times New Roman" w:hAnsi="Times New Roman"/>
                <w:sz w:val="23"/>
                <w:szCs w:val="23"/>
                <w:color w:val="auto"/>
                <w:vertAlign w:val="superscript"/>
              </w:rPr>
              <w:t>(1)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14,667</w:t>
            </w: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Medical Depot, Inc.</w:t>
            </w:r>
          </w:p>
        </w:tc>
        <w:tc>
          <w:tcPr>
            <w:tcW w:w="21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Medical Device Distributor</w:t>
            </w:r>
          </w:p>
        </w:tc>
        <w:tc>
          <w:tcPr>
            <w:tcW w:w="20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Series C Convertible Preferred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Stock (740 shares)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Nielsen &amp; Bainbridge,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Home Décor Manufacturer</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Second Lien Debt (10.5% Cash (6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month LIBOR + 9.25%, 1%</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Floor), Due 8/15/21)</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Nth Degree,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(8.0% Cash (1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month LIBOR + 7%, 1% Floor),</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1% PIK, Due 12/14/20)</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Nth Degree,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(12.5% Cash (1</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month LIBOR + 11.5%, 1%</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Floor), 2% PIK, Due 12/14/20)</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Nth Degree,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(10% PIK</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dividend) </w:t>
            </w:r>
            <w:r>
              <w:rPr>
                <w:rFonts w:ascii="Times New Roman" w:cs="Times New Roman" w:eastAsia="Times New Roman" w:hAnsi="Times New Roman"/>
                <w:sz w:val="23"/>
                <w:szCs w:val="23"/>
                <w:color w:val="auto"/>
                <w:vertAlign w:val="superscript"/>
              </w:rPr>
              <w:t>(6)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Portrait Innovations,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Professional and Personal Digital</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 (12% Cash,</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Imaging</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Due 2/26/20)</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Sequoia Healthcare Management,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Healthcare Management</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(12% Cash, 4%</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PIK, Due 7/17/19)</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Sierra Hamilton,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Oil &amp; Gas Engineering and</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(12.25% Cash,</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Consulting Services</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Due 12/15/18)</w:t>
            </w:r>
            <w:r>
              <w:rPr>
                <w:rFonts w:ascii="Times New Roman" w:cs="Times New Roman" w:eastAsia="Times New Roman" w:hAnsi="Times New Roman"/>
                <w:sz w:val="23"/>
                <w:szCs w:val="23"/>
                <w:color w:val="auto"/>
                <w:vertAlign w:val="superscript"/>
              </w:rPr>
              <w:t>(2)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51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Sur La Table,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Retail</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(12% Cash, Due</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7/28/20)</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Taylor Precision Products,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Household Product Manufacturer</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Series C Preferred Stock (379</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Well Services,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Oil &amp; Gas Services</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(14.1% PIK (1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month LIBOR + 13.5%, 0.5%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floor), Due 5/2/19)</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Velum Global Credit Management, LLC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Services</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(15% PIK, Due</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12/31/17) </w:t>
            </w:r>
            <w:r>
              <w:rPr>
                <w:rFonts w:ascii="Times New Roman" w:cs="Times New Roman" w:eastAsia="Times New Roman" w:hAnsi="Times New Roman"/>
                <w:sz w:val="23"/>
                <w:szCs w:val="23"/>
                <w:color w:val="auto"/>
                <w:vertAlign w:val="superscript"/>
              </w:rPr>
              <w:t>(1) (8)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0" w:type="dxa"/>
            <w:vAlign w:val="bottom"/>
          </w:tcPr>
          <w:p>
            <w:pPr>
              <w:spacing w:after="0"/>
              <w:rPr>
                <w:sz w:val="1"/>
                <w:szCs w:val="1"/>
                <w:color w:val="auto"/>
              </w:rPr>
            </w:pPr>
          </w:p>
        </w:tc>
      </w:tr>
      <w:tr>
        <w:trPr>
          <w:trHeight w:val="51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Vintage Stock,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Specialty Retail</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First Lien Debt (13.1% Cash (1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month LIBOR + 12.5%, 0.5%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22,067</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floor), 3% PIK, Due 11/3/21)</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Vology, Inc.</w:t>
            </w: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Technology</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 (15% Cash (3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month LIBOR + 14%, 1% Floor,</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2% PIK), Due 1/24/21)</w:t>
            </w: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-9520555</wp:posOffset>
            </wp:positionV>
            <wp:extent cx="724662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-9100820</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-8894445</wp:posOffset>
            </wp:positionV>
            <wp:extent cx="72466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-8585835</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-8380095</wp:posOffset>
            </wp:positionV>
            <wp:extent cx="724662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-8096885</wp:posOffset>
            </wp:positionV>
            <wp:extent cx="72466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-7788275</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-7488555</wp:posOffset>
            </wp:positionV>
            <wp:extent cx="72466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-7282180</wp:posOffset>
            </wp:positionV>
            <wp:extent cx="72466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-6973570</wp:posOffset>
            </wp:positionV>
            <wp:extent cx="7246620"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-6673850</wp:posOffset>
            </wp:positionV>
            <wp:extent cx="72466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-6467475</wp:posOffset>
            </wp:positionV>
            <wp:extent cx="72466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-6073140</wp:posOffset>
            </wp:positionV>
            <wp:extent cx="724662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-5867400</wp:posOffset>
            </wp:positionV>
            <wp:extent cx="7246620"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-5490210</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-5113020</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-4786630</wp:posOffset>
            </wp:positionV>
            <wp:extent cx="72466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-4580890</wp:posOffset>
            </wp:positionV>
            <wp:extent cx="724662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-4281170</wp:posOffset>
            </wp:positionV>
            <wp:extent cx="72466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-4074795</wp:posOffset>
            </wp:positionV>
            <wp:extent cx="72466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-3775075</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-3569335</wp:posOffset>
            </wp:positionV>
            <wp:extent cx="724662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-3242945</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-3037205</wp:posOffset>
            </wp:positionV>
            <wp:extent cx="724662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-2737485</wp:posOffset>
            </wp:positionV>
            <wp:extent cx="72466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-2531745</wp:posOffset>
            </wp:positionV>
            <wp:extent cx="7246620"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-2231390</wp:posOffset>
            </wp:positionV>
            <wp:extent cx="72466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-2025650</wp:posOffset>
            </wp:positionV>
            <wp:extent cx="724662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-1630680</wp:posOffset>
            </wp:positionV>
            <wp:extent cx="724662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-1099185</wp:posOffset>
            </wp:positionV>
            <wp:extent cx="724662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724662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7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vMerge w:val="restart"/>
          </w:tcPr>
          <w:p>
            <w:pPr>
              <w:spacing w:after="0"/>
              <w:rPr>
                <w:sz w:val="13"/>
                <w:szCs w:val="13"/>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vMerge w:val="restart"/>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486"/>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3,433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442"/>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442"/>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594"/>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7,351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48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21,836</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22,067</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bl>
    <w:p>
      <w:pPr>
        <w:sectPr>
          <w:pgSz w:w="11900" w:h="16928" w:orient="portrait"/>
          <w:cols w:equalWidth="0" w:num="2">
            <w:col w:w="7940" w:space="220"/>
            <w:col w:w="3260"/>
          </w:cols>
          <w:pgMar w:left="240" w:top="913" w:right="239" w:bottom="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Western Windows Systems, LLC</w:t>
            </w:r>
          </w:p>
        </w:tc>
        <w:tc>
          <w:tcPr>
            <w:tcW w:w="2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Building Products</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First Lien Debt (11.7% Cash, Due</w:t>
            </w: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24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7/31/20) </w:t>
            </w:r>
            <w:r>
              <w:rPr>
                <w:rFonts w:ascii="Times New Roman" w:cs="Times New Roman" w:eastAsia="Times New Roman" w:hAnsi="Times New Roman"/>
                <w:sz w:val="23"/>
                <w:szCs w:val="23"/>
                <w:color w:val="auto"/>
                <w:vertAlign w:val="superscript"/>
              </w:rPr>
              <w:t>(3)</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Western Windows Systems, LLC</w:t>
            </w:r>
          </w:p>
        </w:tc>
        <w:tc>
          <w:tcPr>
            <w:tcW w:w="2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Building Products</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Membership Units (39,860 units)</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13,500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Xirgo Technologies, LLC</w:t>
            </w:r>
          </w:p>
        </w:tc>
        <w:tc>
          <w:tcPr>
            <w:tcW w:w="228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Information Technology</w:t>
            </w:r>
          </w:p>
        </w:tc>
        <w:tc>
          <w:tcPr>
            <w:tcW w:w="22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Subordinated Debt (11.5% Cash,</w:t>
            </w:r>
          </w:p>
        </w:tc>
        <w:tc>
          <w:tcPr>
            <w:tcW w:w="4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15,750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15,750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15,750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Due 3/1/22)</w:t>
            </w:r>
          </w:p>
        </w:tc>
        <w:tc>
          <w:tcPr>
            <w:tcW w:w="4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Xirgo Technologies, LLC</w:t>
            </w:r>
          </w:p>
        </w:tc>
        <w:tc>
          <w:tcPr>
            <w:tcW w:w="2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Information Technology</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Membership Units (400,000 units)</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391,706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393,525</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color w:val="auto"/>
              </w:rPr>
              <w:t>157.1</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Affiliate investments - 24.5%</w:t>
            </w:r>
          </w:p>
        </w:tc>
        <w:tc>
          <w:tcPr>
            <w:tcW w:w="22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Burgaflex Holdings, LLC</w:t>
            </w:r>
          </w:p>
        </w:tc>
        <w:tc>
          <w:tcPr>
            <w:tcW w:w="2280" w:type="dxa"/>
            <w:vAlign w:val="bottom"/>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Automobile Part Manufacturer</w:t>
            </w:r>
          </w:p>
        </w:tc>
        <w:tc>
          <w:tcPr>
            <w:tcW w:w="224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Subordinated Debt (14% Cash,</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24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Due 8/9/19) </w:t>
            </w:r>
            <w:r>
              <w:rPr>
                <w:rFonts w:ascii="Times New Roman" w:cs="Times New Roman" w:eastAsia="Times New Roman" w:hAnsi="Times New Roman"/>
                <w:sz w:val="23"/>
                <w:szCs w:val="23"/>
                <w:color w:val="auto"/>
                <w:vertAlign w:val="superscript"/>
              </w:rPr>
              <w:t>(10)</w:t>
            </w:r>
          </w:p>
        </w:tc>
        <w:tc>
          <w:tcPr>
            <w:tcW w:w="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Burgaflex Holdings, LLC</w:t>
            </w:r>
          </w:p>
        </w:tc>
        <w:tc>
          <w:tcPr>
            <w:tcW w:w="2280" w:type="dxa"/>
            <w:vAlign w:val="bottom"/>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Automobile Part Manufacturer</w:t>
            </w:r>
          </w:p>
        </w:tc>
        <w:tc>
          <w:tcPr>
            <w:tcW w:w="224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Subordinated Debt (12% Cash,</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240" w:type="dxa"/>
            <w:vAlign w:val="bottom"/>
            <w:shd w:val="clear" w:color="auto" w:fill="CCEEFF"/>
          </w:tcPr>
          <w:p>
            <w:pPr>
              <w:ind w:left="180"/>
              <w:spacing w:after="0" w:line="200" w:lineRule="exact"/>
              <w:rPr>
                <w:sz w:val="20"/>
                <w:szCs w:val="20"/>
                <w:color w:val="auto"/>
              </w:rPr>
            </w:pPr>
            <w:r>
              <w:rPr>
                <w:rFonts w:ascii="Times New Roman" w:cs="Times New Roman" w:eastAsia="Times New Roman" w:hAnsi="Times New Roman"/>
                <w:sz w:val="14"/>
                <w:szCs w:val="14"/>
                <w:color w:val="auto"/>
              </w:rPr>
              <w:t xml:space="preserve">Due 8/9/19) </w:t>
            </w:r>
            <w:r>
              <w:rPr>
                <w:rFonts w:ascii="Times New Roman" w:cs="Times New Roman" w:eastAsia="Times New Roman" w:hAnsi="Times New Roman"/>
                <w:sz w:val="23"/>
                <w:szCs w:val="23"/>
                <w:color w:val="auto"/>
                <w:vertAlign w:val="superscript"/>
              </w:rPr>
              <w:t>(10)</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Burgaflex Holdings, LLC</w:t>
            </w:r>
          </w:p>
        </w:tc>
        <w:tc>
          <w:tcPr>
            <w:tcW w:w="2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Automobile Part Manufacturer</w:t>
            </w:r>
          </w:p>
        </w:tc>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(1,253,198 shares)</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10,076</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40" w:type="dxa"/>
            <w:vAlign w:val="bottom"/>
            <w:gridSpan w:val="2"/>
            <w:vMerge w:val="restart"/>
          </w:tcPr>
          <w:p>
            <w:pPr>
              <w:ind w:left="700"/>
              <w:spacing w:after="0"/>
              <w:rPr>
                <w:sz w:val="20"/>
                <w:szCs w:val="20"/>
                <w:color w:val="auto"/>
              </w:rPr>
            </w:pPr>
            <w:r>
              <w:rPr>
                <w:rFonts w:ascii="Times New Roman" w:cs="Times New Roman" w:eastAsia="Times New Roman" w:hAnsi="Times New Roman"/>
                <w:sz w:val="28"/>
                <w:szCs w:val="28"/>
                <w:b w:val="1"/>
                <w:bCs w:val="1"/>
                <w:color w:val="auto"/>
                <w:vertAlign w:val="subscript"/>
              </w:rPr>
              <w:t>Company</w:t>
            </w:r>
            <w:r>
              <w:rPr>
                <w:rFonts w:ascii="Times New Roman" w:cs="Times New Roman" w:eastAsia="Times New Roman" w:hAnsi="Times New Roman"/>
                <w:sz w:val="12"/>
                <w:szCs w:val="12"/>
                <w:b w:val="1"/>
                <w:bCs w:val="1"/>
                <w:color w:val="auto"/>
              </w:rPr>
              <w:t xml:space="preserve"> (4) , (5)</w:t>
            </w:r>
          </w:p>
        </w:tc>
        <w:tc>
          <w:tcPr>
            <w:tcW w:w="21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3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City Gear, LLC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Footwear Retail</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Subordinated Debt (13% Cash,</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Due 9/28/17)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Membership Units</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(2.78% fully diluted, 9% Cash</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Dividend)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City Gear,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Footwear Retail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Membership Unit Warrants</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(11.38% fully diluted)</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GA Communications, Inc.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Series A-1 Preferred Stock (1,998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shares, 8% PIK dividend)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 Communications,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Advertising &amp; Marketing Services</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B-1 Common Stock</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(200,000 shares)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J&amp;J Produce Holdings,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Produce Distribution</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(13% Cash,</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6,182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6,182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6,182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7/16/18)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J&amp;J Produce Holdings, Inc.</w:t>
            </w:r>
          </w:p>
        </w:tc>
        <w:tc>
          <w:tcPr>
            <w:tcW w:w="2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Produce Distribution</w:t>
            </w: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(8,182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J&amp;J Produce Holdings, Inc.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Produce Distribution</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Warrants (6,369</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6,182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LJS Partners, LLC</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QSR Franchisor</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(1,500,000 shares)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MJC Holdings,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Specialty Clothing</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A Preferred Units</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(2,000,000 units)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MMI Holdings, LLC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Medical Device Distributor</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First Lien Debt (12% Cash, Due</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1/31/18)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MMI Holdings, LLC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Medical Device Distributor</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Subordinated Debt (6% Cash, Due</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1/31/18)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MMI Holdings, LLC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Medical Device Distributor</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Preferred Units (1,000 units, 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4"/>
                <w:szCs w:val="14"/>
                <w:color w:val="auto"/>
              </w:rPr>
              <w:t xml:space="preserve">PIK dividend)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MMI Holdings,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Medical Device Distributor</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Membership Units (45</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MTI Holdings, LLC</w:t>
            </w:r>
          </w:p>
        </w:tc>
        <w:tc>
          <w:tcPr>
            <w:tcW w:w="21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Retail Display &amp; Security Services</w:t>
            </w: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Membership Units (2,000,000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23"/>
                <w:szCs w:val="23"/>
                <w:color w:val="auto"/>
                <w:vertAlign w:val="superscript"/>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Penray,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Automotive Chemicals &amp;</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(13% Cash,</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Lubricants</w:t>
            </w:r>
          </w:p>
        </w:tc>
        <w:tc>
          <w:tcPr>
            <w:tcW w:w="20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4"/>
                <w:szCs w:val="14"/>
                <w:color w:val="auto"/>
              </w:rPr>
              <w:t xml:space="preserve">Due 4/8/19)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Source Capital Penray,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Automotive Chemicals &amp;</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Membership Units (11.3%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Lubricants</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ownership)</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STX Healthcare Management Services,</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Dental Practice Management</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(1,200,000 shares)</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V12 Holdings, Inc.</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 &amp; Digital</w:t>
            </w:r>
          </w:p>
        </w:tc>
        <w:tc>
          <w:tcPr>
            <w:tcW w:w="20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 xml:space="preserve">Subordinated Debt </w:t>
            </w:r>
            <w:r>
              <w:rPr>
                <w:rFonts w:ascii="Times New Roman" w:cs="Times New Roman" w:eastAsia="Times New Roman" w:hAnsi="Times New Roman"/>
                <w:sz w:val="18"/>
                <w:szCs w:val="18"/>
                <w:color w:val="auto"/>
                <w:vertAlign w:val="superscript"/>
              </w:rPr>
              <w:t>(12)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Affiliate investments</w:t>
            </w:r>
          </w:p>
        </w:tc>
        <w:tc>
          <w:tcPr>
            <w:tcW w:w="2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39,279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61,464</w:t>
            </w:r>
          </w:p>
        </w:tc>
        <w:tc>
          <w:tcPr>
            <w:tcW w:w="10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2"/>
                <w:szCs w:val="12"/>
                <w:color w:val="auto"/>
              </w:rPr>
              <w:t>24.5</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investments- 34.6%</w:t>
            </w: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Debt (12% Cash, 4%</w:t>
            </w:r>
          </w:p>
        </w:tc>
        <w:tc>
          <w:tcPr>
            <w:tcW w:w="4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11,882</w:t>
            </w:r>
          </w:p>
        </w:tc>
        <w:tc>
          <w:tcPr>
            <w:tcW w:w="1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11,882</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11,882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PIK, Due 5/24/18)</w:t>
            </w:r>
          </w:p>
        </w:tc>
        <w:tc>
          <w:tcPr>
            <w:tcW w:w="48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(19.7% fully</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ownership)</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CableOrganizer Acquisition,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Computer Supply Retail</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Warrants (10%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fully diluted ownership)</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13,276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Eastport Holdings, LLC</w:t>
            </w:r>
          </w:p>
        </w:tc>
        <w:tc>
          <w:tcPr>
            <w:tcW w:w="2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Subordinated Debt (13.9% Cash (3</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month LIBOR + 13%, 0.5%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16,500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Due 4/29/20)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Eastport Holdings, LLC</w:t>
            </w: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Units (30.1% fully</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bl>
    <w:p>
      <w:pPr>
        <w:sectPr>
          <w:pgSz w:w="11900" w:h="16900" w:orient="portrait"/>
          <w:cols w:equalWidth="0" w:num="1">
            <w:col w:w="11420"/>
          </w:cols>
          <w:pgMar w:left="240" w:top="88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23"/>
                <w:szCs w:val="23"/>
                <w:color w:val="auto"/>
                <w:vertAlign w:val="superscript"/>
              </w:rPr>
              <w:t>(11)</w:t>
            </w:r>
          </w:p>
        </w:tc>
        <w:tc>
          <w:tcPr>
            <w:tcW w:w="104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18,715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Micro Precision, LLC</w:t>
            </w:r>
          </w:p>
        </w:tc>
        <w:tc>
          <w:tcPr>
            <w:tcW w:w="2500" w:type="dxa"/>
            <w:vAlign w:val="bottom"/>
            <w:shd w:val="clear" w:color="auto" w:fill="CCEEFF"/>
          </w:tcPr>
          <w:p>
            <w:pPr>
              <w:ind w:left="500"/>
              <w:spacing w:after="0" w:line="138" w:lineRule="exact"/>
              <w:rPr>
                <w:sz w:val="20"/>
                <w:szCs w:val="20"/>
                <w:color w:val="auto"/>
              </w:rPr>
            </w:pPr>
            <w:r>
              <w:rPr>
                <w:rFonts w:ascii="Times New Roman" w:cs="Times New Roman" w:eastAsia="Times New Roman" w:hAnsi="Times New Roman"/>
                <w:sz w:val="14"/>
                <w:szCs w:val="14"/>
                <w:color w:val="auto"/>
              </w:rPr>
              <w:t>Conglomerate</w:t>
            </w:r>
          </w:p>
        </w:tc>
        <w:tc>
          <w:tcPr>
            <w:tcW w:w="256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Subordinated Debt (10% Cash,</w:t>
            </w: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560" w:type="dxa"/>
            <w:vAlign w:val="bottom"/>
            <w:shd w:val="clear" w:color="auto" w:fill="CCEEFF"/>
          </w:tcPr>
          <w:p>
            <w:pPr>
              <w:ind w:left="140"/>
              <w:spacing w:after="0" w:line="200" w:lineRule="exact"/>
              <w:rPr>
                <w:sz w:val="20"/>
                <w:szCs w:val="20"/>
                <w:color w:val="auto"/>
              </w:rPr>
            </w:pPr>
            <w:r>
              <w:rPr>
                <w:rFonts w:ascii="Times New Roman" w:cs="Times New Roman" w:eastAsia="Times New Roman" w:hAnsi="Times New Roman"/>
                <w:sz w:val="14"/>
                <w:szCs w:val="14"/>
                <w:color w:val="auto"/>
              </w:rPr>
              <w:t xml:space="preserve">Due 9/15/18)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1,862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Micro Precision, LLC</w:t>
            </w:r>
          </w:p>
        </w:tc>
        <w:tc>
          <w:tcPr>
            <w:tcW w:w="2500" w:type="dxa"/>
            <w:vAlign w:val="bottom"/>
            <w:shd w:val="clear" w:color="auto" w:fill="CCEEFF"/>
          </w:tcPr>
          <w:p>
            <w:pPr>
              <w:ind w:left="500"/>
              <w:spacing w:after="0" w:line="138" w:lineRule="exact"/>
              <w:rPr>
                <w:sz w:val="20"/>
                <w:szCs w:val="20"/>
                <w:color w:val="auto"/>
              </w:rPr>
            </w:pPr>
            <w:r>
              <w:rPr>
                <w:rFonts w:ascii="Times New Roman" w:cs="Times New Roman" w:eastAsia="Times New Roman" w:hAnsi="Times New Roman"/>
                <w:sz w:val="14"/>
                <w:szCs w:val="14"/>
                <w:color w:val="auto"/>
              </w:rPr>
              <w:t>Conglomerate</w:t>
            </w:r>
          </w:p>
        </w:tc>
        <w:tc>
          <w:tcPr>
            <w:tcW w:w="256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Subordinated Debt (14% Cash, 4%</w:t>
            </w: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560" w:type="dxa"/>
            <w:vAlign w:val="bottom"/>
            <w:shd w:val="clear" w:color="auto" w:fill="CCEEFF"/>
          </w:tcPr>
          <w:p>
            <w:pPr>
              <w:ind w:left="140"/>
              <w:spacing w:after="0" w:line="200" w:lineRule="exact"/>
              <w:rPr>
                <w:sz w:val="20"/>
                <w:szCs w:val="20"/>
                <w:color w:val="auto"/>
              </w:rPr>
            </w:pPr>
            <w:r>
              <w:rPr>
                <w:rFonts w:ascii="Times New Roman" w:cs="Times New Roman" w:eastAsia="Times New Roman" w:hAnsi="Times New Roman"/>
                <w:sz w:val="14"/>
                <w:szCs w:val="14"/>
                <w:color w:val="auto"/>
              </w:rPr>
              <w:t xml:space="preserve">PIK, Due 9/15/18)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3,989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3,989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Micro Precision, LLC</w:t>
            </w:r>
          </w:p>
        </w:tc>
        <w:tc>
          <w:tcPr>
            <w:tcW w:w="2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Conglomerate</w:t>
            </w: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Series A Preferred Units (47 units)</w:t>
            </w:r>
          </w:p>
        </w:tc>
        <w:tc>
          <w:tcPr>
            <w:tcW w:w="10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7,480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Navis Holdings, Inc.</w:t>
            </w:r>
          </w:p>
        </w:tc>
        <w:tc>
          <w:tcPr>
            <w:tcW w:w="2500" w:type="dxa"/>
            <w:vAlign w:val="bottom"/>
            <w:shd w:val="clear" w:color="auto" w:fill="CCEEFF"/>
          </w:tcPr>
          <w:p>
            <w:pPr>
              <w:ind w:left="500"/>
              <w:spacing w:after="0" w:line="138"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56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First Lien Debt (15% Cash, Due</w:t>
            </w: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560" w:type="dxa"/>
            <w:vAlign w:val="bottom"/>
            <w:shd w:val="clear" w:color="auto" w:fill="CCEEFF"/>
          </w:tcPr>
          <w:p>
            <w:pPr>
              <w:ind w:left="140"/>
              <w:spacing w:after="0" w:line="200" w:lineRule="exact"/>
              <w:rPr>
                <w:sz w:val="20"/>
                <w:szCs w:val="20"/>
                <w:color w:val="auto"/>
              </w:rPr>
            </w:pPr>
            <w:r>
              <w:rPr>
                <w:rFonts w:ascii="Times New Roman" w:cs="Times New Roman" w:eastAsia="Times New Roman" w:hAnsi="Times New Roman"/>
                <w:sz w:val="14"/>
                <w:szCs w:val="14"/>
                <w:color w:val="auto"/>
              </w:rPr>
              <w:t xml:space="preserve">10/30/20)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Navis Holdings, Inc.</w:t>
            </w:r>
          </w:p>
        </w:tc>
        <w:tc>
          <w:tcPr>
            <w:tcW w:w="2500" w:type="dxa"/>
            <w:vAlign w:val="bottom"/>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Textile Equipment Manufacturer</w:t>
            </w:r>
          </w:p>
        </w:tc>
        <w:tc>
          <w:tcPr>
            <w:tcW w:w="25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Preferred Stock (1,000</w:t>
            </w:r>
          </w:p>
        </w:tc>
        <w:tc>
          <w:tcPr>
            <w:tcW w:w="10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10% Cash Dividend)</w:t>
            </w:r>
          </w:p>
        </w:tc>
        <w:tc>
          <w:tcPr>
            <w:tcW w:w="10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Navis Holdings, Inc.</w:t>
            </w:r>
          </w:p>
        </w:tc>
        <w:tc>
          <w:tcPr>
            <w:tcW w:w="2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Textile Equipment Manufacturer</w:t>
            </w: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(300,000 shares)</w:t>
            </w:r>
          </w:p>
        </w:tc>
        <w:tc>
          <w:tcPr>
            <w:tcW w:w="10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7,501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13,134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On-Site Fuel Services, Inc.</w:t>
            </w:r>
          </w:p>
        </w:tc>
        <w:tc>
          <w:tcPr>
            <w:tcW w:w="2500" w:type="dxa"/>
            <w:vAlign w:val="bottom"/>
            <w:shd w:val="clear" w:color="auto" w:fill="CCEEFF"/>
          </w:tcPr>
          <w:p>
            <w:pPr>
              <w:ind w:left="500"/>
              <w:spacing w:after="0" w:line="138"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560" w:type="dxa"/>
            <w:vAlign w:val="bottom"/>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rPr>
              <w:t>Subordinated Debt (14% Cash, 4%</w:t>
            </w:r>
          </w:p>
        </w:tc>
        <w:tc>
          <w:tcPr>
            <w:tcW w:w="10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560" w:type="dxa"/>
            <w:vAlign w:val="bottom"/>
            <w:shd w:val="clear" w:color="auto" w:fill="CCEEFF"/>
          </w:tcPr>
          <w:p>
            <w:pPr>
              <w:ind w:left="140"/>
              <w:spacing w:after="0" w:line="200" w:lineRule="exact"/>
              <w:rPr>
                <w:sz w:val="20"/>
                <w:szCs w:val="20"/>
                <w:color w:val="auto"/>
              </w:rPr>
            </w:pPr>
            <w:r>
              <w:rPr>
                <w:rFonts w:ascii="Times New Roman" w:cs="Times New Roman" w:eastAsia="Times New Roman" w:hAnsi="Times New Roman"/>
                <w:sz w:val="14"/>
                <w:szCs w:val="14"/>
                <w:color w:val="auto"/>
              </w:rPr>
              <w:t xml:space="preserve">PIK, Due 12/19/17) </w:t>
            </w:r>
            <w:r>
              <w:rPr>
                <w:rFonts w:ascii="Times New Roman" w:cs="Times New Roman" w:eastAsia="Times New Roman" w:hAnsi="Times New Roman"/>
                <w:sz w:val="23"/>
                <w:szCs w:val="23"/>
                <w:color w:val="auto"/>
                <w:vertAlign w:val="superscript"/>
              </w:rPr>
              <w:t>(1) (2)</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10,303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9,837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w:t>
            </w:r>
          </w:p>
        </w:tc>
        <w:tc>
          <w:tcPr>
            <w:tcW w:w="2500" w:type="dxa"/>
            <w:vAlign w:val="bottom"/>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5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A Preferred Stock (32,782</w:t>
            </w:r>
          </w:p>
        </w:tc>
        <w:tc>
          <w:tcPr>
            <w:tcW w:w="10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3,278</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On-Site Fuel Services, Inc.</w:t>
            </w:r>
          </w:p>
        </w:tc>
        <w:tc>
          <w:tcPr>
            <w:tcW w:w="2500" w:type="dxa"/>
            <w:vAlign w:val="bottom"/>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Fuel Transportation Services</w:t>
            </w:r>
          </w:p>
        </w:tc>
        <w:tc>
          <w:tcPr>
            <w:tcW w:w="25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B Preferred Stock (23,648</w:t>
            </w:r>
          </w:p>
        </w:tc>
        <w:tc>
          <w:tcPr>
            <w:tcW w:w="10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2,365</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On-Site Fuel Services, Inc.</w:t>
            </w:r>
          </w:p>
        </w:tc>
        <w:tc>
          <w:tcPr>
            <w:tcW w:w="2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Fuel Transportation Services</w:t>
            </w:r>
          </w:p>
        </w:tc>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(33,107 shares)</w:t>
            </w:r>
          </w:p>
        </w:tc>
        <w:tc>
          <w:tcPr>
            <w:tcW w:w="10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15,513</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10,303</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23"/>
                <w:szCs w:val="23"/>
                <w:b w:val="1"/>
                <w:bCs w:val="1"/>
                <w:color w:val="auto"/>
                <w:vertAlign w:val="superscript"/>
              </w:rPr>
              <w:t>(4) , (5)</w:t>
            </w:r>
          </w:p>
        </w:tc>
        <w:tc>
          <w:tcPr>
            <w:tcW w:w="19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3"/>
                <w:szCs w:val="13"/>
                <w:color w:val="auto"/>
              </w:rPr>
            </w:pP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6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9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 Direction, Inc.</w:t>
            </w:r>
          </w:p>
        </w:tc>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14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First Lien Debt (10% Cash, 2%</w:t>
            </w:r>
          </w:p>
        </w:tc>
        <w:tc>
          <w:tcPr>
            <w:tcW w:w="1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17,316</w:t>
            </w: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17,316</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12,761</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PIK, Due 2/24/19)</w:t>
            </w:r>
          </w:p>
        </w:tc>
        <w:tc>
          <w:tcPr>
            <w:tcW w:w="14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 Direction, Inc.</w:t>
            </w:r>
          </w:p>
        </w:tc>
        <w:tc>
          <w:tcPr>
            <w:tcW w:w="1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Printing Services</w:t>
            </w:r>
          </w:p>
        </w:tc>
        <w:tc>
          <w:tcPr>
            <w:tcW w:w="21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(18,543 shares)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 Direction, Inc.</w:t>
            </w:r>
          </w:p>
        </w:tc>
        <w:tc>
          <w:tcPr>
            <w:tcW w:w="1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Printing Services</w:t>
            </w:r>
          </w:p>
        </w:tc>
        <w:tc>
          <w:tcPr>
            <w:tcW w:w="214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Warrants (820</w:t>
            </w: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20,306</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12,761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82,791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86,650</w:t>
            </w:r>
          </w:p>
        </w:tc>
        <w:tc>
          <w:tcPr>
            <w:tcW w:w="11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2"/>
                <w:szCs w:val="12"/>
                <w:color w:val="auto"/>
              </w:rPr>
              <w:t>34.6</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INVESTMENTS - 216.2%</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513,776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541,639</w:t>
            </w:r>
          </w:p>
        </w:tc>
        <w:tc>
          <w:tcPr>
            <w:tcW w:w="110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b w:val="1"/>
                <w:bCs w:val="1"/>
                <w:color w:val="auto"/>
              </w:rPr>
              <w:t>216.2</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 (1.1)%</w:t>
            </w: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Eastport Holdings, LLC</w:t>
            </w: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14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4"/>
                <w:szCs w:val="14"/>
                <w:color w:val="auto"/>
              </w:rPr>
              <w:t xml:space="preserve">Written Call Option </w:t>
            </w:r>
            <w:r>
              <w:rPr>
                <w:rFonts w:ascii="Times New Roman" w:cs="Times New Roman" w:eastAsia="Times New Roman" w:hAnsi="Times New Roman"/>
                <w:sz w:val="23"/>
                <w:szCs w:val="23"/>
                <w:color w:val="auto"/>
                <w:vertAlign w:val="superscript"/>
              </w:rPr>
              <w:t>(11)</w:t>
            </w:r>
          </w:p>
        </w:tc>
        <w:tc>
          <w:tcPr>
            <w:tcW w:w="1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(2,736)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(2,736)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DERIVATIVES- (1.1)%</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b w:val="1"/>
                <w:bCs w:val="1"/>
                <w:color w:val="auto"/>
              </w:rPr>
              <w:t>(20</w:t>
            </w:r>
            <w:r>
              <w:rPr>
                <w:rFonts w:ascii="Times New Roman" w:cs="Times New Roman" w:eastAsia="Times New Roman" w:hAnsi="Times New Roman"/>
                <w:sz w:val="20"/>
                <w:szCs w:val="20"/>
                <w:b w:val="1"/>
                <w:bCs w:val="1"/>
                <w:color w:val="auto"/>
                <w:vertAlign w:val="super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2"/>
                <w:szCs w:val="12"/>
                <w:b w:val="1"/>
                <w:bCs w:val="1"/>
                <w:color w:val="auto"/>
              </w:rPr>
              <w:t>(2,736</w:t>
            </w:r>
            <w:r>
              <w:rPr>
                <w:rFonts w:ascii="Times New Roman" w:cs="Times New Roman" w:eastAsia="Times New Roman" w:hAnsi="Times New Roman"/>
                <w:sz w:val="20"/>
                <w:szCs w:val="20"/>
                <w:b w:val="1"/>
                <w:bCs w:val="1"/>
                <w:color w:val="auto"/>
                <w:vertAlign w:val="superscript"/>
              </w:rPr>
              <w:t>)</w:t>
            </w:r>
          </w:p>
        </w:tc>
        <w:tc>
          <w:tcPr>
            <w:tcW w:w="110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2"/>
                <w:szCs w:val="12"/>
                <w:b w:val="1"/>
                <w:bCs w:val="1"/>
                <w:color w:val="auto"/>
              </w:rPr>
              <w:t>(1.1</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original investment has been extended.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Non-accrual investment.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rate equals the approximate current yield on our last-out portion of the unitranche facility.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investments are income producing, unless otherwise noted. Equity and warrant investments are non-income producing, unless otherwise noted.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$250,582 as of December 31, 2016.</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is income producing, based on rate disclosed.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investment has an exercisable put option.</w:t>
      </w:r>
    </w:p>
    <w:p>
      <w:pPr>
        <w:spacing w:after="0" w:line="9" w:lineRule="exact"/>
        <w:rPr>
          <w:rFonts w:ascii="Times New Roman" w:cs="Times New Roman" w:eastAsia="Times New Roman" w:hAnsi="Times New Roman"/>
          <w:sz w:val="18"/>
          <w:szCs w:val="18"/>
          <w:color w:val="auto"/>
        </w:rPr>
      </w:pPr>
    </w:p>
    <w:p>
      <w:pPr>
        <w:jc w:val="both"/>
        <w:ind w:right="6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2016, 4.5% of the Company's total assets were non-qualifying assets.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was amended to zero. The Company is entitled to receive earn-out payments of up to $2.4 million in satisfaction of the debt.</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stated rate, the investment is paying 3% default interest.</w:t>
      </w:r>
    </w:p>
    <w:p>
      <w:pPr>
        <w:spacing w:after="0" w:line="9" w:lineRule="exact"/>
        <w:rPr>
          <w:rFonts w:ascii="Times New Roman" w:cs="Times New Roman" w:eastAsia="Times New Roman" w:hAnsi="Times New Roman"/>
          <w:sz w:val="18"/>
          <w:szCs w:val="18"/>
          <w:color w:val="auto"/>
        </w:rPr>
      </w:pPr>
    </w:p>
    <w:p>
      <w:pPr>
        <w:ind w:right="300" w:firstLine="8"/>
        <w:spacing w:after="0" w:line="250" w:lineRule="auto"/>
        <w:tabs>
          <w:tab w:leader="none" w:pos="3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a call option that enables CapitalSouth Partners Florida Sidecar Fund II, L.P. to purchase up to 31.25% of the Company's interest at a strike price of $1.5 million. As of December 31, 2016, the fair value of the written call option is approximately $2.7 million. See Note 4 to the consolidated financial statements for further detail on the written call option transaction.</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has been exited. The residual value reflects estimated escrow to be settled post-closing.</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 is currently being charged default interest rate of prime plus 10.5%.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the Company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subordinated loans, and, to a lesser extent, equity securities issued by lower middle-market companies and traditional middle-market companies.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is considered an investment company as defined in Accounting Standards Codification (“ASC”) Topic 946 – </w:t>
      </w:r>
      <w:r>
        <w:rPr>
          <w:rFonts w:ascii="Times New Roman" w:cs="Times New Roman" w:eastAsia="Times New Roman" w:hAnsi="Times New Roman"/>
          <w:sz w:val="18"/>
          <w:szCs w:val="18"/>
          <w:i w:val="1"/>
          <w:iCs w:val="1"/>
          <w:color w:val="auto"/>
        </w:rPr>
        <w:t>Financial Services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Companies </w:t>
      </w:r>
      <w:r>
        <w:rPr>
          <w:rFonts w:ascii="Times New Roman" w:cs="Times New Roman" w:eastAsia="Times New Roman" w:hAnsi="Times New Roman"/>
          <w:sz w:val="18"/>
          <w:szCs w:val="18"/>
          <w:color w:val="auto"/>
        </w:rPr>
        <w:t>(“ASC 946”). The accompanying unaudited consolidated financial statements have been prepared on the accrual basis of accounting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as described in the Formation Transactions above.</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June 30, 2017 are presented on a consolidated basis. The effects of all intercompany transactions between the Company and its subsidiaries (Fund II, Fund III, and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0" w:name="page21"/>
    <w:bookmarkEnd w:id="20"/>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2016, filed with the U.S. Securities and Exchange Commission on March 7,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a description of the Company’s investment in CSLLF.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Classification</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Investments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(“ASC 820”). ASC 820 defines fair value, establishes a framework used to measure fair value and requires disclosures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18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determining fair value, the Company’s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1" w:name="page22"/>
    <w:bookmarkEnd w:id="21"/>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estimating the fair value of portfolio investments, the Company starts with the cost basis of the investment, which includes original issue discount or premium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used the net asset value (“NAV”) as the basis for the fair value of its investment in CSLLF for the periods held. CSLLF recorded its underlying investments at fair value on a daily basis utilizing pricing information from third-party sources.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methodologies summarized below are utilized by the Company in estimating fair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Value Waterfall Approach</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8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Approach</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Approach</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22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and paid-in-kind interest income: </w:t>
      </w:r>
      <w:r>
        <w:rPr>
          <w:rFonts w:ascii="Times New Roman" w:cs="Times New Roman" w:eastAsia="Times New Roman" w:hAnsi="Times New Roman"/>
          <w:sz w:val="18"/>
          <w:szCs w:val="18"/>
          <w:color w:val="auto"/>
        </w:rPr>
        <w:t>Interest income is recorded on the accrual basis to the extent that such amounts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Non-accrual investments: </w:t>
      </w:r>
      <w:r>
        <w:rPr>
          <w:rFonts w:ascii="Times New Roman" w:cs="Times New Roman" w:eastAsia="Times New Roman" w:hAnsi="Times New Roman"/>
          <w:sz w:val="18"/>
          <w:szCs w:val="18"/>
          <w:color w:val="auto"/>
        </w:rPr>
        <w:t>Generally, when interest and/or principal payments on a loan become 90 days or more past due, or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Gains and losses on investment sales and paydowns: </w:t>
      </w:r>
      <w:r>
        <w:rPr>
          <w:rFonts w:ascii="Times New Roman" w:cs="Times New Roman" w:eastAsia="Times New Roman" w:hAnsi="Times New Roman"/>
          <w:sz w:val="18"/>
          <w:szCs w:val="18"/>
          <w:color w:val="auto"/>
        </w:rPr>
        <w:t>Realized gains and losses on investments are recognized using the specific identification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income and paid-in-kind dividends: </w:t>
      </w:r>
      <w:r>
        <w:rPr>
          <w:rFonts w:ascii="Times New Roman" w:cs="Times New Roman" w:eastAsia="Times New Roman" w:hAnsi="Times New Roman"/>
          <w:sz w:val="18"/>
          <w:szCs w:val="18"/>
          <w:color w:val="auto"/>
        </w:rPr>
        <w:t>Dividend income is recognized on the date dividends are declared. The Company holds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83"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discount/premiums: </w:t>
      </w:r>
      <w:r>
        <w:rPr>
          <w:rFonts w:ascii="Times New Roman" w:cs="Times New Roman" w:eastAsia="Times New Roman" w:hAnsi="Times New Roman"/>
          <w:sz w:val="18"/>
          <w:szCs w:val="18"/>
          <w:color w:val="auto"/>
        </w:rPr>
        <w:t>Discounts/premiums received to par on loans purchased are capitalized and accreted or amortized into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life of the loan. Any remaining discount/premium is accreted or amortized into income upon prepayment of the loan.</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Origination fees, amendment fees, consent fees, and other fees associated with investments in portfolio companies are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when the investment transaction closes (to the extent services are performed to earn such income). Prepayment penalties received by the Company for debt instruments repaid prior to maturity date are recorded as income upon receipt.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Sales</w:t>
      </w:r>
    </w:p>
    <w:p>
      <w:pPr>
        <w:spacing w:after="0" w:line="227"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17"/>
          <w:szCs w:val="17"/>
          <w:color w:val="auto"/>
        </w:rPr>
        <w:t xml:space="preserve">The Company follows the guidance in ASC Topic 860 — </w:t>
      </w:r>
      <w:r>
        <w:rPr>
          <w:rFonts w:ascii="Times New Roman" w:cs="Times New Roman" w:eastAsia="Times New Roman" w:hAnsi="Times New Roman"/>
          <w:sz w:val="17"/>
          <w:szCs w:val="17"/>
          <w:i w:val="1"/>
          <w:iCs w:val="1"/>
          <w:color w:val="auto"/>
        </w:rPr>
        <w:t>Transfers and Servicing</w:t>
      </w:r>
      <w:r>
        <w:rPr>
          <w:rFonts w:ascii="Times New Roman" w:cs="Times New Roman" w:eastAsia="Times New Roman" w:hAnsi="Times New Roman"/>
          <w:sz w:val="17"/>
          <w:szCs w:val="17"/>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Fees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Costs incurred to issue the Company’s debt obligations are capitalized and are amortized over the term of the debt agreements under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Company had outstanding unfunded commitments related to debt investments in existing portfolio companies of $1.3 million (U.S. Well Services, LLC) and $1.2 million (On-Site Fuel Services, Inc.), respectively.</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June 30, 2017 and December 31, 2016.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to be treated for U.S. federal income tax purposes, and intends to comply with the requirements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8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2017 and December 31, 2016, there were no uncertain tax positions.</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activities since commencement of operations remain subject to examination by U.S. federal, state, and local tax authorities. No interest expense or penalties have been assessed for the three and six months ended June 30, 2017 and June 30, 2016. If the Company was required to recognize interest and penalties, if any, related to unrecognized tax benefits this would be recognized as income tax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an “opt out” dividend reinvestment plan (“DRIP”) for common stockholders. As a result, if the Company declares a cash dividend or other distribution, each stockholder that has not “opted out” of the DRIP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Company Investment Risk, Concentration of Credit Risk, and Liquidity Risk</w:t>
      </w:r>
    </w:p>
    <w:p>
      <w:pPr>
        <w:spacing w:after="0" w:line="229"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6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8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Investment Advisor may attempt to minimize this risk by maintaining low debt-to-liquidation values with each debt investment and the collateral underlying the debt investment.</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 Accounting Pronouncements</w:t>
      </w:r>
    </w:p>
    <w:p>
      <w:pPr>
        <w:spacing w:after="0" w:line="227" w:lineRule="exact"/>
        <w:rPr>
          <w:sz w:val="20"/>
          <w:szCs w:val="20"/>
          <w:color w:val="auto"/>
        </w:rPr>
      </w:pPr>
    </w:p>
    <w:p>
      <w:pPr>
        <w:ind w:right="20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January 2016, FASB issued ASU 2016-01, </w:t>
      </w:r>
      <w:r>
        <w:rPr>
          <w:rFonts w:ascii="Times New Roman" w:cs="Times New Roman" w:eastAsia="Times New Roman" w:hAnsi="Times New Roman"/>
          <w:sz w:val="17"/>
          <w:szCs w:val="17"/>
          <w:i w:val="1"/>
          <w:iCs w:val="1"/>
          <w:color w:val="auto"/>
        </w:rPr>
        <w:t>Financial Instruments — Overall</w:t>
      </w:r>
      <w:r>
        <w:rPr>
          <w:rFonts w:ascii="Times New Roman" w:cs="Times New Roman" w:eastAsia="Times New Roman" w:hAnsi="Times New Roman"/>
          <w:sz w:val="17"/>
          <w:szCs w:val="17"/>
          <w:color w:val="auto"/>
        </w:rPr>
        <w:t xml:space="preserve"> (Subtopic 825-10): </w:t>
      </w:r>
      <w:r>
        <w:rPr>
          <w:rFonts w:ascii="Times New Roman" w:cs="Times New Roman" w:eastAsia="Times New Roman" w:hAnsi="Times New Roman"/>
          <w:sz w:val="17"/>
          <w:szCs w:val="17"/>
          <w:i w:val="1"/>
          <w:iCs w:val="1"/>
          <w:color w:val="auto"/>
        </w:rPr>
        <w:t>Recognition and Measurement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Assets and Financial Liabilities </w:t>
      </w:r>
      <w:r>
        <w:rPr>
          <w:rFonts w:ascii="Times New Roman" w:cs="Times New Roman" w:eastAsia="Times New Roman" w:hAnsi="Times New Roman"/>
          <w:sz w:val="17"/>
          <w:szCs w:val="17"/>
          <w:color w:val="auto"/>
        </w:rPr>
        <w:t>(“ASU 2016-01”). ASU 2016-01 retains many current requirements for the classification and measurement of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however, it significantly revises an entity’s accounting related to (1) the classification and measurement of investments in equity securities and</w:t>
      </w:r>
    </w:p>
    <w:p>
      <w:pPr>
        <w:spacing w:after="0" w:line="1" w:lineRule="exact"/>
        <w:rPr>
          <w:sz w:val="20"/>
          <w:szCs w:val="20"/>
          <w:color w:val="auto"/>
        </w:rPr>
      </w:pPr>
    </w:p>
    <w:p>
      <w:pPr>
        <w:ind w:right="40" w:firstLine="8"/>
        <w:spacing w:after="0" w:line="254"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these changes will have on the Company’s consolidated financial position or results of operations.</w:t>
      </w:r>
    </w:p>
    <w:p>
      <w:pPr>
        <w:spacing w:after="0" w:line="18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October 2016, the U.S. Securities and Exchange Commission (“SEC”) adopted new rules and amended existing rules (together, “final rules”) intended to modernize the reporting and disclosure of information by registered investment companies. In part, the final rules amend Regulation S-X and require standardized, enhanced disclosures about derivatives in investment company financial statements, as well as other amendments. The compliance date for the amendments to Regulation S-X is August 1, 2017. Management is currently evaluating the impact that the adoption of the amendments to Regulation S-X will have on the Company’s consolidated financial statements and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 and Fair Value Measurements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and subordinated loans. Most of the Company’s debt investments are coupled with equity interests, whether in the form of detachable “penny” warrants or equity co-investments made pari-passu with our borrowers’ financial sponsors. As of June 30, 2017, our portfolio consisted of investments in 46 portfolio companies with a fair value of approximately $487.0 million.</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In some cases, first lien loans may be subordinated, solely with respect to the payment of cash interest, to an asset based revolving credit facility.</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the Company made approximately $6.5 million of investments and had approximately $49.3 million in repayments and sales resulting in net repayments and sales of approximately $42.8 million for the period. During the three months ended June 30, 2016, the Company made approximately $0.4 million of investments and had approximately $6.5 million in repayments and sales of investments resulting in net repayments and sales of approximately $6.1 million for the period.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2017, the Company made approximately $28.2 million of investments and had approximately $82.3 million in repayments and sales resulting in net repayments and sales of approximately $54.1 million for the period. During the six months ended June 30, 2016, the Company made approximately $27.9 million of investments and had approximately $16.7 million in repayments and sales of investments resulting in net investments of approximately $11.2 million for the period.</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2017, the Company funded $0.3 million and $1.5 million, respectively, of previously committed capital to existing portfolio companies. During the three and six months ended June 30, 2017, the Company funded $6.2 million and $26.7 million, respectively, of investments in portfolio companies for which it was not previously committed to fund. During the three and six months ended June 30, 2016, the Company funded $0.0 million and $2.8 million, respectively, of previously committed capital to existing portfolio companies. During the three and six months ended June 30, 2016, the Company funded $0.4 million and $25.1 million, respectively, of investments in portfolio companies for which it was not previously committed to fund.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three and six months ended June 30, 2017 and June 30, 2016, the Company did not lead any syndicates and did not assist any portfolio companies in obtaining indirect financing.</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88"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the Company’s consolidated statements of assets and liabilities, was approximately $5.1 million as of June 30, 2017.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June 30, 2017 was determined to be insignificant. The Written Call Option is classified as a Level 3 financial instrument.</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composition of our investments as of June 30, 2017,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w:t>
            </w:r>
          </w:p>
        </w:tc>
        <w:tc>
          <w:tcPr>
            <w:tcW w:w="16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8"/>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221,774</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43,935</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40,786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118,571</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52,725</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105,844</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486,975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our investments as of December 31, 2016,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w:t>
            </w:r>
          </w:p>
        </w:tc>
        <w:tc>
          <w:tcPr>
            <w:tcW w:w="16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64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8"/>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244,647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74,559</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71,483</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150,232</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45,721</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93,346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74" w:gutter="0" w:footer="0" w:header="0"/>
        </w:sectPr>
      </w:pPr>
    </w:p>
    <w:bookmarkStart w:id="26" w:name="page27"/>
    <w:bookmarkEnd w:id="26"/>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76" w:lineRule="exact"/>
        <w:rPr>
          <w:sz w:val="20"/>
          <w:szCs w:val="20"/>
          <w:color w:val="auto"/>
        </w:rPr>
      </w:pPr>
    </w:p>
    <w:p>
      <w:pPr>
        <w:ind w:left="680" w:hanging="33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the Company has the ability to access.</w:t>
      </w:r>
    </w:p>
    <w:p>
      <w:pPr>
        <w:spacing w:after="0" w:line="225" w:lineRule="exact"/>
        <w:rPr>
          <w:rFonts w:ascii="Times New Roman" w:cs="Times New Roman" w:eastAsia="Times New Roman" w:hAnsi="Times New Roman"/>
          <w:sz w:val="18"/>
          <w:szCs w:val="18"/>
          <w:color w:val="auto"/>
        </w:rPr>
      </w:pPr>
    </w:p>
    <w:p>
      <w:pPr>
        <w:ind w:left="680" w:hanging="33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inputs other than quoted prices in active markets, which are either directly or indirectly observable.</w:t>
      </w:r>
    </w:p>
    <w:p>
      <w:pPr>
        <w:spacing w:after="0" w:line="225" w:lineRule="exact"/>
        <w:rPr>
          <w:rFonts w:ascii="Times New Roman" w:cs="Times New Roman" w:eastAsia="Times New Roman" w:hAnsi="Times New Roman"/>
          <w:sz w:val="18"/>
          <w:szCs w:val="18"/>
          <w:color w:val="auto"/>
        </w:rPr>
      </w:pPr>
    </w:p>
    <w:p>
      <w:pPr>
        <w:ind w:left="680" w:hanging="33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measurements of investments, by major class, as of June 30, 2017 (dollars in thousands), according to the fair value hierarchy:</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221,774</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118,571</w:t>
            </w: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105,844</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105,844</w:t>
            </w:r>
          </w:p>
        </w:tc>
        <w:tc>
          <w:tcPr>
            <w:tcW w:w="100" w:type="dxa"/>
            <w:vAlign w:val="bottom"/>
            <w:tcBorders>
              <w:bottom w:val="single" w:sz="8" w:color="CCEEFF"/>
            </w:tcBorders>
          </w:tcPr>
          <w:p>
            <w:pPr>
              <w:spacing w:after="0"/>
              <w:rPr>
                <w:sz w:val="19"/>
                <w:szCs w:val="19"/>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486,975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729"/>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the Written Call Option as of June 30, 2017 (dollars in thousands), according to the fair value hierarchy:</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December 31, 2016 (dollars in thousands), according to the fair value hierarchy:</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9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71,483</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150,232</w:t>
            </w:r>
          </w:p>
        </w:tc>
        <w:tc>
          <w:tcPr>
            <w:tcW w:w="100" w:type="dxa"/>
            <w:vAlign w:val="bottom"/>
            <w:shd w:val="clear" w:color="auto" w:fill="CCEEFF"/>
          </w:tcPr>
          <w:p>
            <w:pPr>
              <w:spacing w:after="0"/>
              <w:rPr>
                <w:sz w:val="18"/>
                <w:szCs w:val="18"/>
                <w:color w:val="auto"/>
              </w:rPr>
            </w:pPr>
          </w:p>
        </w:tc>
      </w:tr>
      <w:tr>
        <w:trPr>
          <w:trHeight w:val="23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93,346</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93,346</w:t>
            </w:r>
          </w:p>
        </w:tc>
        <w:tc>
          <w:tcPr>
            <w:tcW w:w="100" w:type="dxa"/>
            <w:vAlign w:val="bottom"/>
            <w:tcBorders>
              <w:bottom w:val="single" w:sz="8" w:color="CCEEFF"/>
            </w:tcBorders>
          </w:tcPr>
          <w:p>
            <w:pPr>
              <w:spacing w:after="0"/>
              <w:rPr>
                <w:sz w:val="19"/>
                <w:szCs w:val="19"/>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the Written Call Option as of December 31, 2016 (dollars in thousands), according to the fair value hierarchy:</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Call Option</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ind w:right="140" w:firstLine="27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six months ended June 30, 2017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and Warrants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Repayments/sales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(18,948)</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(35,290)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(16,092)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(82,336)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20,867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28,249</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from investments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9,534</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unrealized appreciation (depreciation) on</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(11,583)</w:t>
            </w:r>
          </w:p>
        </w:tc>
        <w:tc>
          <w:tcPr>
            <w:tcW w:w="1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(8,495)</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5,492</w:t>
            </w: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(14,659)</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Written Call Option that use Level 3 inputs for the six months ended June 30, 2017 (dollars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Written</w:t>
            </w:r>
          </w:p>
        </w:tc>
      </w:tr>
      <w:tr>
        <w:trPr>
          <w:trHeight w:val="238"/>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Call Option</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3"/>
              </w:rPr>
              <w:t>(2,736)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Written Call Option</w:t>
            </w:r>
          </w:p>
        </w:tc>
        <w:tc>
          <w:tcPr>
            <w:tcW w:w="160" w:type="dxa"/>
            <w:vAlign w:val="bottom"/>
          </w:tcPr>
          <w:p>
            <w:pPr>
              <w:spacing w:after="0"/>
              <w:rPr>
                <w:sz w:val="19"/>
                <w:szCs w:val="19"/>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(2,412)</w:t>
            </w:r>
          </w:p>
        </w:tc>
      </w:tr>
      <w:tr>
        <w:trPr>
          <w:trHeight w:val="223"/>
        </w:trPr>
        <w:tc>
          <w:tcPr>
            <w:tcW w:w="20" w:type="dxa"/>
            <w:vAlign w:val="bottom"/>
          </w:tcPr>
          <w:p>
            <w:pPr>
              <w:spacing w:after="0"/>
              <w:rPr>
                <w:sz w:val="19"/>
                <w:szCs w:val="19"/>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4"/>
              </w:rPr>
              <w:t>(5,148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First Lien</w:t>
            </w: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Second Lien</w:t>
            </w: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Subordinated</w:t>
            </w: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30"/>
                <w:szCs w:val="30"/>
                <w:b w:val="1"/>
                <w:bCs w:val="1"/>
                <w:color w:val="auto"/>
                <w:vertAlign w:val="superscript"/>
              </w:rPr>
              <w:t>(1)</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and Warrants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Repayments/sales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(5,377)</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(16,661)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Payment in-kind interest and dividends accrued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from investments</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(5,404)</w:t>
            </w: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appreciation (depreciation) 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(7,505)</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80,650</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Excludes our $19.2 million investment in CSLLF, measured at NAV.</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net change in unrealized appreciation (depreciation) on investments held as of June 30, 2017 and June 30, 2016, was $(5.9) million and $(9.6) million, respectively, and is included in net unrealized appreciation (depreciation) on investments in the consolidated statements of operations.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valuation techniques and significant unobservable inputs used in recurring Level 3 fair value measurements of assets and (liabilities) as of June 30, 2017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(Weighted 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First lien debt</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189.2</w:t>
            </w:r>
          </w:p>
        </w:tc>
        <w:tc>
          <w:tcPr>
            <w:tcW w:w="2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7.0% - 20.0% (14.0%)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1.7x</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8.3x (3.5x)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 million - $143.2 million ($21.9 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 lien debt</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7"/>
                <w:szCs w:val="17"/>
                <w:color w:val="auto"/>
              </w:rPr>
            </w:pPr>
          </w:p>
        </w:tc>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5.0x</w:t>
            </w:r>
          </w:p>
        </w:tc>
        <w:tc>
          <w:tcPr>
            <w:tcW w:w="3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5.5x (5.2x)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Waterfall and Asset</w:t>
            </w: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 million - $3.4 million ($2.9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 Multiple</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0.3x</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0.3x (0.3x)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$88.1 million -$88.1 million ($88.1 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 lien debt</w:t>
            </w:r>
          </w:p>
        </w:tc>
        <w:tc>
          <w:tcPr>
            <w:tcW w:w="4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w:t>
            </w:r>
          </w:p>
        </w:tc>
        <w:tc>
          <w:tcPr>
            <w:tcW w:w="2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11.2% - 17.0% (14.5%)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4.6x</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8.5x (6.4x)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$7.9 million - $127.2 million ($65.2 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Subordinated debt</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17"/>
                <w:szCs w:val="17"/>
                <w:color w:val="auto"/>
              </w:rPr>
            </w:pPr>
          </w:p>
        </w:tc>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w:t>
            </w:r>
          </w:p>
        </w:tc>
        <w:tc>
          <w:tcPr>
            <w:tcW w:w="2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11.5% – 19.3% (15.4%)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1.5x</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11.1x (5.0x)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million - $20.8 million ($13.4 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w:t>
            </w:r>
          </w:p>
        </w:tc>
        <w:tc>
          <w:tcPr>
            <w:tcW w:w="4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5.5x</w:t>
            </w:r>
          </w:p>
        </w:tc>
        <w:tc>
          <w:tcPr>
            <w:tcW w:w="34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 7.1x (6.4x)</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Waterfall and Asset</w:t>
            </w: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 million – $27.3 million ($15.4 million)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and warrants</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17"/>
                <w:szCs w:val="17"/>
                <w:color w:val="auto"/>
              </w:rPr>
            </w:pPr>
          </w:p>
        </w:tc>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4.5x</w:t>
            </w:r>
          </w:p>
        </w:tc>
        <w:tc>
          <w:tcPr>
            <w:tcW w:w="3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15.0x (7.6x)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Waterfall</w:t>
            </w: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 million - $78.7 million ($21.8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Written Call Option</w:t>
            </w:r>
          </w:p>
        </w:tc>
        <w:tc>
          <w:tcPr>
            <w:tcW w:w="4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7.1x</w:t>
            </w:r>
          </w:p>
        </w:tc>
        <w:tc>
          <w:tcPr>
            <w:tcW w:w="34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 7.1x (7.1x)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Waterfall</w:t>
            </w: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$27.3 million - $27.3 million ($27.3 million)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$1.0 million in subordinated debt and $9.4 million in first lien debt were valued using the asset approach.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techniques and significant unobservable inputs used in recurring Level 3 fair value measurements of assets and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Approach</w:t>
            </w:r>
          </w:p>
        </w:tc>
        <w:tc>
          <w:tcPr>
            <w:tcW w:w="120" w:type="dxa"/>
            <w:vAlign w:val="bottom"/>
          </w:tcPr>
          <w:p>
            <w:pPr>
              <w:spacing w:after="0"/>
              <w:rPr>
                <w:sz w:val="20"/>
                <w:szCs w:val="20"/>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(Weighted 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First lien debt</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173.3</w:t>
            </w:r>
          </w:p>
        </w:tc>
        <w:tc>
          <w:tcPr>
            <w:tcW w:w="2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Required Rate of Return</w:t>
            </w:r>
          </w:p>
        </w:tc>
        <w:tc>
          <w:tcPr>
            <w:tcW w:w="10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9.5% - 18.0% (14.2%)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2.0x</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6.4x (4.1x)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million - $166.0 million ($24.1million)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 lien debt</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7"/>
                <w:szCs w:val="17"/>
                <w:color w:val="auto"/>
              </w:rPr>
            </w:pPr>
          </w:p>
        </w:tc>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4.5x</w:t>
            </w:r>
          </w:p>
        </w:tc>
        <w:tc>
          <w:tcPr>
            <w:tcW w:w="3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9.0x (6.3x)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Waterfall and Asset</w:t>
            </w: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million - $34.3 million ($13.1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 Multiple</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0.3x</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0.3x (0.3x)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$88.1 million -$88.1 million ($88.1 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 lien debt</w:t>
            </w:r>
          </w:p>
        </w:tc>
        <w:tc>
          <w:tcPr>
            <w:tcW w:w="4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w:t>
            </w:r>
          </w:p>
        </w:tc>
        <w:tc>
          <w:tcPr>
            <w:tcW w:w="2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 - 17.3% (13.3%)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0.0x</w:t>
            </w: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7.5x (5.0x)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 million - $166.0 million ($76.5 million)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Subordinated debt</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114.6</w:t>
            </w:r>
          </w:p>
        </w:tc>
        <w:tc>
          <w:tcPr>
            <w:tcW w:w="240" w:type="dxa"/>
            <w:vAlign w:val="bottom"/>
          </w:tcPr>
          <w:p>
            <w:pPr>
              <w:spacing w:after="0"/>
              <w:rPr>
                <w:sz w:val="17"/>
                <w:szCs w:val="17"/>
                <w:color w:val="auto"/>
              </w:rPr>
            </w:pPr>
          </w:p>
        </w:tc>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w:t>
            </w:r>
          </w:p>
        </w:tc>
        <w:tc>
          <w:tcPr>
            <w:tcW w:w="2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Required Rate of Return</w:t>
            </w:r>
          </w:p>
        </w:tc>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11.5% – 20.0% (13.6%)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Leverage Ratio</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1.5x</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6.7x (4.1x)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 million - $63.7 million ($21.4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debt</w:t>
            </w:r>
          </w:p>
        </w:tc>
        <w:tc>
          <w:tcPr>
            <w:tcW w:w="4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5.0x</w:t>
            </w:r>
          </w:p>
        </w:tc>
        <w:tc>
          <w:tcPr>
            <w:tcW w:w="34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 8.7x (6.3x)</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Waterfall and Asset</w:t>
            </w: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million – $27.6 million ($15.7 million)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and warrants</w:t>
            </w: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93.3</w:t>
            </w:r>
          </w:p>
        </w:tc>
        <w:tc>
          <w:tcPr>
            <w:tcW w:w="240" w:type="dxa"/>
            <w:vAlign w:val="bottom"/>
          </w:tcPr>
          <w:p>
            <w:pPr>
              <w:spacing w:after="0"/>
              <w:rPr>
                <w:sz w:val="17"/>
                <w:szCs w:val="17"/>
                <w:color w:val="auto"/>
              </w:rPr>
            </w:pPr>
          </w:p>
        </w:tc>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4.5x</w:t>
            </w:r>
          </w:p>
        </w:tc>
        <w:tc>
          <w:tcPr>
            <w:tcW w:w="3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12.2x (7.6%)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Waterfall</w:t>
            </w:r>
          </w:p>
        </w:tc>
        <w:tc>
          <w:tcPr>
            <w:tcW w:w="2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million - $63.7 million ($17.5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Written Call Option</w:t>
            </w:r>
          </w:p>
        </w:tc>
        <w:tc>
          <w:tcPr>
            <w:tcW w:w="4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(2.7)</w:t>
            </w:r>
          </w:p>
        </w:tc>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Enterprise Value</w:t>
            </w:r>
          </w:p>
        </w:tc>
        <w:tc>
          <w:tcPr>
            <w:tcW w:w="23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EBITDA Multiple</w:t>
            </w:r>
          </w:p>
        </w:tc>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6.25x – 6.25x (6.25x)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Waterfall</w:t>
            </w:r>
          </w:p>
        </w:tc>
        <w:tc>
          <w:tcPr>
            <w:tcW w:w="2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$27.6 million - $27.6 million ($27.6 million)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$2.5 million in subordinated debt and $2.6 million in first lien debt were valued using the asset approach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Capitala Senior Liquid Loan Fund I, LLC</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March 24, 2015, the Company and Trinity Universal Insurance Company (“Trinity”), a subsidiary of Kemper Corporation,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Because the TRS was wound down in a prior period, only comparative period disclosures are included herein. For the three and six months ended June 30, 2016, we received $0.5 million and $1.0 million, respectively, in dividend income from our equity interest in CSLLF.</w:t>
      </w:r>
    </w:p>
    <w:p>
      <w:pPr>
        <w:spacing w:after="0" w:line="16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19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had posted $0.0 million in collateral to Bank of America in relation to the TRS, which is recorded on CSLLF’s statements of assets and liabilities as cash held as collateral on total return swap. The cash collateral represented CSLLF’s maximum credit exposure as of December 31, 2016.</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TRS, CSLLF made customary representations and warranties and was required to comply with various covenants, reporting requirements and other customary requirements for similar transactions governed by an ISDA 2002 Master Agreement.</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CSLLF’s receivable due on the TRS represents realized amounts from payments on underlying loans in the total return swap portfolio. At December 31, 2016, the receivable due on TRS was $0.1 million and is recorded on CSLLF’s statement of assets and liabilities below. CSLLF does not offset collateral posted in relation to the TRS with any unrealized appreciation or depreciation outstanding in the statement of assets and liabilities as of December 31, 2016.</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Transactions in TRS contracts during the three and six months ended June 30, 2016 resulted in $0.7 million and $1.4 million, respectively, in realized gains and $0.8 million and $1.6 million, respectively, in unrealized appreciation, which was recorded on CSLLF’s statements of operations below.</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the volume of the CSLLF’s derivative transactions during the three and six months ended June 30, 2016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notional par amount of contract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Below is certain summarized financial information for CSLLF as of December 31, 2016 and for the three and six months ended June 30, 2016 (dollars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Assets and Liabilities:</w:t>
            </w: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due on Total Return Swap</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payable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2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liabilities and net assets</w:t>
            </w:r>
          </w:p>
        </w:tc>
        <w:tc>
          <w:tcPr>
            <w:tcW w:w="2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and legal expenses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operating loss</w:t>
            </w:r>
          </w:p>
        </w:tc>
        <w:tc>
          <w:tcPr>
            <w:tcW w:w="13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Total Return Swap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Total Return Swap</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Agreements</w:t>
      </w:r>
    </w:p>
    <w:p>
      <w:pPr>
        <w:spacing w:after="0" w:line="229"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by a majority of our non-interested directors, at an in-person meeting, on August 3, 2017.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680" w:hanging="33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225" w:lineRule="exact"/>
        <w:rPr>
          <w:rFonts w:ascii="Times New Roman" w:cs="Times New Roman" w:eastAsia="Times New Roman" w:hAnsi="Times New Roman"/>
          <w:sz w:val="18"/>
          <w:szCs w:val="18"/>
          <w:color w:val="auto"/>
        </w:rPr>
      </w:pPr>
    </w:p>
    <w:p>
      <w:pPr>
        <w:ind w:left="680" w:right="520" w:hanging="334"/>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161" w:lineRule="exact"/>
        <w:rPr>
          <w:rFonts w:ascii="Times New Roman" w:cs="Times New Roman" w:eastAsia="Times New Roman" w:hAnsi="Times New Roman"/>
          <w:sz w:val="18"/>
          <w:szCs w:val="18"/>
          <w:color w:val="auto"/>
        </w:rPr>
      </w:pPr>
    </w:p>
    <w:p>
      <w:pPr>
        <w:ind w:left="680" w:hanging="33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and monitors the investments we make;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10" w:gutter="0" w:footer="0" w:header="0"/>
        </w:sectPr>
      </w:pPr>
    </w:p>
    <w:bookmarkStart w:id="31" w:name="page32"/>
    <w:bookmarkEnd w:id="31"/>
    <w:p>
      <w:pPr>
        <w:ind w:left="360"/>
        <w:spacing w:after="0"/>
        <w:rPr>
          <w:sz w:val="20"/>
          <w:szCs w:val="20"/>
          <w:color w:val="auto"/>
        </w:rPr>
      </w:pPr>
      <w:r>
        <w:rPr>
          <w:rFonts w:ascii="Times New Roman" w:cs="Times New Roman" w:eastAsia="Times New Roman" w:hAnsi="Times New Roman"/>
          <w:sz w:val="18"/>
          <w:szCs w:val="18"/>
          <w:color w:val="auto"/>
        </w:rPr>
        <w:t>• provides us with other investment advisory, research and related services as we may from time to time require.</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incentive fee consists of the following two parts: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91" w:lineRule="exact"/>
        <w:rPr>
          <w:sz w:val="20"/>
          <w:szCs w:val="20"/>
          <w:color w:val="auto"/>
        </w:rPr>
      </w:pPr>
    </w:p>
    <w:p>
      <w:pPr>
        <w:ind w:left="680" w:hanging="334"/>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the pre-incentive fee net investment income does not exceed the hurdle of 2.0%;</w:t>
      </w:r>
    </w:p>
    <w:p>
      <w:pPr>
        <w:spacing w:after="0" w:line="225" w:lineRule="exact"/>
        <w:rPr>
          <w:rFonts w:ascii="Times New Roman" w:cs="Times New Roman" w:eastAsia="Times New Roman" w:hAnsi="Times New Roman"/>
          <w:sz w:val="18"/>
          <w:szCs w:val="18"/>
          <w:color w:val="auto"/>
        </w:rPr>
      </w:pPr>
    </w:p>
    <w:p>
      <w:pPr>
        <w:ind w:left="680" w:right="80" w:hanging="334"/>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83" w:lineRule="exact"/>
        <w:rPr>
          <w:rFonts w:ascii="Times New Roman" w:cs="Times New Roman" w:eastAsia="Times New Roman" w:hAnsi="Times New Roman"/>
          <w:sz w:val="18"/>
          <w:szCs w:val="18"/>
          <w:color w:val="auto"/>
        </w:rPr>
      </w:pPr>
    </w:p>
    <w:p>
      <w:pPr>
        <w:ind w:left="680" w:right="140" w:hanging="334"/>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8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2" w:name="page33"/>
    <w:bookmarkEnd w:id="32"/>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June 30, 2017 and December 31, 2016, the Company had incentive fees payable to the Investment Advisor of $2.2 million and $6.4 million, respectively.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2017 and 2016, the Company incurred $2.5 million and $2.7 million in base management fees, respectively. The Company incurred $0.0 million and $1.7 million in incentive fees related to pre-incentive fee net investment income for the three months ended June 30, 2017 and 2016, respectively. For the three months ended June 30, 2017 and 2016, the Investment Advisor waived incentive fees of $0.0 million and $0.8 million, respectively.</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2017 and 2016, the Company incurred $5.0 million and $5.4 million in base management fees, respectively. The Company incurred $1.3 million and $3.4 million in incentive fees related to pre-incentive fee net investment income for the six months ended June 30, 2017 and 2016, respectively. For the six months ended June 30, 2017 and 2016, the Investment Advisor waived incentive fees of $1.0 million and $1.4 million, respectively.</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NAV,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and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3, 2017.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the Company paid the Administrator $0.3 million and $0.6 million, respectively, for the Company’s allocable portion of the Administrator’s overhead. For the three and six months ended June 30, 2016, the Company paid the Administrator $0.3 million and $0.6 million, respectively, for the Company’s allocable portion of the Administrator’s overhead.</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the Company had the following receivables from (payables to) related parties relating to certain management fees, incentive fees, reimbursable expenses, and other payments owed to related parties (dollars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CapitalSouth Corporation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CapitalSouth Partners Florida Sidecar Fund II, L.P.</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Capitala Investment Advisors, LLC</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(6,426)</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These amounts are reflected in the accompanying consolidated statements of assets and liabilities under the captions, “Due from related parties”, “Management and incentive fee payable” and “Due to related parties.”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 See Note 4 for a further description of this transaction.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SBA Debentures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through its two wholly owned subsidiaries, uses debenture leverage provided through the SBA to fund a portion of its investment portfolio. As of June 30, 2017 and December 31, 2016, the Company has $170.7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June 30, 2017 and December 31, 2016, Fund II and Fund III had total assets of approximately $355.2 million and $349.4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for all SBA-guaranteed debentures as of June 30, 2017 and December 31, 2016 was 3.29%. In addition to the stated interest rate, the SBA also charges an annual fee on all SBA-guaranteed debentures issued, which is included in the Company’s interest expense. The weighted average annual fee for all SBA-guaranteed debentures as of June 30, 2017 and December 31, 2016 was 0.43%.</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and annual charges, and deferred financing costs on the SBA-guaranteed debentures for the three and six months ended June 30, 2017 and 2016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annual charges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financing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Company’s issued and outstanding SBA-guaranteed debentures mature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3"/>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SBA Annual</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Fixed Maturity Date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2019</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4.620%</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0.941%</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2020</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3.215%</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2021</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4.084%</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15,700</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2021</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4.084%</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46,000</w:t>
            </w:r>
          </w:p>
        </w:tc>
        <w:tc>
          <w:tcPr>
            <w:tcW w:w="8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2022</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2.766%</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2022</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0.515%</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r>
      <w:tr>
        <w:trPr>
          <w:trHeight w:val="230"/>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2023</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2.351%</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0.515%</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r>
      <w:tr>
        <w:trPr>
          <w:trHeight w:val="223"/>
        </w:trPr>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Notes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June 16, 2014, the Company issued $113.4 million in aggregate principal amount of 7.125% fixed-rate notes due 2021 (the “2021 Notes”). On May 26, 2017, the Company caused notices to be issued to the holders of its 2021 Notes regarding the Company’s exercise of its option to redeem all of the issued and outstanding 2021 Notes, pursuant to Section 1104 of the Indenture dated as of June 16, 2014, between the Company and U.S. Bank National Association, as trustee, and Section 1.01(h) of the First Supplemental Indenture dated as of June 16, 2014. The Company redeemed all $113.4 million in aggregate principal amount of the 2021 Notes on June 25, 2017. The Notes were redeemed at 100% of their principal amount ($25 per Note), plus the accrued and unpaid interest thereon from June 16, 2017, through, but excluding, June 25, 2017. As a result of the redemption, the Company recognized a loss on the extinguishment of debt of $2.7 million for the three and six months ended June 30, 2017, due to the amortization of the deferred financing costs remaining on the 2021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and deferred financing costs on the 2021 Notes for the three and six months ended June 30, 2017 and 2016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financing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Notes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May 16, 2017, the Company issued $70.0 million in aggregate principal amount of 6.0% fixed-rate notes due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is payable quarterly beginning August 31, 2017.</w:t>
      </w:r>
    </w:p>
    <w:p>
      <w:pPr>
        <w:spacing w:after="0" w:line="18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and deferred financing costs on the 2022 Notes for the three and six months ended June 30, 2017 and 2016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3"/>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financing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May 26, 2017, the Company issued $50.0 million in aggregate principal amount of 5.75% fixed-rate convertible notes due on May 31, 2022 (the “2022 Convertible Notes”). On June 26, 2017, the Company issued an additional $2.1 million in aggregate principal amount of the 2022 Convertible Notes pursuant to a partial exercise of the underwriters’ overallotment option. Interest is payable quarterly beginning August 31, 2017.</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2022 Convertible Notes are convertible, at the holder’s option, into shares of the Company’s common stock at any time on or prior to the close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on the business day immediately preceding the maturity date. The conversion rate for the 2022 Convertible Notes is initially 1.5913 shares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principal amount of 2022 Convertible Notes (equivalent to an initial conversion price of approximately $15.71 per share of common stock).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premium is approximately 14.0%. Upon conversion, the Company will deliver shares of its common stock (and cash in lieu of fractional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rate is subject to adjustment if certain events occur as outlined in the supplemental indenture relating to the 2022 Convertible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determined that the embedded conversion option in the 2022 Convertible Notes is not required to be separately accounted for as a derivative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GAAP.</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interest expense and deferred financing costs on the 2022 Convertible Notes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and 2016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3"/>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financing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7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October 17, 2014, the Company entered into a senior secured revolving credit agreement (the “Credit Facility”) with ING Capital, LLC, as administrative agent, arranger, and bookrunner, and the lenders party thereto. On June 16, 2017, the Company entered into an amendment to its Credit Facility with ING Capital, LLC (the “Amendment”). Pursuant to the Amendment, the Credit Facility currently provides for borrowings up to $114.5 million and may be increased up to $200.0 million pursuant to its “accordion” feature. The Credit Facility matures on June 16, 2021.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Amendment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9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deferred financing costs, and unused commitment fees on the Credit Facility for the three and six months ended June 30, 2017 and 2016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gridSpan w:val="2"/>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395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8"/>
                <w:szCs w:val="18"/>
                <w:color w:val="auto"/>
              </w:rPr>
            </w:pPr>
          </w:p>
        </w:tc>
        <w:tc>
          <w:tcPr>
            <w:tcW w:w="16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commitment fees</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and financing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88"/>
              </w:rPr>
              <w:t>801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of June 30, 2017 and December 31, 2016, the Company had $30.0 million and $44.0 million, respectively, outstanding under the Credit Facility. The Credit Facility is secured by investments and cash held by Capitala Finance Corp., exclusive of assets held at our two SBIC subsidiaries. Assets pledged to secure the Credit Facility had a fair value of $214.1 million at June 30, 2017. As part of the terms of the Credit Facility, the Company may not make cash distributions with respect to any taxable year that exceed 110% (125% if the Company is not in default and its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Directors Fees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six months ended June 30, 2017, the Company recognized directors fees expense of $0.1 million and $0.2 million, respectively. For the three and six months ended June 30, 2016, the Company recognized directors fees expense of $0.1 million and $0.2 million, respectively. No compensation is expected to be paid to directors who are “interested persons” of the Company, as such term is defined in Section 2(a)(19) of the 1940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Disclosed, But Not Carried, At Fair Value</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Company’s financial liabilities disclosed, but not carried, at fair value as of June 30, 2017, and the level of each financial liability within the fair value hierarchy (dollars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3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500"/>
              <w:spacing w:after="0" w:line="275" w:lineRule="exact"/>
              <w:rPr>
                <w:sz w:val="20"/>
                <w:szCs w:val="20"/>
                <w:color w:val="auto"/>
              </w:rPr>
            </w:pPr>
            <w:r>
              <w:rPr>
                <w:rFonts w:ascii="Times New Roman" w:cs="Times New Roman" w:eastAsia="Times New Roman" w:hAnsi="Times New Roman"/>
                <w:sz w:val="18"/>
                <w:szCs w:val="18"/>
                <w:b w:val="1"/>
                <w:bCs w:val="1"/>
                <w:color w:val="auto"/>
              </w:rPr>
              <w:t xml:space="preserve">Value </w:t>
            </w:r>
            <w:r>
              <w:rPr>
                <w:rFonts w:ascii="Times New Roman" w:cs="Times New Roman" w:eastAsia="Times New Roman" w:hAnsi="Times New Roman"/>
                <w:sz w:val="30"/>
                <w:szCs w:val="30"/>
                <w:b w:val="1"/>
                <w:bCs w:val="1"/>
                <w:color w:val="auto"/>
                <w:vertAlign w:val="superscript"/>
              </w:rPr>
              <w:t>(1)</w:t>
            </w:r>
          </w:p>
        </w:tc>
        <w:tc>
          <w:tcPr>
            <w:tcW w:w="140" w:type="dxa"/>
            <w:vAlign w:val="bottom"/>
          </w:tcPr>
          <w:p>
            <w:pPr>
              <w:spacing w:after="0"/>
              <w:rPr>
                <w:sz w:val="23"/>
                <w:szCs w:val="23"/>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3"/>
                <w:szCs w:val="2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3"/>
                <w:szCs w:val="23"/>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2022 Notes</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76,275</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76,275</w:t>
            </w:r>
          </w:p>
        </w:tc>
        <w:tc>
          <w:tcPr>
            <w:tcW w:w="20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52,087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52,713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52,713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29,856</w:t>
            </w: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29,856</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Carrying value equals the gross principal outstanding at period end.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 and fair value of the Company’s financial liabilities disclosed, but not carried, at fair value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and the level of each financial liability within the fair value hierarchy (dollars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5"/>
        </w:trPr>
        <w:tc>
          <w:tcPr>
            <w:tcW w:w="3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500"/>
              <w:spacing w:after="0" w:line="275" w:lineRule="exact"/>
              <w:rPr>
                <w:sz w:val="20"/>
                <w:szCs w:val="20"/>
                <w:color w:val="auto"/>
              </w:rPr>
            </w:pPr>
            <w:r>
              <w:rPr>
                <w:rFonts w:ascii="Times New Roman" w:cs="Times New Roman" w:eastAsia="Times New Roman" w:hAnsi="Times New Roman"/>
                <w:sz w:val="18"/>
                <w:szCs w:val="18"/>
                <w:b w:val="1"/>
                <w:bCs w:val="1"/>
                <w:color w:val="auto"/>
              </w:rPr>
              <w:t xml:space="preserve">Value </w:t>
            </w:r>
            <w:r>
              <w:rPr>
                <w:rFonts w:ascii="Times New Roman" w:cs="Times New Roman" w:eastAsia="Times New Roman" w:hAnsi="Times New Roman"/>
                <w:sz w:val="30"/>
                <w:szCs w:val="30"/>
                <w:b w:val="1"/>
                <w:bCs w:val="1"/>
                <w:color w:val="auto"/>
                <w:vertAlign w:val="superscript"/>
              </w:rPr>
              <w:t>(1)</w:t>
            </w:r>
          </w:p>
        </w:tc>
        <w:tc>
          <w:tcPr>
            <w:tcW w:w="140" w:type="dxa"/>
            <w:vAlign w:val="bottom"/>
          </w:tcPr>
          <w:p>
            <w:pPr>
              <w:spacing w:after="0"/>
              <w:rPr>
                <w:sz w:val="23"/>
                <w:szCs w:val="23"/>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3"/>
                <w:szCs w:val="2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debentures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2021 Notes</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113,438</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115,888</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115,888</w:t>
            </w:r>
          </w:p>
        </w:tc>
        <w:tc>
          <w:tcPr>
            <w:tcW w:w="2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43,927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43,927</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335,396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Carrying value equals the gross principal outstanding at period end.</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SBA debentures was based on future contractual cash payments discounted at market interest rates to borrow from the SBA as of the measurement date.</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2021 Notes was based on the closing price as of the measurement date as the 2021 Notes were traded on the New York Stock Exchange under the ticker “CLA.”</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Credit Facility was based on future contractual cash payments discounted at estimated market interest rates for similar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Summarized Financial Information of Our Unconsolidated Subsidiaries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holds a control interest, as defined by the 1940 Act, in six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June 30, 2017 and December 31, 2016, and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 Direction, Inc.</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Print Direction, Inc., incorporated in Georgia on May 11, 2006, is a professional printing services firm serving customers, particularly fast food, retail, and other similar chains, throughout the U.S. Print Direction, Inc. also provides warehousing and distribution services for these customers. The (loss) the Company generated from Print Direction, Inc., which includes all interest, dividends, PIK interest and dividends, fees, and unrealized appreciation (depreciation), was $(7.6) million and $0.0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Navis Holdings, Inc.</w:t>
      </w:r>
    </w:p>
    <w:p>
      <w:pPr>
        <w:spacing w:after="0" w:line="229"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$0.6 million and $2.0 million for the six months ended June 30, 2017 and June 30, 2016,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On-Site Fuel Services, Inc.</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On-Site Fuel Service, Inc. is a 100% owned subsidiary of On-Site Fuel Holdings, Inc., which was incorporated in Delaware on December 19, 2011. On-Site Fuel Service, Inc. provides fueling services for commercial and government vehicle fleets throughout the southeast U.S. The income (loss) the Company generated from On-Site Fuel Service, Inc., which includes all interest, dividends, PIK interest and dividends, fees, and unrealized appreciation (depreciation), was $(0.6) million and $1.5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CableOrganizer Acquisition, LLC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dividends, fees, and unrealized appreciation (depreciation), was $0.7 million and $1.0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Eastport Holdings, LLC</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$6.3 million and $6.9 million for the six months ended June 30, 2017 and June 30, 2016,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12"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Micro Precision, LLC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Micro Precision, LLC, formed on August 5, 2011 as a Delaware limited liability company, is a prime contractor supplying critical parts and mechanical assemblies to the United States Department of Defense as well as designer and manufacturer of locomotive air horns. The income (loss) the Company generated from Micro Precision, LLC, which includes all interest, dividends, PIK interest and dividends, fees, and unrealized appreciation (depreciation), was $(0.4) million and $0.4 million for the six months ended June 30, 2017 and June 30, 2016,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Print Direction,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Print Direction,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5,134</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Navis Holdings,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Navis Holdings,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2,370</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900" w:right="7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On-Site Fuel Services,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45,245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On-Site Fuel Services,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15,375</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CableOrganizer Acquisition,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CableOrganizer Acquisition,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5,205</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Eastport Holdings,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148,166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11430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900" w:top="914" w:right="959" w:bottom="161" w:gutter="0" w:footer="0" w:header="0"/>
        </w:sectPr>
      </w:pPr>
    </w:p>
    <w:bookmarkStart w:id="39" w:name="page40"/>
    <w:bookmarkEnd w:id="39"/>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Eastport Holdings,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209,944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202,876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67,862</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Micro Precision,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Micro Precision,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provisions of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June 30, 2016, there were no dilutive shares. As of June 30, 2017, all convertible shares related to the 2022 Convertible Notes were considered anti-dilutive.</w:t>
      </w:r>
    </w:p>
    <w:p>
      <w:pPr>
        <w:spacing w:after="0" w:line="18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the weighted average basic and diluted net increase (decrease) in net assets per share from operations for the three and six months ended June 30, 2017 and June 30, 2016 (dollars in thousands, except share and per share data):</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2017</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191"/>
        </w:trPr>
        <w:tc>
          <w:tcPr>
            <w:tcW w:w="4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net assets from operations –</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3,067</w:t>
            </w: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15,889,682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15,807,340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15,881,712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15,796,642</w:t>
            </w:r>
          </w:p>
        </w:tc>
      </w:tr>
      <w:tr>
        <w:trPr>
          <w:trHeight w:val="198"/>
        </w:trPr>
        <w:tc>
          <w:tcPr>
            <w:tcW w:w="4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per share from</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 basic and diluted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Note 12. Distributions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distributions are recorded as payable on the declaration date. Shareholders have the option to receive payment of their distribution in cash, shares of common stock, or a combination of cash and common stock.</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distribution declarations for the six months ended June 30, 2017 (dollars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DRIP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DRIP</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38"/>
        </w:trPr>
        <w:tc>
          <w:tcPr>
            <w:tcW w:w="26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0" w:type="dxa"/>
            <w:vAlign w:val="bottom"/>
          </w:tcPr>
          <w:p>
            <w:pPr>
              <w:spacing w:after="0"/>
              <w:rPr>
                <w:sz w:val="20"/>
                <w:szCs w:val="20"/>
                <w:color w:val="auto"/>
              </w:rPr>
            </w:pPr>
          </w:p>
        </w:tc>
        <w:tc>
          <w:tcPr>
            <w:tcW w:w="18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 2017</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2017</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27,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 2017</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23, 2017</w:t>
            </w:r>
          </w:p>
        </w:tc>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30,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April 19, 2017</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April 27,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23, 2017</w:t>
            </w:r>
          </w:p>
        </w:tc>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May 29,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June 21, 2017</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29,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178"/>
        </w:trPr>
        <w:tc>
          <w:tcPr>
            <w:tcW w:w="264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Times New Roman" w:cs="Times New Roman" w:eastAsia="Times New Roman" w:hAnsi="Times New Roman"/>
                <w:sz w:val="18"/>
                <w:szCs w:val="18"/>
                <w:color w:val="auto"/>
              </w:rPr>
              <w:t>Total Distributions Declared</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Distributed</w:t>
            </w: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34,450</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distribution declarations for the six months ended June 30, 2016 (dollars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DRIP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DRIP</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28, 2016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February 19, 2016</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26,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2016</w:t>
            </w:r>
          </w:p>
        </w:tc>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30, 2016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April 22, 2016</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April 28,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23, 2016</w:t>
            </w:r>
          </w:p>
        </w:tc>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May 30, 2016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June 21, 2016</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29, 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178"/>
        </w:trPr>
        <w:tc>
          <w:tcPr>
            <w:tcW w:w="2640" w:type="dxa"/>
            <w:vAlign w:val="bottom"/>
            <w:tcBorders>
              <w:top w:val="single" w:sz="8" w:color="CCEEFF"/>
            </w:tcBorders>
            <w:gridSpan w:val="2"/>
            <w:shd w:val="clear" w:color="auto" w:fill="CCEEFF"/>
          </w:tcPr>
          <w:p>
            <w:pPr>
              <w:ind w:left="180"/>
              <w:spacing w:after="0" w:line="178" w:lineRule="exact"/>
              <w:rPr>
                <w:sz w:val="20"/>
                <w:szCs w:val="20"/>
                <w:color w:val="auto"/>
              </w:rPr>
            </w:pPr>
            <w:r>
              <w:rPr>
                <w:rFonts w:ascii="Times New Roman" w:cs="Times New Roman" w:eastAsia="Times New Roman" w:hAnsi="Times New Roman"/>
                <w:sz w:val="18"/>
                <w:szCs w:val="18"/>
                <w:color w:val="auto"/>
              </w:rPr>
              <w:t>Total Distributions Declared</w:t>
            </w: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Distributed</w:t>
            </w: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45,291</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Highlights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six months ended June 30, 2017 and 2016 (dollars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2016</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17.04</w:t>
            </w: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9"/>
                <w:szCs w:val="29"/>
                <w:color w:val="auto"/>
                <w:vertAlign w:val="superscript"/>
              </w:rPr>
              <w:t>(1)</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r>
      <w:tr>
        <w:trPr>
          <w:trHeight w:val="257"/>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realized gain (loss) on investments </w:t>
            </w:r>
            <w:r>
              <w:rPr>
                <w:rFonts w:ascii="Times New Roman" w:cs="Times New Roman" w:eastAsia="Times New Roman" w:hAnsi="Times New Roman"/>
                <w:sz w:val="29"/>
                <w:szCs w:val="29"/>
                <w:color w:val="auto"/>
                <w:vertAlign w:val="superscript"/>
              </w:rPr>
              <w:t>(1)</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unrealized depreciation on investments </w:t>
            </w:r>
            <w:r>
              <w:rPr>
                <w:rFonts w:ascii="Times New Roman" w:cs="Times New Roman" w:eastAsia="Times New Roman" w:hAnsi="Times New Roman"/>
                <w:sz w:val="29"/>
                <w:szCs w:val="29"/>
                <w:color w:val="auto"/>
                <w:vertAlign w:val="superscript"/>
              </w:rPr>
              <w:t>(1)</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57"/>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unrealized depreciation on Written Call Option </w:t>
            </w:r>
            <w:r>
              <w:rPr>
                <w:rFonts w:ascii="Times New Roman" w:cs="Times New Roman" w:eastAsia="Times New Roman" w:hAnsi="Times New Roman"/>
                <w:sz w:val="29"/>
                <w:szCs w:val="29"/>
                <w:color w:val="auto"/>
                <w:vertAlign w:val="superscript"/>
              </w:rPr>
              <w:t>(1)</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 from net investment income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r>
      <w:tr>
        <w:trPr>
          <w:trHeight w:val="270"/>
        </w:trPr>
        <w:tc>
          <w:tcPr>
            <w:tcW w:w="682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30"/>
                <w:szCs w:val="30"/>
                <w:color w:val="auto"/>
                <w:vertAlign w:val="superscript"/>
              </w:rPr>
              <w:t>(7)</w:t>
            </w:r>
          </w:p>
        </w:tc>
        <w:tc>
          <w:tcPr>
            <w:tcW w:w="1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257,542</w:t>
            </w:r>
          </w:p>
        </w:tc>
        <w:tc>
          <w:tcPr>
            <w:tcW w:w="1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15,902,495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15,822,636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w:t>
            </w: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Ratio of net investment income to average net assets </w:t>
            </w:r>
            <w:r>
              <w:rPr>
                <w:rFonts w:ascii="Times New Roman" w:cs="Times New Roman" w:eastAsia="Times New Roman" w:hAnsi="Times New Roman"/>
                <w:sz w:val="29"/>
                <w:szCs w:val="29"/>
                <w:color w:val="auto"/>
                <w:vertAlign w:val="superscript"/>
              </w:rPr>
              <w:t>(9)</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r>
      <w:tr>
        <w:trPr>
          <w:trHeight w:val="257"/>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Ratio of incentive fee, net of incentive fee waiver, to average net assets </w:t>
            </w:r>
            <w:r>
              <w:rPr>
                <w:rFonts w:ascii="Times New Roman" w:cs="Times New Roman" w:eastAsia="Times New Roman" w:hAnsi="Times New Roman"/>
                <w:sz w:val="29"/>
                <w:szCs w:val="29"/>
                <w:color w:val="auto"/>
                <w:vertAlign w:val="superscript"/>
              </w:rPr>
              <w:t>(6)(10)</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Ratio of interest and financing expenses to average net assets </w:t>
            </w:r>
            <w:r>
              <w:rPr>
                <w:rFonts w:ascii="Times New Roman" w:cs="Times New Roman" w:eastAsia="Times New Roman" w:hAnsi="Times New Roman"/>
                <w:sz w:val="29"/>
                <w:szCs w:val="29"/>
                <w:color w:val="auto"/>
                <w:vertAlign w:val="superscript"/>
              </w:rPr>
              <w:t>(8)</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w:t>
            </w:r>
          </w:p>
        </w:tc>
      </w:tr>
      <w:tr>
        <w:trPr>
          <w:trHeight w:val="257"/>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Ratio of loss on extinguishment of debt to average net assets </w:t>
            </w:r>
            <w:r>
              <w:rPr>
                <w:rFonts w:ascii="Times New Roman" w:cs="Times New Roman" w:eastAsia="Times New Roman" w:hAnsi="Times New Roman"/>
                <w:sz w:val="29"/>
                <w:szCs w:val="29"/>
                <w:color w:val="auto"/>
                <w:vertAlign w:val="superscript"/>
              </w:rPr>
              <w:t>(10)</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Ratio of other operating expenses, to average net assets </w:t>
            </w:r>
            <w:r>
              <w:rPr>
                <w:rFonts w:ascii="Times New Roman" w:cs="Times New Roman" w:eastAsia="Times New Roman" w:hAnsi="Times New Roman"/>
                <w:sz w:val="29"/>
                <w:szCs w:val="29"/>
                <w:color w:val="auto"/>
                <w:vertAlign w:val="superscript"/>
              </w:rPr>
              <w:t>(8)</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r>
      <w:tr>
        <w:trPr>
          <w:trHeight w:val="257"/>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Ratio of total expenses, net of fee waivers to average net assets </w:t>
            </w:r>
            <w:r>
              <w:rPr>
                <w:rFonts w:ascii="Times New Roman" w:cs="Times New Roman" w:eastAsia="Times New Roman" w:hAnsi="Times New Roman"/>
                <w:sz w:val="29"/>
                <w:szCs w:val="29"/>
                <w:color w:val="auto"/>
                <w:vertAlign w:val="superscript"/>
              </w:rPr>
              <w:t>(6)(9)</w:t>
            </w: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w:t>
            </w:r>
          </w:p>
        </w:tc>
      </w:tr>
      <w:tr>
        <w:trPr>
          <w:trHeight w:val="257"/>
        </w:trPr>
        <w:tc>
          <w:tcPr>
            <w:tcW w:w="6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Portfolio turnover rate </w:t>
            </w:r>
            <w:r>
              <w:rPr>
                <w:rFonts w:ascii="Times New Roman" w:cs="Times New Roman" w:eastAsia="Times New Roman" w:hAnsi="Times New Roman"/>
                <w:sz w:val="29"/>
                <w:szCs w:val="29"/>
                <w:color w:val="auto"/>
                <w:vertAlign w:val="superscript"/>
              </w:rPr>
              <w:t>(3)</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r>
      <w:tr>
        <w:trPr>
          <w:trHeight w:val="257"/>
        </w:trPr>
        <w:tc>
          <w:tcPr>
            <w:tcW w:w="6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Average debt outstanding </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348,986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368,534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per common share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23.29</w:t>
            </w:r>
          </w:p>
        </w:tc>
      </w:tr>
      <w:tr>
        <w:trPr>
          <w:trHeight w:val="39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Asset coverage ratio per unit </w:t>
            </w:r>
            <w:r>
              <w:rPr>
                <w:rFonts w:ascii="Times New Roman" w:cs="Times New Roman" w:eastAsia="Times New Roman" w:hAnsi="Times New Roman"/>
                <w:sz w:val="30"/>
                <w:szCs w:val="30"/>
                <w:color w:val="auto"/>
                <w:vertAlign w:val="superscript"/>
              </w:rPr>
              <w:t>(5)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2,412</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0" w:gutter="0" w:footer="0" w:header="0"/>
        </w:sectPr>
      </w:pPr>
    </w:p>
    <w:bookmarkStart w:id="41" w:name="page42"/>
    <w:bookmarkEnd w:id="41"/>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daily weighted average balance of shares outstanding during the period.</w:t>
      </w:r>
    </w:p>
    <w:p>
      <w:pPr>
        <w:spacing w:after="0" w:line="27"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Times New Roman" w:cs="Times New Roman" w:eastAsia="Times New Roman" w:hAnsi="Times New Roman"/>
          <w:sz w:val="18"/>
          <w:szCs w:val="18"/>
          <w:color w:val="auto"/>
        </w:rPr>
      </w:pPr>
    </w:p>
    <w:p>
      <w:pPr>
        <w:ind w:left="500" w:right="100" w:hanging="492"/>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daily weighted average balance of debt outstanding during the period.</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June 30, 2017 and June 30, 2016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waived incentive fees to average net assets was 0.39% and 0.53% for the six months ended June 30, 2017 and June 30, 2016.</w:t>
      </w:r>
    </w:p>
    <w:p>
      <w:pPr>
        <w:spacing w:after="0" w:line="9" w:lineRule="exact"/>
        <w:rPr>
          <w:rFonts w:ascii="Times New Roman" w:cs="Times New Roman" w:eastAsia="Times New Roman" w:hAnsi="Times New Roman"/>
          <w:sz w:val="18"/>
          <w:szCs w:val="18"/>
          <w:color w:val="auto"/>
        </w:rPr>
      </w:pPr>
    </w:p>
    <w:p>
      <w:pPr>
        <w:ind w:left="500" w:right="380" w:hanging="492"/>
        <w:spacing w:after="0" w:line="265"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 Incentive fees, net of incentive fee waiver, and loss on extinguishment of debt included within the ratio are not annualized.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not annualized.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June 30,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3, 2017, the Company’s Board declared normal monthly distributions for July, August, and September of 2017 as set forth below:</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00" w:type="dxa"/>
            <w:vAlign w:val="bottom"/>
          </w:tcPr>
          <w:p>
            <w:pPr>
              <w:spacing w:after="0"/>
              <w:rPr>
                <w:sz w:val="20"/>
                <w:szCs w:val="20"/>
                <w:color w:val="auto"/>
              </w:rPr>
            </w:pPr>
          </w:p>
        </w:tc>
        <w:tc>
          <w:tcPr>
            <w:tcW w:w="23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0" w:type="dxa"/>
            <w:vAlign w:val="bottom"/>
          </w:tcPr>
          <w:p>
            <w:pPr>
              <w:spacing w:after="0"/>
              <w:rPr>
                <w:sz w:val="20"/>
                <w:szCs w:val="20"/>
                <w:color w:val="auto"/>
              </w:rPr>
            </w:pPr>
          </w:p>
        </w:tc>
        <w:tc>
          <w:tcPr>
            <w:tcW w:w="23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Distributions per Share</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2017</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21, 2017</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28, 2017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July 3, 2017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23, 2017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30, 2017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2017</w:t>
            </w: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20, 2017</w:t>
            </w:r>
          </w:p>
        </w:tc>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28, 2017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July 24, 2017, the Company sold $5.6 million of its investment in CSM Bakery Solutions, LLC at a price of 87.5% of par value, receiving cash proceeds of approximately $4.9 million.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July 31, 2017, the Company restructured its investment in Sierra Hamilton, LLC, exchanging its $15.0 million first lien debt investment yielding 12.25% for 13.7% equity ownership in Sierra Hamilton, Inc. and $0.9 million in cash proceeds related to past due interest. On July 31, 2017, the Company also received $1.2 million in cash repayment on its first lien debt investment in Sierra Hamilton, LLC, yielding LIBOR + 8.00%.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31, 2017, the Company received $1.3 million for its equity investment in Source Capital Penray, LLC.</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On August 4, 2017, the Company received $6.0 million for its subordinated debt investment in B&amp;W Quality Growers, LLC. In addition, the Company received $1.5 million in proceeds for a partial redemption of its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7, 2017, the Company repaid $20.0 million on its Credit Facility.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4"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76" w:lineRule="exact"/>
        <w:rPr>
          <w:sz w:val="20"/>
          <w:szCs w:val="20"/>
          <w:color w:val="auto"/>
        </w:rPr>
      </w:pPr>
    </w:p>
    <w:p>
      <w:pPr>
        <w:ind w:left="1620" w:hanging="315"/>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1660" w:right="340" w:hanging="342"/>
        <w:spacing w:after="0" w:line="282" w:lineRule="auto"/>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61"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if we use leverage as part of our investment strategy; and</w:t>
      </w:r>
    </w:p>
    <w:p>
      <w:pPr>
        <w:spacing w:after="0" w:line="225"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“Risk Factors” and elsewhere in our Annual Report on Form 10-K.</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2016.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 million in trailing twelve month earnings before interest, tax, depreciation, and amortization (“EBITDA”).</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invest in first lien, second lien, and subordinated loans. Most of our debt investments are coupled with equity interests, whether in the form of detachable “penny” warrants or equity co-investments made pari-passu with our borrowers’ financial sponsors.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regulated as BDCs under the 1940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7"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is considered an investment company as defined in Accounting Standards Codification (“ASC”) Topic 946 </w:t>
      </w:r>
      <w:r>
        <w:rPr>
          <w:rFonts w:ascii="Times New Roman" w:cs="Times New Roman" w:eastAsia="Times New Roman" w:hAnsi="Times New Roman"/>
          <w:sz w:val="18"/>
          <w:szCs w:val="18"/>
          <w:i w:val="1"/>
          <w:iCs w:val="1"/>
          <w:color w:val="auto"/>
        </w:rPr>
        <w:t>– Financial Services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Companies </w:t>
      </w:r>
      <w:r>
        <w:rPr>
          <w:rFonts w:ascii="Times New Roman" w:cs="Times New Roman" w:eastAsia="Times New Roman" w:hAnsi="Times New Roman"/>
          <w:sz w:val="18"/>
          <w:szCs w:val="18"/>
          <w:color w:val="auto"/>
        </w:rPr>
        <w:t>(“ASC 946”).</w:t>
      </w:r>
    </w:p>
    <w:p>
      <w:pPr>
        <w:spacing w:after="0" w:line="16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as described in the Formation Transactions above.</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June 30, 2017 are presented on a consolidated basis. The effects of all intercompany transactions between the Company and its subsidiaries (Fund II, Fund III, and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44" w:name="page45"/>
    <w:bookmarkEnd w:id="44"/>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period ended December 31, 2016, filed with the SEC on March 7,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description of the Company’s investment in CSLLF.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organization;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calculating our net asset value, including the cost of any third-party valuation services;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our shares and other securities;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to finance our investments;</w:t>
      </w:r>
    </w:p>
    <w:p>
      <w:pPr>
        <w:spacing w:after="0" w:line="225" w:lineRule="exact"/>
        <w:rPr>
          <w:rFonts w:ascii="Times New Roman" w:cs="Times New Roman" w:eastAsia="Times New Roman" w:hAnsi="Times New Roman"/>
          <w:sz w:val="18"/>
          <w:szCs w:val="18"/>
          <w:color w:val="auto"/>
        </w:rPr>
      </w:pPr>
    </w:p>
    <w:p>
      <w:pPr>
        <w:ind w:left="340" w:right="140" w:hanging="332"/>
        <w:spacing w:after="0" w:line="313"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38"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marketing efforts;</w:t>
      </w:r>
    </w:p>
    <w:p>
      <w:pPr>
        <w:spacing w:after="0" w:line="225"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other communications with stockholders;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bond, directors’ and officers’ liability insurance, errors and omissions liability insurance and other insurance premiums;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telephone and staff;</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independent audits and outside legal costs; 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5" w:name="page46"/>
    <w:bookmarkEnd w:id="45"/>
    <w:p>
      <w:pPr>
        <w:ind w:left="340" w:right="2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(“ASC 820”). ASC 820 defines fair value, establishes a framework used to measure fair value and requires disclosures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8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76" w:lineRule="exact"/>
        <w:rPr>
          <w:sz w:val="20"/>
          <w:szCs w:val="20"/>
          <w:color w:val="auto"/>
        </w:rPr>
      </w:pPr>
    </w:p>
    <w:p>
      <w:pPr>
        <w:jc w:val="both"/>
        <w:ind w:right="5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unadjusted quoted prices in active markets for identical assets or liabilities that the Company has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71" w:lineRule="exact"/>
        <w:rPr>
          <w:sz w:val="20"/>
          <w:szCs w:val="20"/>
          <w:color w:val="auto"/>
        </w:rPr>
      </w:pPr>
    </w:p>
    <w:p>
      <w:pPr>
        <w:jc w:val="both"/>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quoted prices in markets that are not active or for which all significant inputs are observable,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practical expedient, the Company used net asset value (“NAV”) as the basis for the fair value of its investment in CSLLF for the periods held.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CSLLF recorded its underlying investments at fair value on a daily basis utilizing pricing information from third-party 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Value Waterfall Approach</w:t>
      </w:r>
    </w:p>
    <w:p>
      <w:pPr>
        <w:spacing w:after="0" w:line="22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7"/>
          <w:szCs w:val="17"/>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Approach</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Approach</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asset approach values an investment based on value or the underlying collateral securing the investment. This approach is used when the Company has reason to believe that it will not collect all principal and interest in accordance with the contractual terms of the debt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revenue recognition policies are as follows:</w:t>
      </w:r>
    </w:p>
    <w:p>
      <w:pPr>
        <w:spacing w:after="0" w:line="22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and paid-in-kind interest income: </w:t>
      </w:r>
      <w:r>
        <w:rPr>
          <w:rFonts w:ascii="Times New Roman" w:cs="Times New Roman" w:eastAsia="Times New Roman" w:hAnsi="Times New Roman"/>
          <w:sz w:val="18"/>
          <w:szCs w:val="18"/>
          <w:color w:val="auto"/>
        </w:rPr>
        <w:t>Interest income is recorded on the accrual basis to the extent that such amounts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Non-accrual investments: </w:t>
      </w:r>
      <w:r>
        <w:rPr>
          <w:rFonts w:ascii="Times New Roman" w:cs="Times New Roman" w:eastAsia="Times New Roman" w:hAnsi="Times New Roman"/>
          <w:sz w:val="18"/>
          <w:szCs w:val="18"/>
          <w:color w:val="auto"/>
        </w:rPr>
        <w:t>Generally, when interest and/or principal payments on a loan become 90 days or more past due, or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Gains and losses on investment sales and paydowns: </w:t>
      </w:r>
      <w:r>
        <w:rPr>
          <w:rFonts w:ascii="Times New Roman" w:cs="Times New Roman" w:eastAsia="Times New Roman" w:hAnsi="Times New Roman"/>
          <w:sz w:val="18"/>
          <w:szCs w:val="18"/>
          <w:color w:val="auto"/>
        </w:rPr>
        <w:t>Realized gains and losses on investments are recognized using the specific identification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20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income and paid-in-kind dividends: </w:t>
      </w:r>
      <w:r>
        <w:rPr>
          <w:rFonts w:ascii="Times New Roman" w:cs="Times New Roman" w:eastAsia="Times New Roman" w:hAnsi="Times New Roman"/>
          <w:sz w:val="18"/>
          <w:szCs w:val="18"/>
          <w:color w:val="auto"/>
        </w:rPr>
        <w:t>Dividend income is recognized on the date dividends are declared. The Company holds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7" w:name="page48"/>
    <w:bookmarkEnd w:id="47"/>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discount/premiums: </w:t>
      </w:r>
      <w:r>
        <w:rPr>
          <w:rFonts w:ascii="Times New Roman" w:cs="Times New Roman" w:eastAsia="Times New Roman" w:hAnsi="Times New Roman"/>
          <w:sz w:val="18"/>
          <w:szCs w:val="18"/>
          <w:color w:val="auto"/>
        </w:rPr>
        <w:t>Discounts/premiums received to par on loans purchased are capitalized and accreted or amortized into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life of the loan. Any remaining discount/premium is accreted or amortized into income upon prepayment of the loan.</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Origination fees (to the extent services are performed to earn such income), amendment fees, consent fees, and other fees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8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June 30, 2017 and December 31, 2016, there were no uncertain tax positions.</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concluded that it was not necessary to record a liability for any such tax positions as of June 30, 2017 and December 31, 2016.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76"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Company’s activities from commencement of operations remain subject to examination by U.S. federal, state, and local tax authorities. No interest expense or penalties have been assessed as of June 30, 2017 and December 31, 2016. If the Company were required to recognize interest and penalties, if any, related to unrecognized tax benefits this would be recognized as income tax expense in the consolidated statements of operations.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2017, our portfolio consisted of investments in 46 portfolio companies with a fair value of approximately $487.0 million.</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we made approximately $6.5 million of investments and had approximately $49.3 million in repayments and sales of investments resulting in net repayments and sales of approximately $42.8 million for the period. During the three months ended June 30, 2016, we made approximately $0.4 million of investments and had approximately $6.5 million in repayments and sales resulting in net investments of approximately $6.1 million for the period.</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2017, we made approximately $28.2 million of investments and had approximately $82.3 million in repayments and sales of investments resulting in net repayments and sales of approximately $54.1 million for the period. During the six months ended June 30, 2016, we made approximately $27.9 million of investments and had approximately $16.7 million in repayments and sales resulting in net repayments and sales of approximately $11.2 million for the period.</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Our Board pre-approved this transaction pursuant to Section 57(f) of the 1940 Act.</w:t>
      </w:r>
    </w:p>
    <w:p>
      <w:pPr>
        <w:spacing w:after="0" w:line="18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76"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$5.1 million as of June 30, 2017.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June 30, 2017 was determined to be insignificant. The Written Call Option is classified as a Level 3 financial instrument.</w:t>
      </w:r>
    </w:p>
    <w:p>
      <w:pPr>
        <w:spacing w:after="0" w:line="17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As of June 30, 2017, our average portfolio company investment and our largest portfolio company investment at amortized cost and fair value was approximately $10.3 million and $10.6 million, and $22.1 million and $37.6 million, respectively. As of June 30, 2017, the Company had approximately $76.9 million of cash and cash equivalents. As of December 31, 2016, our average portfolio company investment and our largest portfolio company investment at amortized cost and fair value was approximately $9.7 million and $10.2 million, and $22.1 million and $29.9 million, respectively. As of December 31, 2016, the Company had approximately $36.3 million of cash and cash equivalents.</w:t>
      </w:r>
    </w:p>
    <w:p>
      <w:pPr>
        <w:spacing w:after="0" w:line="1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June 30, 2017, our debt investment portfolio, which represented 78.3% of our total portfolio, had a weighted average annualized yield of approximately 13.2%, exclusive of the impact of our non-accrual debt investments. As of June 30, 2017, 59.5% of our debt investment portfolio was bearing a fixed rate of interest. As of December 31, 2016, our debt investment portfolio, which represented 82.8% of our total portfolio, had a weighted average annualized yield of approximately 13.2%, exclusive of the impact of our non-accrual debt investments. As of December 31, 2016, 57.1% of our debt investment portfolio was bearing a fixed rate of interest.</w:t>
      </w:r>
    </w:p>
    <w:p>
      <w:pPr>
        <w:spacing w:after="0" w:line="18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the fair value of investments and cash and cash equivalents as of June 30, 2017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w:t>
            </w:r>
          </w:p>
        </w:tc>
        <w:tc>
          <w:tcPr>
            <w:tcW w:w="16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221,774</w:t>
            </w: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43,935</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40,786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118,571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52,725</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105,844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76,867</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76,867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550,638</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563,842</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the fair value of investments and cash and cash equivalents as of December 31, 2016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w:t>
            </w:r>
          </w:p>
        </w:tc>
        <w:tc>
          <w:tcPr>
            <w:tcW w:w="16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244,647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Second Lien Debt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74,559</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71,483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150,232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Equity and Warrants</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45,721</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93,346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36,281</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36,281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550,057</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577,920</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187"/>
        </w:trPr>
        <w:tc>
          <w:tcPr>
            <w:tcW w:w="4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at</w:t>
            </w:r>
          </w:p>
        </w:tc>
        <w:tc>
          <w:tcPr>
            <w:tcW w:w="146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at</w:t>
            </w:r>
          </w:p>
        </w:tc>
        <w:tc>
          <w:tcPr>
            <w:tcW w:w="148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tcPr>
          <w:p>
            <w:pPr>
              <w:spacing w:after="0"/>
              <w:rPr>
                <w:sz w:val="16"/>
                <w:szCs w:val="16"/>
                <w:color w:val="auto"/>
              </w:rPr>
            </w:pPr>
          </w:p>
        </w:tc>
      </w:tr>
      <w:tr>
        <w:trPr>
          <w:trHeight w:val="238"/>
        </w:trPr>
        <w:tc>
          <w:tcPr>
            <w:tcW w:w="4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51,731</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30,239</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30,209</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29,374</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25,553</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24,555</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24,232</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Retail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21,314</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22,067</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Oil &amp; Gas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20,161</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15,083</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Footwear Retail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19,162</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19,236</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Building Products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18,373</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18,152</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Product Manufacturer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16,686</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16,599</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Consumer Electronics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16,091</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20,818</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15,380</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16,376</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Industrial Equipment Rental</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15,032</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10,755</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Farming</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13,039</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11,779</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Textile Equipment Manufacturer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12,905</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13,134</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Bowling Products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12,490</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12,503</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Supply Retail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12,123</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12,183</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Automobile Part Manufacturer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11,411</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Transportation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10,881</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10,303</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Bakery Supplies Distributor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10,776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Management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10,029</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10,851</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16,856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QSR Franchisor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8,497</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Personal Digital Imaging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8,582</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Conglomerate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8,374</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12,761</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Produce Distribution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6,182</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 Engineering and Consulting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Restaurant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Device Distributor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25,768</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&amp; Marketing Services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3,910</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Merchandise Retailer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4,169</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Replacement Window Manufacturer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2,571</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Repair Parts Manufacturer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1,408</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Automotive Chemicals &amp; Lubricants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2,230</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Household Product Manufacturer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 &amp; Digital Marketing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Display &amp; Security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In-Home Healthcare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Dental Practice Management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Specialty Defense Contractor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Clothing</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5,011</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Specialty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Home Décor Manufacturer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14,670</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1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Satellite Communications</w:t>
            </w:r>
          </w:p>
        </w:tc>
        <w:tc>
          <w:tcPr>
            <w:tcW w:w="1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50" w:name="page51"/>
    <w:bookmarkEnd w:id="50"/>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With the exception of the international investment holdings noted below, all investments made by the Company as of June 30, 2017 and December 31, 2016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June 30, 2017 and December 31, 2016 (dollars in thousands):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Pr>
          <w:p>
            <w:pPr>
              <w:spacing w:after="0"/>
              <w:rPr>
                <w:sz w:val="20"/>
                <w:szCs w:val="20"/>
                <w:color w:val="auto"/>
              </w:rPr>
            </w:pPr>
          </w:p>
        </w:tc>
        <w:tc>
          <w:tcPr>
            <w:tcW w:w="330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187"/>
        </w:trPr>
        <w:tc>
          <w:tcPr>
            <w:tcW w:w="3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at</w:t>
            </w:r>
          </w:p>
        </w:tc>
        <w:tc>
          <w:tcPr>
            <w:tcW w:w="15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 at</w:t>
            </w:r>
          </w:p>
        </w:tc>
        <w:tc>
          <w:tcPr>
            <w:tcW w:w="15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gridSpan w:val="2"/>
          </w:tcPr>
          <w:p>
            <w:pPr>
              <w:spacing w:after="0"/>
              <w:rPr>
                <w:sz w:val="16"/>
                <w:szCs w:val="16"/>
                <w:color w:val="auto"/>
              </w:rPr>
            </w:pPr>
          </w:p>
        </w:tc>
      </w:tr>
      <w:tr>
        <w:trPr>
          <w:trHeight w:val="238"/>
        </w:trPr>
        <w:tc>
          <w:tcPr>
            <w:tcW w:w="34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Portfolio</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5"/>
              </w:rPr>
              <w:t>238,418</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257,162</w:t>
            </w:r>
          </w:p>
        </w:tc>
        <w:tc>
          <w:tcPr>
            <w:tcW w:w="2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West</w:t>
            </w:r>
          </w:p>
        </w:tc>
        <w:tc>
          <w:tcPr>
            <w:tcW w:w="160" w:type="dxa"/>
            <w:vAlign w:val="bottom"/>
          </w:tcPr>
          <w:p>
            <w:pPr>
              <w:spacing w:after="0"/>
              <w:rPr>
                <w:sz w:val="18"/>
                <w:szCs w:val="18"/>
                <w:color w:val="auto"/>
              </w:rPr>
            </w:pPr>
          </w:p>
        </w:tc>
        <w:tc>
          <w:tcPr>
            <w:tcW w:w="16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96,333</w:t>
            </w: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85,642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Midwest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94,719</w:t>
            </w:r>
          </w:p>
        </w:tc>
        <w:tc>
          <w:tcPr>
            <w:tcW w:w="1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118,682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Northeast</w:t>
            </w:r>
          </w:p>
        </w:tc>
        <w:tc>
          <w:tcPr>
            <w:tcW w:w="160" w:type="dxa"/>
            <w:vAlign w:val="bottom"/>
          </w:tcPr>
          <w:p>
            <w:pPr>
              <w:spacing w:after="0"/>
              <w:rPr>
                <w:sz w:val="18"/>
                <w:szCs w:val="18"/>
                <w:color w:val="auto"/>
              </w:rPr>
            </w:pPr>
          </w:p>
        </w:tc>
        <w:tc>
          <w:tcPr>
            <w:tcW w:w="16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46,131</w:t>
            </w: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8"/>
                <w:szCs w:val="18"/>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2"/>
              </w:rPr>
              <w:t>11,374</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5"/>
              </w:rPr>
              <w:t>486,975</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2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internal investment rating system incorporates the following five categories:</w:t>
      </w:r>
    </w:p>
    <w:p>
      <w:pPr>
        <w:sectPr>
          <w:pgSz w:w="11900" w:h="16838" w:orient="portrait"/>
          <w:cols w:equalWidth="0" w:num="1">
            <w:col w:w="11420"/>
          </w:cols>
          <w:pgMar w:left="240" w:top="905" w:right="239" w:bottom="1039" w:gutter="0" w:footer="0" w:header="0"/>
        </w:sectPr>
      </w:pPr>
    </w:p>
    <w:p>
      <w:pPr>
        <w:spacing w:after="0" w:line="221"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8"/>
          <w:szCs w:val="18"/>
          <w:b w:val="1"/>
          <w:bCs w:val="1"/>
          <w:color w:val="auto"/>
        </w:rPr>
        <w:t>Investment</w:t>
      </w:r>
    </w:p>
    <w:p>
      <w:pPr>
        <w:spacing w:after="0" w:line="31"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8"/>
          <w:szCs w:val="18"/>
          <w:b w:val="1"/>
          <w:bCs w:val="1"/>
          <w:color w:val="auto"/>
        </w:rPr>
        <w:t>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7"/>
          <w:szCs w:val="17"/>
          <w:b w:val="1"/>
          <w:bCs w:val="1"/>
          <w:color w:val="auto"/>
        </w:rPr>
        <w:t>Definition</w:t>
      </w:r>
    </w:p>
    <w:p>
      <w:pPr>
        <w:spacing w:after="0" w:line="42" w:lineRule="exact"/>
        <w:rPr>
          <w:sz w:val="20"/>
          <w:szCs w:val="20"/>
          <w:color w:val="auto"/>
        </w:rPr>
      </w:pPr>
    </w:p>
    <w:p>
      <w:pPr>
        <w:sectPr>
          <w:pgSz w:w="11900" w:h="16838" w:orient="portrait"/>
          <w:cols w:equalWidth="0" w:num="2">
            <w:col w:w="5240" w:space="720"/>
            <w:col w:w="5460"/>
          </w:cols>
          <w:pgMar w:left="240" w:top="905" w:right="239" w:bottom="1039" w:gutter="0" w:footer="0" w:header="0"/>
          <w:type w:val="continuous"/>
        </w:sectPr>
      </w:pPr>
    </w:p>
    <w:p>
      <w:pPr>
        <w:ind w:left="1260" w:right="140" w:hanging="730"/>
        <w:spacing w:after="0" w:line="27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investment may be performing above our internal expectations. Full return of principal and interest is expected. Capital gain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ind w:left="1260" w:right="60" w:hanging="730"/>
        <w:spacing w:after="0" w:line="26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76" w:lineRule="exact"/>
        <w:rPr>
          <w:sz w:val="20"/>
          <w:szCs w:val="20"/>
          <w:color w:val="auto"/>
        </w:rPr>
      </w:pPr>
    </w:p>
    <w:p>
      <w:pPr>
        <w:ind w:left="1260" w:right="60" w:hanging="730"/>
        <w:spacing w:after="0" w:line="266"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76" w:lineRule="exact"/>
        <w:rPr>
          <w:sz w:val="20"/>
          <w:szCs w:val="20"/>
          <w:color w:val="auto"/>
        </w:rPr>
      </w:pPr>
    </w:p>
    <w:p>
      <w:pPr>
        <w:ind w:left="1260" w:right="780" w:hanging="730"/>
        <w:spacing w:after="0" w:line="282"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62" w:lineRule="exact"/>
        <w:rPr>
          <w:sz w:val="20"/>
          <w:szCs w:val="20"/>
          <w:color w:val="auto"/>
        </w:rPr>
      </w:pPr>
    </w:p>
    <w:p>
      <w:pPr>
        <w:ind w:left="1260" w:right="100" w:hanging="730"/>
        <w:spacing w:after="0" w:line="282"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r>
      <w:tr>
        <w:trPr>
          <w:trHeight w:val="187"/>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Investments</w:t>
            </w:r>
          </w:p>
        </w:tc>
        <w:tc>
          <w:tcPr>
            <w:tcW w:w="1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gridSpan w:val="2"/>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at</w:t>
            </w:r>
          </w:p>
        </w:tc>
        <w:tc>
          <w:tcPr>
            <w:tcW w:w="16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Performance Rating</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165,056</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215,058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85,517</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125,381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51,879</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17,374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486,975</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541,639</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39" w:gutter="0" w:footer="0" w:header="0"/>
          <w:type w:val="continuous"/>
        </w:sectPr>
      </w:pPr>
    </w:p>
    <w:bookmarkStart w:id="51" w:name="page52"/>
    <w:bookmarkEnd w:id="51"/>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June 30, 2017, we had debt investments in 6 portfolio companies on non-accrual status with an amortized cost of $85.3 million and a fair value of $50.7 million, which represented 18.0% and 10.4% of the investment portfolio, respectively. As of December 31, 2016, we had debt investments in three portfolio companies on non-accrual status with amortized cost of $29.5 million and a fair value of $17.4 million, which represented 5.7% and 3.2% of the investment portfolio,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Capitala Senior Liquid Loan Fund I, LLC</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24, 2015, the Company and Trinity Universal Insurance Company (“Trinity”), a subsidiary of Kemper Corporation,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 Because the TRS was wound down in a prior period, only comparative period disclosures are included herein. For the three and six months ended June 30, 2016, we received $0.5 million and $1.0 million, respectively, in dividend income from our equity interest in CSLLF.</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19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17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had posted $0.0 million in collateral to Bank of America in relation to the TRS which is recorded on CSLLF’s statements of assets and liabilities as cash held as collateral on total return swap. The cash collateral represented CSLLF’s maximum credit exposure as of December 31, 2016.</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TRS, CSLLF made customary representations and warranties and was required to comply with various covenants, reporting requirements and other customary requirements for similar transactions governed by an ISDA 2002 Master Agreement.</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CSLLF’s receivable due on the TRS represents realized amounts from payments on underlying loans in the total return swap portfolio. At December 31, 2016, the receivable due on TRS was $0.1 million, respectively, and is recorded on CSLLF’s statement of assets and liabilities below. CSLLF does not offset collateral posted in relation to the TRS with any unrealized appreciation or depreciation outstanding in the statement of assets and liabilities as of December 31, 2016.</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Transactions in TRS contracts during the three and six months ended June 30, 2016 resulted in $0.7 million and $1.4 million, respectively, in realized gains and $0.8 million and $1.6 million, respectively, in unrealized appreciation, which was recorded on CSLLF’s statements of operations below.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the volume of the CSLLF’s derivative transactions during the three and six months ended June 30, 2016 (dollars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6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6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6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notional par amount of contract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Below is certain summarized financial information for CSLLF as of December 31, 2016 and for the six months ended June 30, 2016 (dollars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Assets and Liabilities: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due on Total Return Swap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liabilities and net assets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Selected Statements of Operation (unaudited):</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and legal expenses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operating loss</w:t>
            </w:r>
          </w:p>
        </w:tc>
        <w:tc>
          <w:tcPr>
            <w:tcW w:w="13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realized gain on Total Return Swap</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Total Return Swap</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results for the three and six months ended June 30, 2017 and 2016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net of incentive fee waivers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19,589</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(3,917)</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written call option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composition of our investment income for the three and six months ended June 30, 2017 and 2016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Fee income</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Payment-in-kind interest and dividend income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income reported as interest income and PIK interest and dividend income is generally based on the stated rates as disclosed in our consolidated schedule of investments. Accretion/(amortization) of discounts and premiums paid for purchased loans are included in interest income as an adjustment to yield. As a general rule, our interest income and PIK interest and dividend income are recurring in nature.</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generate fee income primarily through origination fees charged for new investments, and secondarily via amendment fees, consent fees, prepayment penalties, and other fees. While the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2017, total investment income decreased by $4.6 million, or 27.2%, compared to the three months ended June 30, 2016. The period over period decline was driven primarily by a $4.5 million decline in interest income due to less average investments outstanding and an increase in non-accrual investments. For the three months ended June 30, 2017, PIK income increased by $0.9 million compared to the three months ended June 30, 2016, primarily due to investment restructurings that provided for an increase in the PIK rate being charged. For the three months ended June 30, 2017, we generated no origination fees from new deployments and $0.3 million in non-origination fees. Comparatively, for the three months ended June 30, 2016, we generated no origination fees from new deployments and $0.9 million in non-origination fees. Dividend income decreased from $0.6 million for the three months ended June 30, 2016, to $0.1 million for the three months ended June 30, 2017. The decrease in dividend income was driven primarily by the wind-down of CSLLF, which did not pay a dividend for the three months ended June 30, 2017, but paid a dividend of $0.5 million for the three months ended June 30, 2016.</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2017, total investment income decreased by $7.3 million, or 21.1%, compared to the six months ended June 30, 2016. The period over period decline was driven primarily by a $6.6 million decline in interest income due to less average debt investments outstanding and an increase in non-accrual investments. For the six months ended June 30, 2017, PIK income increased by $1.3 million compared to the six months ended June 30, 2016, primarily due to investment restructurings that provided for an increase to the PIK rate being charged. For the six months ended June 30, 2017, we generated $0.4 million in origination fees from new deployments and $0.6 million in non-origination fees. Comparatively, for the six months ended June 30, 2016, we generated $0.7 million in origination fees from new deployments and $1.0 million in non-origination fees. Dividend income decreased from $1.9 million for the six months ended June 30, 2016, to $0.5 million for the six months ended June 30, 2017. The decrease in dividend income was driven primarily by the wind-down of CSLLF, which did not pay a dividend for the six months ended June 30, 2017, but paid a dividend of $1.0 million for the six months ended June 30,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composition of our expenses for the three and six months ended June 30, 2017 and June 30, 2016 was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0" w:type="dxa"/>
            <w:vAlign w:val="bottom"/>
            <w:gridSpan w:val="2"/>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5,430</w:t>
            </w:r>
          </w:p>
        </w:tc>
        <w:tc>
          <w:tcPr>
            <w:tcW w:w="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net of incentive fee waiver</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18"/>
                <w:szCs w:val="18"/>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shd w:val="clear" w:color="auto" w:fill="CCEEFF"/>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net of incentive fee waiver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4" w:name="page55"/>
    <w:bookmarkEnd w:id="54"/>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2017, operating expenses increased $2.1 million, or 22.0%, compared to the three months ended June 30, 2016. For the three months ended June 30, 2017, interest and financing expenses increased $0.5 million compared to the three months ended June 30, 2016, due primarily to larger average debt balance outstanding during the period. For the three months ended June 30, 2017, we recognized a $2.7 million loss on extinguishment of debt related to repayment of our 7.125% Notes due 2021 (“2021 Notes”). The increase in interest and financing expenses and loss on extinguishment of debt was offset by (i) a decline in management fees, from $2.7 million for the three months ended June 30, 2016 to $2.5 million for the three months ended June 30, 2017, due to lower average assets under management and (ii) a decline in net incentive fees, from $0.9 million for the three months ended June 30, 2016 to $0.0 million for the three months ended June 30, 2017, due to lower pre-incentive fee net investment income.</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2017, operating expenses increased $0.7 million, or 3.5%, compared to the six months ended June 30, 2016. For the six months ended June 30, 2017, we recognized a $2.7 million loss on extinguishment of debt related to repayment of the 2021 Notes. The increase in expenses related to the loss on extinguishment of debt was offset by (i) a decline in management fees, from $5.4 million for the six months ended June 30, 2016 to $5.0 million for the six months ended June 30, 2017, due to lower average assets under management and (ii) a decline in net incentive fees, from $2.0 million for the six months ended June 30, 2016 to $0.4 million for the six months ended June 30, 2017, due to lower pre-incentive fee net investment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(losses) on sales of investments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2017, we recognized $4.7 million and $9.5 million, respectively, of net realized gains on our portfolio investments. During the three and six months ended June 30, 2016, we recognized $(5.6) million and $(7.9) million, respectively, of net realized losses on our portfolio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appreciation (depreciation) on investments and on Written Call Option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change in unrealized appreciation (depreciation) on investments reflects the net change in the fair value of our investment portfolio. For the three months ended June 30, 2017 we had $(10.0) million of net unrealized depreciation on investments. For the six months ended June 30, 2017 we had $(14.7) million of net unrealized depreciation on investments. For the three months ended June 30, 2016 we had $5.4 million of net unrealized appreciation on investments. For the six months ended June 30, 2016 we had $(3.9) million of net unrealized depreciation on investments.</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2017, we had net unrealized depreciation on the Written Call Option of $(0.9) million and $(2.4) million, respectively. As previously noted, unrealized depreciation on the Written Call Option is based on the change in fair value of the underlying equity investment in Eastport Holdings, LLC, less the strike price of the Written Call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net assets resulting from operations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2017, we recorded a net decrease in net assets resulting from operations of $(5.5) million and $(0.6) million, respectively. Based on the weighted average shares of common stock outstanding for the three and six months ended June 30, 2017, our per share net decrease in net assets resulting from operations was $(0.35) and $(0.04), respectively. For the three and six months ended June 30, 2016, we recorded a net increase in net assets resulting from operations of $7.3 million and $3.1 million, respectively. Based on the weighted average shares of common stock outstanding for the three and six months ended June 30, 2016, our per share net increase in net assets resulting from operations was $0.46 and $0.19,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Our Unconsolidated Subsidiaries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holds a control interest, as defined by the 1940 Act, in six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June 30, 2017 and December 31, 2016, and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 Direction, Inc.</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Print Direction, Inc., incorporated in Georgia on May 11, 2006, is a professional printing services firm serving customers, particularly fast food, retail, and other similar chains, throughout the U.S. Print Direction, Inc. also provides warehousing and distribution services for these customers. The (loss) the Company generated from Print Direction, Inc., which includes all interest, dividends, PIK interest and dividends, fees, and unrealized appreciation (depreciation), was $(7.6) million and $0.0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Navis Holdings, Inc.</w:t>
      </w:r>
    </w:p>
    <w:p>
      <w:pPr>
        <w:spacing w:after="0" w:line="229"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$0.6 million and $2.0 million for the six months ended June 30, 2017 and June 30, 2016, respectively.</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On-Site Fuel Services, Inc.</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On-Site Fuel Service, Inc. is a 100% owned subsidiary of On-Site Fuel Holdings, Inc., which was incorporated in Delaware on December 19, 2011. On-Site Fuel Service, Inc. provides fueling services for commercial and government vehicle fleets throughout the southeast U.S. The income (loss) the Company generated from On-Site Fuel Service, Inc., which includes all interest, dividends, PIK interest and dividends, fees, and unrealized appreciation (depreciation), was $(0.6) million and $1.5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CableOrganizer Acquisition, LLC</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dividends, fees, and unrealized appreciation (depreciation), was $0.7 million and $1.0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Eastport Holdings, LLC</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$6.3 million and $6.9 million for the six months ended June 30, 2017 and June 30,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 Precision, LLC</w:t>
      </w:r>
    </w:p>
    <w:p>
      <w:pPr>
        <w:spacing w:after="0" w:line="22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Micro Precision, LLC, formed on August 5, 2011 as a Delaware limited liability company, is a prime contractor supplying critical parts and mechanical assemblies to the United States Department of Defense as well as designer and manufacturer of locomotive air horns. The income (loss) the Company generated from Micro Precision, LLC, which includes all interest, dividends, PIK interest and dividends, fees, and unrealized appreciation (depreciation), was $(0.4) million and $0.4 million for the six months ended June 30, 2017 and June 30, 2016,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Print Direction,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Print Direction,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5,134</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Navis Holdings,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Navis Holdings,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2,370</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On-Site Fuel Services,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45,245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187"/>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On-Site Fuel Services, Inc.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61,738</w:t>
            </w: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38,411</w:t>
            </w:r>
          </w:p>
        </w:tc>
      </w:tr>
      <w:tr>
        <w:trPr>
          <w:trHeight w:val="210"/>
        </w:trPr>
        <w:tc>
          <w:tcPr>
            <w:tcW w:w="7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0040"/>
          </w:cols>
          <w:pgMar w:left="900" w:top="914" w:right="959" w:bottom="161"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37159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7159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 – CableOrganizer Acquisition,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12,129</w:t>
            </w:r>
          </w:p>
        </w:tc>
      </w:tr>
      <w:tr>
        <w:trPr>
          <w:trHeight w:val="230"/>
        </w:trPr>
        <w:tc>
          <w:tcPr>
            <w:tcW w:w="2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34"/>
        </w:trPr>
        <w:tc>
          <w:tcPr>
            <w:tcW w:w="2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220" w:type="dxa"/>
            <w:vAlign w:val="bottom"/>
          </w:tcPr>
          <w:p>
            <w:pPr>
              <w:spacing w:after="0"/>
              <w:rPr>
                <w:sz w:val="16"/>
                <w:szCs w:val="16"/>
                <w:color w:val="auto"/>
              </w:rPr>
            </w:pPr>
          </w:p>
        </w:tc>
        <w:tc>
          <w:tcPr>
            <w:tcW w:w="128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gridSpan w:val="2"/>
          </w:tcPr>
          <w:p>
            <w:pPr>
              <w:spacing w:after="0"/>
              <w:rPr>
                <w:sz w:val="16"/>
                <w:szCs w:val="16"/>
                <w:color w:val="auto"/>
              </w:rPr>
            </w:pPr>
          </w:p>
        </w:tc>
      </w:tr>
      <w:tr>
        <w:trPr>
          <w:trHeight w:val="236"/>
        </w:trPr>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6420" w:space="720"/>
            <w:col w:w="2900"/>
          </w:cols>
          <w:pgMar w:left="900" w:top="914" w:right="959" w:bottom="161"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9,049</w:t>
            </w:r>
          </w:p>
        </w:tc>
        <w:tc>
          <w:tcPr>
            <w:tcW w:w="18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jc w:val="right"/>
              <w:ind w:right="27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5,589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9,774</w:t>
            </w: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8,225</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12,122</w:t>
            </w: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11430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900" w:top="914" w:right="959" w:bottom="161"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CableOrganizer Acquisition,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5,205</w:t>
            </w:r>
          </w:p>
        </w:tc>
        <w:tc>
          <w:tcPr>
            <w:tcW w:w="2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Eastport Holdings,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148,166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Eastport Holdings,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209,944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202,876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67,862</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 Micro Precision,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11430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900" w:top="914" w:right="959" w:bottom="1440" w:gutter="0" w:footer="0" w:header="0"/>
        </w:sectPr>
      </w:pPr>
    </w:p>
    <w:bookmarkStart w:id="58" w:name="page59"/>
    <w:bookmarkEnd w:id="58"/>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 Micro Precision, LLC</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We use and intend to use existing cash primarily to originate investments in new and existing portfolio companies, pay distributions to our shareholders, and repay indebtedness.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30, 2013, we issued 4,000,000 shares at $20.00 per share in our IPO, yielding net proceeds of $74.25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17, 2014, we entered into a senior secured revolving credit agreement (the “Credit Facility”) with ING Capital, LLC, as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arranger, and bookrunner, and the lenders party thereto. On June 16, 2017, we entered into an amendment to our Credit Facility with ING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Pursuant to the Amendment, the Credit Facility currently provides for borrowings up to $114.5 million and may be increased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million pursuant to its “accordion” feature. The Credit Facility matures on June 16, 2021. As of June 30, 2017, we had $30.0 million outstanding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$84.5 million available under the Credit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13, 2015, we completed an underwritten offering of 3,500,000 shares of our common stock at a public offering price of $18.32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proceeds received in the offering net of underwriting discounts and offering costs were approximately $61.7 million.</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May 16, 2017, we issued $70.0 million in aggregate principal amount of 6.0% fixed-rate notes due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May 26, 2017, we issued $50.0 million in aggregate principal amount of 5.75% fixed-rate convertible notes due on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June 30, 2017,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2017, we had $76.9 million in cash and cash equivalents, and our net assets totaled $238.0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59" w:name="page60"/>
    <w:bookmarkEnd w:id="59"/>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significant contractual payment obligations as of June 30, 2017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12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 – 3</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 – 5</w:t>
            </w: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Debentures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2022 Notes</w:t>
            </w:r>
          </w:p>
        </w:tc>
        <w:tc>
          <w:tcPr>
            <w:tcW w:w="106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10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52,087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52,087</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06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distributions declared from January 2, 2015 to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January 20, 2017</w:t>
            </w: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 2017</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February 20, 2017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27, 2017</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 2017</w:t>
            </w:r>
          </w:p>
        </w:tc>
        <w:tc>
          <w:tcPr>
            <w:tcW w:w="22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March 23, 2017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30, 2017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April 19, 2017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April 27, 2017</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22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May 23, 2017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29, 2017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 2017</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24, 2017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29, 2017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3500" w:type="dxa"/>
            <w:vAlign w:val="bottom"/>
            <w:tcBorders>
              <w:top w:val="single" w:sz="8" w:color="CCEEFF"/>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Distributions Declared and Distributed</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January 22, 2016</w:t>
            </w: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28, 2016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February 19, 2016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22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March 22, 2016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30, 2016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April 22, 2016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28, 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22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May 23, 2016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30, 2016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June 21, 2016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w:t>
            </w:r>
          </w:p>
        </w:tc>
        <w:tc>
          <w:tcPr>
            <w:tcW w:w="22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July 22, 2016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29, 2016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2016</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August 22, 2016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30, 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w:t>
            </w:r>
          </w:p>
        </w:tc>
        <w:tc>
          <w:tcPr>
            <w:tcW w:w="22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September 22, 2016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29, 2016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22, 2016</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October 21, 2016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0.1300</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22, 2016</w:t>
            </w:r>
          </w:p>
        </w:tc>
        <w:tc>
          <w:tcPr>
            <w:tcW w:w="22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November 21, 2016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29, 2016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0.1300</w:t>
            </w: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22, 2016</w:t>
            </w:r>
          </w:p>
        </w:tc>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21, 2016</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29, 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0.1300</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33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Total Distributions Declared and Distributed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January 22, 2015</w:t>
            </w: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29, 2015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 2015</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20, 2015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 2015</w:t>
            </w:r>
          </w:p>
        </w:tc>
        <w:tc>
          <w:tcPr>
            <w:tcW w:w="23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March 23, 2015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30,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5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6"/>
              </w:rPr>
              <w:t xml:space="preserve">March 23, 2015 </w:t>
            </w:r>
            <w:r>
              <w:rPr>
                <w:rFonts w:ascii="Times New Roman" w:cs="Times New Roman" w:eastAsia="Times New Roman" w:hAnsi="Times New Roman"/>
                <w:sz w:val="29"/>
                <w:szCs w:val="29"/>
                <w:color w:val="auto"/>
                <w:w w:val="96"/>
                <w:vertAlign w:val="superscript"/>
              </w:rPr>
              <w:t>(1)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30, 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shd w:val="clear" w:color="auto" w:fill="CCEEFF"/>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6"/>
              </w:rPr>
              <w:t xml:space="preserve">April 23, 2015 </w:t>
            </w:r>
            <w:r>
              <w:rPr>
                <w:rFonts w:ascii="Times New Roman" w:cs="Times New Roman" w:eastAsia="Times New Roman" w:hAnsi="Times New Roman"/>
                <w:sz w:val="29"/>
                <w:szCs w:val="29"/>
                <w:color w:val="auto"/>
                <w:w w:val="96"/>
                <w:vertAlign w:val="superscript"/>
              </w:rPr>
              <w:t>(1)</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29, 2015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7"/>
              </w:rPr>
              <w:t xml:space="preserve">May 21, 2015 </w:t>
            </w:r>
            <w:r>
              <w:rPr>
                <w:rFonts w:ascii="Times New Roman" w:cs="Times New Roman" w:eastAsia="Times New Roman" w:hAnsi="Times New Roman"/>
                <w:sz w:val="29"/>
                <w:szCs w:val="29"/>
                <w:color w:val="auto"/>
                <w:w w:val="97"/>
                <w:vertAlign w:val="superscript"/>
              </w:rPr>
              <w:t>(1)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shd w:val="clear" w:color="auto" w:fill="CCEEFF"/>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7"/>
              </w:rPr>
              <w:t xml:space="preserve">June 22, 2015 </w:t>
            </w:r>
            <w:r>
              <w:rPr>
                <w:rFonts w:ascii="Times New Roman" w:cs="Times New Roman" w:eastAsia="Times New Roman" w:hAnsi="Times New Roman"/>
                <w:sz w:val="29"/>
                <w:szCs w:val="29"/>
                <w:color w:val="auto"/>
                <w:w w:val="97"/>
                <w:vertAlign w:val="superscript"/>
              </w:rPr>
              <w:t>(1)</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29, 2015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23, 2015 </w:t>
            </w:r>
            <w:r>
              <w:rPr>
                <w:rFonts w:ascii="Times New Roman" w:cs="Times New Roman" w:eastAsia="Times New Roman" w:hAnsi="Times New Roman"/>
                <w:sz w:val="29"/>
                <w:szCs w:val="29"/>
                <w:color w:val="auto"/>
                <w:w w:val="96"/>
                <w:vertAlign w:val="superscript"/>
              </w:rPr>
              <w:t>(1)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30, 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shd w:val="clear" w:color="auto" w:fill="CCEEFF"/>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5"/>
              </w:rPr>
              <w:t xml:space="preserve">August 21, 2015 </w:t>
            </w:r>
            <w:r>
              <w:rPr>
                <w:rFonts w:ascii="Times New Roman" w:cs="Times New Roman" w:eastAsia="Times New Roman" w:hAnsi="Times New Roman"/>
                <w:sz w:val="29"/>
                <w:szCs w:val="29"/>
                <w:color w:val="auto"/>
                <w:w w:val="95"/>
                <w:vertAlign w:val="superscript"/>
              </w:rPr>
              <w:t>(1)</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28, 2015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7"/>
              </w:rPr>
              <w:t xml:space="preserve">September 23, 2015 </w:t>
            </w:r>
            <w:r>
              <w:rPr>
                <w:rFonts w:ascii="Times New Roman" w:cs="Times New Roman" w:eastAsia="Times New Roman" w:hAnsi="Times New Roman"/>
                <w:sz w:val="29"/>
                <w:szCs w:val="29"/>
                <w:color w:val="auto"/>
                <w:w w:val="97"/>
                <w:vertAlign w:val="superscript"/>
              </w:rPr>
              <w:t>(1)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shd w:val="clear" w:color="auto" w:fill="CCEEFF"/>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7"/>
              </w:rPr>
              <w:t xml:space="preserve">October 23, 2015 </w:t>
            </w:r>
            <w:r>
              <w:rPr>
                <w:rFonts w:ascii="Times New Roman" w:cs="Times New Roman" w:eastAsia="Times New Roman" w:hAnsi="Times New Roman"/>
                <w:sz w:val="29"/>
                <w:szCs w:val="29"/>
                <w:color w:val="auto"/>
                <w:w w:val="97"/>
                <w:vertAlign w:val="superscript"/>
              </w:rPr>
              <w:t>(1)</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29, 2015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6"/>
              </w:rPr>
              <w:t xml:space="preserve">November 20, 2015 </w:t>
            </w:r>
            <w:r>
              <w:rPr>
                <w:rFonts w:ascii="Times New Roman" w:cs="Times New Roman" w:eastAsia="Times New Roman" w:hAnsi="Times New Roman"/>
                <w:sz w:val="29"/>
                <w:szCs w:val="29"/>
                <w:color w:val="auto"/>
                <w:w w:val="96"/>
                <w:vertAlign w:val="superscript"/>
              </w:rPr>
              <w:t>(1)</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27, 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5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2015</w:t>
            </w:r>
          </w:p>
        </w:tc>
        <w:tc>
          <w:tcPr>
            <w:tcW w:w="2300" w:type="dxa"/>
            <w:vAlign w:val="bottom"/>
            <w:shd w:val="clear" w:color="auto" w:fill="CCEEFF"/>
          </w:tcPr>
          <w:p>
            <w:pPr>
              <w:jc w:val="center"/>
              <w:ind w:left="371"/>
              <w:spacing w:after="0" w:line="256" w:lineRule="exact"/>
              <w:rPr>
                <w:sz w:val="20"/>
                <w:szCs w:val="20"/>
                <w:color w:val="auto"/>
              </w:rPr>
            </w:pPr>
            <w:r>
              <w:rPr>
                <w:rFonts w:ascii="Times New Roman" w:cs="Times New Roman" w:eastAsia="Times New Roman" w:hAnsi="Times New Roman"/>
                <w:sz w:val="18"/>
                <w:szCs w:val="18"/>
                <w:color w:val="auto"/>
                <w:w w:val="97"/>
              </w:rPr>
              <w:t xml:space="preserve">December 22, 2015 </w:t>
            </w:r>
            <w:r>
              <w:rPr>
                <w:rFonts w:ascii="Times New Roman" w:cs="Times New Roman" w:eastAsia="Times New Roman" w:hAnsi="Times New Roman"/>
                <w:sz w:val="29"/>
                <w:szCs w:val="29"/>
                <w:color w:val="auto"/>
                <w:w w:val="97"/>
                <w:vertAlign w:val="superscript"/>
              </w:rPr>
              <w:t>(1)</w:t>
            </w: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30, 2015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0.0500</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23, 2015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23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May 21, 2015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28,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June 22, 2015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w:t>
            </w:r>
          </w:p>
        </w:tc>
        <w:tc>
          <w:tcPr>
            <w:tcW w:w="23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July 23, 2015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30,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2015</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rPr>
              <w:t>August 21, 2015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w:t>
            </w:r>
          </w:p>
        </w:tc>
        <w:tc>
          <w:tcPr>
            <w:tcW w:w="23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September 23, 2015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29,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2015</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October 23, 2015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29,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2015</w:t>
            </w:r>
          </w:p>
        </w:tc>
        <w:tc>
          <w:tcPr>
            <w:tcW w:w="23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November 20, 2015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27,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2015</w:t>
            </w:r>
          </w:p>
        </w:tc>
        <w:tc>
          <w:tcPr>
            <w:tcW w:w="23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December 22, 2015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30, 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0.1567</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32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Total Distributions Declared and Distributed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2015, the Company’s Board declared a special distribution of $0.50 per share of the Company’s common stock, which was paid monthly over the remainder of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the Investment Advisory Agreement with the Investment Advisor. Mr. Alala, our chief executive officer and chairman of our Board, is the managing partner and chief investment officer of the Investment Advisor, and Mr. Broyhill, a member of our Board, has an indirect controlling interest in the Investment Advisor.</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providing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580" w:gutter="0" w:footer="0" w:header="0"/>
        </w:sectPr>
      </w:pPr>
    </w:p>
    <w:bookmarkStart w:id="62" w:name="page63"/>
    <w:bookmarkEnd w:id="62"/>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Company had outstanding unfunded commitments related to debt investments in existing portfolio companies of $1.3 million (U.S. Well Services, LLC) and $1.2 million (On-Site Fuel Services, Inc.), respectively.</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3, 2017 our Board declared the following distributions:</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9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20" w:type="dxa"/>
            <w:vAlign w:val="bottom"/>
          </w:tcPr>
          <w:p>
            <w:pPr>
              <w:spacing w:after="0"/>
              <w:rPr>
                <w:sz w:val="20"/>
                <w:szCs w:val="20"/>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23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Distributions per Share</w:t>
            </w: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2017</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21, 2017</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28, 2017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July 3, 2017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23, 2017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30, 2017</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2017</w:t>
            </w:r>
          </w:p>
        </w:tc>
        <w:tc>
          <w:tcPr>
            <w:tcW w:w="2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20, 2017</w:t>
            </w:r>
          </w:p>
        </w:tc>
        <w:tc>
          <w:tcPr>
            <w:tcW w:w="2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28, 2017</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July 24, 2017, the Company sold $5.6 million of its investment in CSM Bakery Solutions, LLC at a price of 87.5% of par value, receiving cash proceeds of approximately $4.9 million.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July 31, 2017, the Company restructured its investment in Sierra Hamilton, LLC, exchanging its $15.0 million first lien debt investment yielding 12.25% for 13.7% equity ownership in Sierra Hamilton, Inc. and $0.9 million in cash proceeds related to past due interest. On July 31, 2017, the Company also received $1.2 million in cash repayment on its first lien debt investment in Sierra Hamilton, LLC yielding LIBOR + 8.00%.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31, 2017, the Company received $1.3 million for its equity investment in Source Capital Penray, LLC.</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On August 4, 2017, the Company received $6.0 million for its subordinated debt investment in B&amp;W Quality Growers, LLC. In addition, the Company received $1.5 million in proceeds for a partial redemption of its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7, 2017, the Company repaid $20.0 million on its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six months ended June 30, 2017, we did not engage in hedging activities.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2017, we held 18 securities bearing a variable rate of interest. Our variable rate investments represent approximately 40.5% of the fair value of total interest earning investments. As of June 30, 2017, 10.0% of variable rate securities were yielding interest at a rate equal to the established interest rate floor and 90.0% of variable rate securities were yielding interest at a rate above its existing floor or were not subject to an interest rate floor. As of June 30, 2017, we had $30.0 million outstanding on our Credit Facility, which has a variable rate of interest at one month LIBOR + 3.0%. As of June 30, 2017, all of our other interest paying liabilities, consisting of $170.7 million in SBA-guaranteed debentures, $75.0 million in 2022 Notes, and $52.1 million in 2022 Convertible Notes, were bearing interest at a fixed rate.</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Based on our June 30, 2017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(decrease)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 interest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(decrease)</w:t>
            </w:r>
          </w:p>
        </w:tc>
      </w:tr>
      <w:tr>
        <w:trPr>
          <w:trHeight w:val="238"/>
        </w:trPr>
        <w:tc>
          <w:tcPr>
            <w:tcW w:w="640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Basis Point Change</w:t>
            </w:r>
          </w:p>
        </w:tc>
        <w:tc>
          <w:tcPr>
            <w:tcW w:w="24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net income</w:t>
            </w: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2,967</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w:t>
            </w: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200 basis points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300 basis points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June 30, 2017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change in the Company’s internal control over financial reporting that occurred during the second quarter of 2017 that has materially affected, or is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None of us, our Investment Advisor or Administrator or any of the Legacy Funds, are currently subject to any material legal proceedings, nor, to our knowledge, is any material legal proceeding threatened against us, or against our Investment Advisor or Administrator or any of the Legacy Funds.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fiscal year ended December 31, 2016, which could materially affect our business, financial condition and/or operating results.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six months ended June 30, 2017, there have been no material changes from the risk factors set forth in our Annual Report on Form 10-K for the year ended December 31,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2017, we issued 19,003 shares of common stock under our DRIP. The issuances were not subject to the registration requirements under the Securities Act of 1933, as amended. The cash paid for shares of common stock issued under our DRIP during the quarter ended June 30, 2017 was approximately $0.2 million. Other than the shares issued under our DRIP during the quarter ended June 30, 2017, we did not sell any unregistered equity securities.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779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40" w:type="dxa"/>
            <w:vAlign w:val="bottom"/>
          </w:tcPr>
          <w:p>
            <w:pPr>
              <w:spacing w:after="0"/>
              <w:rPr>
                <w:sz w:val="18"/>
                <w:szCs w:val="18"/>
                <w:color w:val="auto"/>
              </w:rPr>
            </w:pPr>
          </w:p>
        </w:tc>
      </w:tr>
      <w:tr>
        <w:trPr>
          <w:trHeight w:val="23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8"/>
        </w:trPr>
        <w:tc>
          <w:tcPr>
            <w:tcW w:w="2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Articles of Amendment and Restatement </w:t>
            </w:r>
            <w:r>
              <w:rPr>
                <w:rFonts w:ascii="Times New Roman" w:cs="Times New Roman" w:eastAsia="Times New Roman" w:hAnsi="Times New Roman"/>
                <w:sz w:val="30"/>
                <w:szCs w:val="30"/>
                <w:color w:val="auto"/>
                <w:vertAlign w:val="superscript"/>
              </w:rPr>
              <w:t>(1)</w:t>
            </w:r>
          </w:p>
        </w:tc>
      </w:tr>
      <w:tr>
        <w:trPr>
          <w:trHeight w:val="45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Certificate of Limited Partnership of CapitalSouth Partners Fund II Limited Partnership </w:t>
            </w:r>
            <w:r>
              <w:rPr>
                <w:rFonts w:ascii="Times New Roman" w:cs="Times New Roman" w:eastAsia="Times New Roman" w:hAnsi="Times New Roman"/>
                <w:sz w:val="30"/>
                <w:szCs w:val="30"/>
                <w:color w:val="auto"/>
                <w:vertAlign w:val="superscript"/>
              </w:rPr>
              <w:t>(2)</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Certificate of Limited Partnership of CapitalSouth Partners SBIC Fund III, L.P. </w:t>
            </w:r>
            <w:r>
              <w:rPr>
                <w:rFonts w:ascii="Times New Roman" w:cs="Times New Roman" w:eastAsia="Times New Roman" w:hAnsi="Times New Roman"/>
                <w:sz w:val="30"/>
                <w:szCs w:val="30"/>
                <w:color w:val="auto"/>
                <w:vertAlign w:val="superscript"/>
              </w:rPr>
              <w:t>(2)</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Bylaws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Amended and Restated Limited Partnership Agreement of CapitalSouth Partners Fund II Limited Partnership </w:t>
            </w:r>
            <w:r>
              <w:rPr>
                <w:rFonts w:ascii="Times New Roman" w:cs="Times New Roman" w:eastAsia="Times New Roman" w:hAnsi="Times New Roman"/>
                <w:sz w:val="30"/>
                <w:szCs w:val="30"/>
                <w:color w:val="auto"/>
                <w:vertAlign w:val="superscript"/>
              </w:rPr>
              <w:t>(3)</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Amended and Restated Agreement of Limited Partnership of CapitalSouth Partners SBIC Fund III, L.P. </w:t>
            </w:r>
            <w:r>
              <w:rPr>
                <w:rFonts w:ascii="Times New Roman" w:cs="Times New Roman" w:eastAsia="Times New Roman" w:hAnsi="Times New Roman"/>
                <w:sz w:val="30"/>
                <w:szCs w:val="30"/>
                <w:color w:val="auto"/>
                <w:vertAlign w:val="superscript"/>
              </w:rPr>
              <w:t>(3)</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Common Stock Certificate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Base Indenture </w:t>
            </w:r>
            <w:r>
              <w:rPr>
                <w:rFonts w:ascii="Times New Roman" w:cs="Times New Roman" w:eastAsia="Times New Roman" w:hAnsi="Times New Roman"/>
                <w:sz w:val="30"/>
                <w:szCs w:val="30"/>
                <w:color w:val="auto"/>
                <w:vertAlign w:val="superscript"/>
              </w:rPr>
              <w:t>(4)</w:t>
            </w:r>
          </w:p>
        </w:tc>
      </w:tr>
      <w:tr>
        <w:trPr>
          <w:trHeight w:val="29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Second Supplemental Indenture relating to the 6.00% notes due 2022, by and between the Registrant and U.S. Bank National</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trustee, including the form of Global Note</w:t>
            </w:r>
            <w:r>
              <w:rPr>
                <w:rFonts w:ascii="Times New Roman" w:cs="Times New Roman" w:eastAsia="Times New Roman" w:hAnsi="Times New Roman"/>
                <w:sz w:val="30"/>
                <w:szCs w:val="30"/>
                <w:color w:val="auto"/>
                <w:vertAlign w:val="superscript"/>
              </w:rPr>
              <w:t>(8)</w:t>
            </w:r>
          </w:p>
        </w:tc>
      </w:tr>
      <w:tr>
        <w:trPr>
          <w:trHeight w:val="29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Third Supplemental Indenture relating to the 5.75% convertible notes due 2022, by and between the Registrant and U.S. Bank</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National Association, as trustee, including the form of Global Note</w:t>
            </w:r>
            <w:r>
              <w:rPr>
                <w:rFonts w:ascii="Times New Roman" w:cs="Times New Roman" w:eastAsia="Times New Roman" w:hAnsi="Times New Roman"/>
                <w:sz w:val="30"/>
                <w:szCs w:val="30"/>
                <w:color w:val="auto"/>
                <w:vertAlign w:val="superscript"/>
              </w:rPr>
              <w:t>(9)</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Dividend Reinvestment Plan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Investment Advisory Agreement by and between Registrant and Capitala Investment Advisors, LLC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Custodian Agreement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Administration Agreement by and between Registrant and Capitala Advisors Corp.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Indemnification Agreement by and between Registrant and each of its directors </w:t>
            </w:r>
            <w:r>
              <w:rPr>
                <w:rFonts w:ascii="Times New Roman" w:cs="Times New Roman" w:eastAsia="Times New Roman" w:hAnsi="Times New Roman"/>
                <w:sz w:val="30"/>
                <w:szCs w:val="30"/>
                <w:color w:val="auto"/>
                <w:vertAlign w:val="superscript"/>
              </w:rPr>
              <w:t>(1)</w:t>
            </w:r>
          </w:p>
        </w:tc>
      </w:tr>
      <w:tr>
        <w:trPr>
          <w:trHeight w:val="47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of Trademark License Agreement by and between Registrant and Capitala Investment Advisors, LLC </w:t>
            </w:r>
            <w:r>
              <w:rPr>
                <w:rFonts w:ascii="Times New Roman" w:cs="Times New Roman" w:eastAsia="Times New Roman" w:hAnsi="Times New Roman"/>
                <w:sz w:val="30"/>
                <w:szCs w:val="30"/>
                <w:color w:val="auto"/>
                <w:vertAlign w:val="superscript"/>
              </w:rPr>
              <w:t>(1)</w:t>
            </w:r>
          </w:p>
        </w:tc>
      </w:tr>
      <w:tr>
        <w:trPr>
          <w:trHeight w:val="29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Senior Secured Revolving Credit Agreement dated October 17, 2014, among Capitala Finance Corp., as Borrower, the lenders</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party thereto, and ING Capital LLC, as administrative agent, arranger and bookrunner </w:t>
            </w:r>
            <w:r>
              <w:rPr>
                <w:rFonts w:ascii="Times New Roman" w:cs="Times New Roman" w:eastAsia="Times New Roman" w:hAnsi="Times New Roman"/>
                <w:sz w:val="30"/>
                <w:szCs w:val="30"/>
                <w:color w:val="auto"/>
                <w:vertAlign w:val="superscript"/>
              </w:rPr>
              <w:t>(5)</w:t>
            </w:r>
          </w:p>
        </w:tc>
      </w:tr>
      <w:tr>
        <w:trPr>
          <w:trHeight w:val="2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Guarantee, Pledge and Security Agreement dated October 17, 2014, among Capitala Finance Corp., as Borrower, the subsidiary</w:t>
            </w: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guarantors party thereto, ING Capital LLC, as Revolving Administrative Agent for the Revolving Lenders and as Collateral Agent, and</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each Financing Agent and Designated Indebtedness Holder party thereto </w:t>
            </w:r>
            <w:r>
              <w:rPr>
                <w:rFonts w:ascii="Times New Roman" w:cs="Times New Roman" w:eastAsia="Times New Roman" w:hAnsi="Times New Roman"/>
                <w:sz w:val="30"/>
                <w:szCs w:val="30"/>
                <w:color w:val="auto"/>
                <w:vertAlign w:val="superscript"/>
              </w:rPr>
              <w:t>(5)</w:t>
            </w:r>
          </w:p>
        </w:tc>
      </w:tr>
      <w:tr>
        <w:trPr>
          <w:trHeight w:val="2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Incremental Assumption Agreement, dated January 6, 2015, relating to the Senior Secured Revolving Credit Agreement, dated as</w:t>
            </w: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of October 17, 2014, among Capitala Finance Corp., as borrower, the lenders from time to time party thereto, and ING Capital LLC, as</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administrative agent, arranger and bookrunner </w:t>
            </w:r>
            <w:r>
              <w:rPr>
                <w:rFonts w:ascii="Times New Roman" w:cs="Times New Roman" w:eastAsia="Times New Roman" w:hAnsi="Times New Roman"/>
                <w:sz w:val="30"/>
                <w:szCs w:val="30"/>
                <w:color w:val="auto"/>
                <w:vertAlign w:val="superscript"/>
              </w:rPr>
              <w:t>(6)</w:t>
            </w:r>
          </w:p>
        </w:tc>
      </w:tr>
      <w:tr>
        <w:trPr>
          <w:trHeight w:val="2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Incremental Assumption Agreement, dated August 19, 2015, relating to the Senior Secured Revolving Credit Agreement, dated as</w:t>
            </w: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of October 17, 2014, among Capitala Finance Corp., as borrower, the lenders from time party thereto, and ING Capital LLC, as</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administrative agent, arranger, and bookrunner </w:t>
            </w:r>
            <w:r>
              <w:rPr>
                <w:rFonts w:ascii="Times New Roman" w:cs="Times New Roman" w:eastAsia="Times New Roman" w:hAnsi="Times New Roman"/>
                <w:sz w:val="30"/>
                <w:szCs w:val="30"/>
                <w:color w:val="auto"/>
                <w:vertAlign w:val="superscript"/>
              </w:rPr>
              <w:t>(7)</w:t>
            </w:r>
          </w:p>
        </w:tc>
      </w:tr>
      <w:tr>
        <w:trPr>
          <w:trHeight w:val="29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Amendment No. 2 to Senior Secured Revolving Credit Agreement dated June 16, 2017, among Capitala Finance Corp., as</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Borrower, the lenders party thereto, and ING Capital LLC, as administrative agent, arranger and bookrunner </w:t>
            </w:r>
            <w:r>
              <w:rPr>
                <w:rFonts w:ascii="Times New Roman" w:cs="Times New Roman" w:eastAsia="Times New Roman" w:hAnsi="Times New Roman"/>
                <w:sz w:val="30"/>
                <w:szCs w:val="30"/>
                <w:color w:val="auto"/>
                <w:vertAlign w:val="superscript"/>
              </w:rPr>
              <w:t>(10)</w:t>
            </w:r>
          </w:p>
        </w:tc>
      </w:tr>
      <w:tr>
        <w:trPr>
          <w:trHeight w:val="2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Amendment No. 1 to Guarantee, Pledge and Security Agreement dated June 16, 2017, among Capitala Finance Corp., as</w:t>
            </w: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Borrower, the subsidiary guarantors party thereto, ING Capital LLC, as Revolving Administrative Agent for the Revolving Lenders and as</w:t>
            </w:r>
          </w:p>
        </w:tc>
      </w:tr>
      <w:tr>
        <w:trPr>
          <w:trHeight w:val="39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Collateral Agent, and each Financing Agent and Designated Indebtedness Holder party thereto </w:t>
            </w:r>
            <w:r>
              <w:rPr>
                <w:rFonts w:ascii="Times New Roman" w:cs="Times New Roman" w:eastAsia="Times New Roman" w:hAnsi="Times New Roman"/>
                <w:sz w:val="30"/>
                <w:szCs w:val="30"/>
                <w:color w:val="auto"/>
                <w:vertAlign w:val="superscript"/>
              </w:rPr>
              <w:t>(10)</w:t>
            </w:r>
          </w:p>
        </w:tc>
      </w:tr>
      <w:tr>
        <w:trPr>
          <w:trHeight w:val="552"/>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420"/>
          </w:cols>
          <w:pgMar w:left="240" w:top="900" w:right="239" w:bottom="576"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11.1</w:t>
            </w: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Computation of Per Share Earnings (included in the notes to the consolidated financial statements contained in this report)</w:t>
            </w:r>
          </w:p>
        </w:tc>
      </w:tr>
      <w:tr>
        <w:trPr>
          <w:trHeight w:val="41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31.1</w:t>
            </w: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Rule 13a-14 of the Securities Exchange Act of 1934, as adopted pursuant to Section</w:t>
            </w:r>
          </w:p>
        </w:tc>
      </w:tr>
      <w:tr>
        <w:trPr>
          <w:trHeight w:val="234"/>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302 of the Sarbanes-Oxley Act of 2002 (filed herewith)</w:t>
            </w:r>
          </w:p>
        </w:tc>
      </w:tr>
      <w:tr>
        <w:trPr>
          <w:trHeight w:val="41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31.2</w:t>
            </w: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 of the Securities Exchange Act of 1934, as adopted pursuant to Section</w:t>
            </w:r>
          </w:p>
        </w:tc>
      </w:tr>
      <w:tr>
        <w:trPr>
          <w:trHeight w:val="234"/>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302 of the Sarbanes-Oxley Act of 2002 (filed herewith)</w:t>
            </w:r>
          </w:p>
        </w:tc>
      </w:tr>
      <w:tr>
        <w:trPr>
          <w:trHeight w:val="41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32.1</w:t>
            </w: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Chief Executive Officer 18 U.S.C. Section 1350, as adopted pursuant to section 906 of the Sarbanes-Oxley Act of 2002</w:t>
            </w:r>
          </w:p>
        </w:tc>
      </w:tr>
      <w:tr>
        <w:trPr>
          <w:trHeight w:val="234"/>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32.2</w:t>
            </w: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Chief Financial Officer 18 U.S.C. Section 1350, as adopted pursuant to section 906 of the Sarbanes-Oxley Act of 2002</w:t>
            </w:r>
          </w:p>
        </w:tc>
      </w:tr>
      <w:tr>
        <w:trPr>
          <w:trHeight w:val="234"/>
        </w:trPr>
        <w:tc>
          <w:tcPr>
            <w:tcW w:w="860" w:type="dxa"/>
            <w:vAlign w:val="bottom"/>
          </w:tcPr>
          <w:p>
            <w:pPr>
              <w:spacing w:after="0"/>
              <w:rPr>
                <w:sz w:val="20"/>
                <w:szCs w:val="20"/>
                <w:color w:val="auto"/>
              </w:rPr>
            </w:pPr>
          </w:p>
        </w:tc>
        <w:tc>
          <w:tcPr>
            <w:tcW w:w="10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198" w:lineRule="exact"/>
        <w:rPr>
          <w:sz w:val="20"/>
          <w:szCs w:val="20"/>
          <w:color w:val="auto"/>
        </w:rPr>
      </w:pPr>
    </w:p>
    <w:p>
      <w:pPr>
        <w:ind w:left="1380" w:right="200" w:hanging="1372"/>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Pre-Effective Amendment No. 1 to Capitala Finance Corp.’s registration statement on Form N-2 (File No. 333-188956) filed on September 9, 2013.</w:t>
      </w:r>
    </w:p>
    <w:p>
      <w:pPr>
        <w:spacing w:after="0" w:line="161" w:lineRule="exact"/>
        <w:rPr>
          <w:rFonts w:ascii="Times New Roman" w:cs="Times New Roman" w:eastAsia="Times New Roman" w:hAnsi="Times New Roman"/>
          <w:sz w:val="18"/>
          <w:szCs w:val="18"/>
          <w:color w:val="auto"/>
        </w:rPr>
      </w:pPr>
    </w:p>
    <w:p>
      <w:pPr>
        <w:ind w:left="1380" w:right="80" w:hanging="1372"/>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Capitala Finance Corp.’s registration statement on Form N-2 (File No. 333-188956) filed on September 16, 2013.</w:t>
      </w:r>
    </w:p>
    <w:p>
      <w:pPr>
        <w:spacing w:after="0" w:line="161" w:lineRule="exact"/>
        <w:rPr>
          <w:rFonts w:ascii="Times New Roman" w:cs="Times New Roman" w:eastAsia="Times New Roman" w:hAnsi="Times New Roman"/>
          <w:sz w:val="18"/>
          <w:szCs w:val="18"/>
          <w:color w:val="auto"/>
        </w:rPr>
      </w:pPr>
    </w:p>
    <w:p>
      <w:pPr>
        <w:ind w:left="1380" w:right="80" w:hanging="1372"/>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5 to Capitala Finance Corp.’s registration statement on Form N-2 (File No. 333-188956) filed on September 24, 2013.</w:t>
      </w:r>
    </w:p>
    <w:p>
      <w:pPr>
        <w:spacing w:after="0" w:line="161" w:lineRule="exact"/>
        <w:rPr>
          <w:rFonts w:ascii="Times New Roman" w:cs="Times New Roman" w:eastAsia="Times New Roman" w:hAnsi="Times New Roman"/>
          <w:sz w:val="18"/>
          <w:szCs w:val="18"/>
          <w:color w:val="auto"/>
        </w:rPr>
      </w:pPr>
    </w:p>
    <w:p>
      <w:pPr>
        <w:ind w:left="1380" w:right="80" w:hanging="1372"/>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Capitala Finance Corp.’s registration statement on Form N-2 (File No. 333-193374) filed on May 21, 2014.</w:t>
      </w:r>
    </w:p>
    <w:p>
      <w:pPr>
        <w:spacing w:after="0" w:line="161" w:lineRule="exact"/>
        <w:rPr>
          <w:rFonts w:ascii="Times New Roman" w:cs="Times New Roman" w:eastAsia="Times New Roman" w:hAnsi="Times New Roman"/>
          <w:sz w:val="18"/>
          <w:szCs w:val="18"/>
          <w:color w:val="auto"/>
        </w:rPr>
      </w:pPr>
    </w:p>
    <w:p>
      <w:pPr>
        <w:ind w:left="1380" w:hanging="1372"/>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Capitala Finance Corp.’s report on Form 8-K filed on October 21, 2014.</w:t>
      </w:r>
    </w:p>
    <w:p>
      <w:pPr>
        <w:spacing w:after="0" w:line="225" w:lineRule="exact"/>
        <w:rPr>
          <w:rFonts w:ascii="Times New Roman" w:cs="Times New Roman" w:eastAsia="Times New Roman" w:hAnsi="Times New Roman"/>
          <w:sz w:val="18"/>
          <w:szCs w:val="18"/>
          <w:color w:val="auto"/>
        </w:rPr>
      </w:pPr>
    </w:p>
    <w:p>
      <w:pPr>
        <w:ind w:left="1380" w:hanging="1372"/>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Capitala Finance Corp.’s report on Form 8-K filed on January 8, 2015.</w:t>
      </w:r>
    </w:p>
    <w:p>
      <w:pPr>
        <w:spacing w:after="0" w:line="225" w:lineRule="exact"/>
        <w:rPr>
          <w:rFonts w:ascii="Times New Roman" w:cs="Times New Roman" w:eastAsia="Times New Roman" w:hAnsi="Times New Roman"/>
          <w:sz w:val="18"/>
          <w:szCs w:val="18"/>
          <w:color w:val="auto"/>
        </w:rPr>
      </w:pPr>
    </w:p>
    <w:p>
      <w:pPr>
        <w:ind w:left="1380" w:hanging="1372"/>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Capitala Finance Corp.’s report on Form 8-K filed on August 25, 2015.</w:t>
      </w:r>
    </w:p>
    <w:p>
      <w:pPr>
        <w:spacing w:after="0" w:line="225" w:lineRule="exact"/>
        <w:rPr>
          <w:rFonts w:ascii="Times New Roman" w:cs="Times New Roman" w:eastAsia="Times New Roman" w:hAnsi="Times New Roman"/>
          <w:sz w:val="18"/>
          <w:szCs w:val="18"/>
          <w:color w:val="auto"/>
        </w:rPr>
      </w:pPr>
    </w:p>
    <w:p>
      <w:pPr>
        <w:ind w:left="1380" w:hanging="1372"/>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Post-Effective Amendment No. 5 to Capitala Finance Corp.’s registration statement on Form N-2 (File No. 333-204582) filed on May 16, 2017.</w:t>
      </w:r>
    </w:p>
    <w:p>
      <w:pPr>
        <w:spacing w:after="0" w:line="161" w:lineRule="exact"/>
        <w:rPr>
          <w:rFonts w:ascii="Times New Roman" w:cs="Times New Roman" w:eastAsia="Times New Roman" w:hAnsi="Times New Roman"/>
          <w:sz w:val="18"/>
          <w:szCs w:val="18"/>
          <w:color w:val="auto"/>
        </w:rPr>
      </w:pPr>
    </w:p>
    <w:p>
      <w:pPr>
        <w:ind w:left="1380" w:hanging="1372"/>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Post-Effective Amendment No. 6 to Capitala Finance Corp.’s registration statement on Form N-2 (File No. 333-204582) filed on May 26, 2017.</w:t>
      </w:r>
    </w:p>
    <w:p>
      <w:pPr>
        <w:spacing w:after="0" w:line="161" w:lineRule="exact"/>
        <w:rPr>
          <w:rFonts w:ascii="Times New Roman" w:cs="Times New Roman" w:eastAsia="Times New Roman" w:hAnsi="Times New Roman"/>
          <w:sz w:val="18"/>
          <w:szCs w:val="18"/>
          <w:color w:val="auto"/>
        </w:rPr>
      </w:pPr>
    </w:p>
    <w:p>
      <w:pPr>
        <w:ind w:left="1380" w:hanging="1372"/>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Capitala Finance Corp.’s report on Form 8-K filed on June 21, 2017.</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2017</w:t>
            </w:r>
          </w:p>
        </w:tc>
        <w:tc>
          <w:tcPr>
            <w:tcW w:w="27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B. Alala III</w:t>
            </w:r>
          </w:p>
        </w:tc>
      </w:tr>
      <w:tr>
        <w:trPr>
          <w:trHeight w:val="191"/>
        </w:trPr>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B. Alala III</w:t>
            </w:r>
          </w:p>
        </w:tc>
      </w:tr>
      <w:tr>
        <w:trPr>
          <w:trHeight w:val="214"/>
        </w:trPr>
        <w:tc>
          <w:tcPr>
            <w:tcW w:w="3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8"/>
        </w:trPr>
        <w:tc>
          <w:tcPr>
            <w:tcW w:w="3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34"/>
        </w:trPr>
        <w:tc>
          <w:tcPr>
            <w:tcW w:w="3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2017</w:t>
            </w:r>
          </w:p>
        </w:tc>
        <w:tc>
          <w:tcPr>
            <w:tcW w:w="27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A. Arnall</w:t>
            </w:r>
          </w:p>
        </w:tc>
      </w:tr>
      <w:tr>
        <w:trPr>
          <w:trHeight w:val="191"/>
        </w:trPr>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A. Arnall</w:t>
            </w:r>
          </w:p>
        </w:tc>
      </w:tr>
      <w:tr>
        <w:trPr>
          <w:trHeight w:val="214"/>
        </w:trPr>
        <w:tc>
          <w:tcPr>
            <w:tcW w:w="3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8"/>
        </w:trPr>
        <w:tc>
          <w:tcPr>
            <w:tcW w:w="3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234"/>
        </w:trPr>
        <w:tc>
          <w:tcPr>
            <w:tcW w:w="3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Capitala Finance Corp.</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B. Alala III,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Capitala Finance Corp.;</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40" w:right="200" w:hanging="670"/>
        <w:spacing w:after="0" w:line="266" w:lineRule="auto"/>
        <w:tabs>
          <w:tab w:leader="none" w:pos="13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40" w:right="380" w:hanging="670"/>
        <w:spacing w:after="0" w:line="282" w:lineRule="auto"/>
        <w:tabs>
          <w:tab w:leader="none" w:pos="13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ind w:left="1340" w:right="60" w:hanging="670"/>
        <w:spacing w:after="0" w:line="266" w:lineRule="auto"/>
        <w:tabs>
          <w:tab w:leader="none" w:pos="13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right="600" w:hanging="670"/>
        <w:spacing w:after="0" w:line="282" w:lineRule="auto"/>
        <w:tabs>
          <w:tab w:leader="none" w:pos="13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right="300" w:hanging="670"/>
        <w:spacing w:after="0" w:line="282" w:lineRule="auto"/>
        <w:tabs>
          <w:tab w:leader="none" w:pos="13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B. Alala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Capitala Finance Corp.;</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40" w:right="200" w:hanging="670"/>
        <w:spacing w:after="0" w:line="266" w:lineRule="auto"/>
        <w:tabs>
          <w:tab w:leader="none" w:pos="13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40" w:right="380" w:hanging="670"/>
        <w:spacing w:after="0" w:line="282" w:lineRule="auto"/>
        <w:tabs>
          <w:tab w:leader="none" w:pos="13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1" w:lineRule="exact"/>
        <w:rPr>
          <w:rFonts w:ascii="Times New Roman" w:cs="Times New Roman" w:eastAsia="Times New Roman" w:hAnsi="Times New Roman"/>
          <w:sz w:val="18"/>
          <w:szCs w:val="18"/>
          <w:color w:val="auto"/>
        </w:rPr>
      </w:pPr>
    </w:p>
    <w:p>
      <w:pPr>
        <w:ind w:left="1340" w:right="60" w:hanging="670"/>
        <w:spacing w:after="0" w:line="266" w:lineRule="auto"/>
        <w:tabs>
          <w:tab w:leader="none" w:pos="13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right="600" w:hanging="670"/>
        <w:spacing w:after="0" w:line="282" w:lineRule="auto"/>
        <w:tabs>
          <w:tab w:leader="none" w:pos="13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right="300" w:hanging="670"/>
        <w:spacing w:after="0" w:line="282" w:lineRule="auto"/>
        <w:tabs>
          <w:tab w:leader="none" w:pos="13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Stephen A. Arnall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 Joseph B. Alala III, Chief Executive Officer, in connection with the Quarterly Report of Capitala Finance Corp. (the “Company”) on Form 10-Q for the quarterly period ended June 30, 2017, as filed with the U.S. Securities and Exchange Commission on the date hereof (the “Quarterly Report”), certify, pursuant to Section 906 of the Sarbanes-Oxley Act of 2002, that:</w:t>
      </w:r>
    </w:p>
    <w:p>
      <w:pPr>
        <w:spacing w:after="0" w:line="176" w:lineRule="exact"/>
        <w:rPr>
          <w:sz w:val="20"/>
          <w:szCs w:val="20"/>
          <w:color w:val="auto"/>
        </w:rPr>
      </w:pPr>
    </w:p>
    <w:p>
      <w:pPr>
        <w:ind w:left="1300" w:right="18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340" w:right="140" w:hanging="670"/>
        <w:spacing w:after="0" w:line="282" w:lineRule="auto"/>
        <w:tabs>
          <w:tab w:leader="none" w:pos="13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B. Alala III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 Stephen A. Arnall, Chief Financial Officer, in connection with the Quarterly Report of Capitala Finance Corp. (the “Company”) on Form 10-Q for the quarterly period ended June 30, 2017, as filed with the U.S. Securities and Exchange Commission on the date hereof (the “Quarterly Report”), certify, pursuant to Section 906 of the Sarbanes-Oxley Act of 2002, that:</w:t>
      </w:r>
    </w:p>
    <w:p>
      <w:pPr>
        <w:spacing w:after="0" w:line="176" w:lineRule="exact"/>
        <w:rPr>
          <w:sz w:val="20"/>
          <w:szCs w:val="20"/>
          <w:color w:val="auto"/>
        </w:rPr>
      </w:pPr>
    </w:p>
    <w:p>
      <w:pPr>
        <w:ind w:left="1300" w:right="18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340" w:right="140" w:hanging="670"/>
        <w:spacing w:after="0" w:line="282" w:lineRule="auto"/>
        <w:tabs>
          <w:tab w:leader="none" w:pos="1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Stephen A. Arnall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3"/>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lvl w:ilvl="1">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bullet"/>
      <w:start w:val="1"/>
    </w:lvl>
  </w:abstractNum>
  <w:abstractNum w:abstractNumId="13">
    <w:nsid w:val="257130A3"/>
    <w:multiLevelType w:val="hybridMultilevel"/>
    <w:lvl w:ilvl="0">
      <w:lvlJc w:val="left"/>
      <w:lvlText w:val="2"/>
      <w:numFmt w:val="bullet"/>
      <w:start w:val="1"/>
    </w:lvl>
  </w:abstractNum>
  <w:abstractNum w:abstractNumId="14">
    <w:nsid w:val="62BBD95A"/>
    <w:multiLevelType w:val="hybridMultilevel"/>
    <w:lvl w:ilvl="0">
      <w:lvlJc w:val="left"/>
      <w:lvlText w:val="3"/>
      <w:numFmt w:val="bullet"/>
      <w:start w:val="1"/>
    </w:lvl>
  </w:abstractNum>
  <w:abstractNum w:abstractNumId="15">
    <w:nsid w:val="436C6125"/>
    <w:multiLevelType w:val="hybridMultilevel"/>
    <w:lvl w:ilvl="0">
      <w:lvlJc w:val="left"/>
      <w:lvlText w:val="4"/>
      <w:numFmt w:val="bullet"/>
      <w:start w:val="1"/>
    </w:lvl>
  </w:abstractNum>
  <w:abstractNum w:abstractNumId="16">
    <w:nsid w:val="628C895D"/>
    <w:multiLevelType w:val="hybridMultilevel"/>
    <w:lvl w:ilvl="0">
      <w:lvlJc w:val="left"/>
      <w:lvlText w:val="5"/>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0">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8EDBDAB"/>
    <w:multiLevelType w:val="hybridMultilevel"/>
    <w:lvl w:ilvl="0">
      <w:lvlJc w:val="left"/>
      <w:lvlText w:val="%1."/>
      <w:numFmt w:val="decimal"/>
      <w:start w:val="1"/>
    </w:lvl>
    <w:lvl w:ilvl="1">
      <w:lvlJc w:val="left"/>
      <w:lvlText w:val="%2."/>
      <w:numFmt w:val="decimal"/>
      <w:start w:val="2"/>
    </w:lvl>
  </w:abstractNum>
  <w:abstractNum w:abstractNumId="24">
    <w:nsid w:val="79838CB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2019-12-29T05:12:43Z</dcterms:created>
  <dcterms:modified xsi:type="dcterms:W3CDTF">2019-12-29T05:12:43Z</dcterms:modified>
</cp:coreProperties>
</file>