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12" w:lineRule="exact"/>
        <w:rPr>
          <w:sz w:val="24"/>
          <w:szCs w:val="24"/>
          <w:color w:val="auto"/>
        </w:rPr>
      </w:pPr>
    </w:p>
    <w:p>
      <w:pPr>
        <w:ind w:left="3880" w:right="2700" w:hanging="2981"/>
        <w:spacing w:after="0" w:line="470" w:lineRule="auto"/>
        <w:tabs>
          <w:tab w:leader="none" w:pos="175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26" w:lineRule="exact"/>
        <w:rPr>
          <w:sz w:val="24"/>
          <w:szCs w:val="24"/>
          <w:color w:val="auto"/>
        </w:rPr>
      </w:pPr>
    </w:p>
    <w:p>
      <w:pPr>
        <w:ind w:left="1760" w:hanging="861"/>
        <w:spacing w:after="0"/>
        <w:tabs>
          <w:tab w:leader="none" w:pos="17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698" w:right="339" w:bottom="1440" w:gutter="0" w:footer="0" w:header="0"/>
        </w:sectPr>
      </w:pPr>
    </w:p>
    <w:p>
      <w:pPr>
        <w:spacing w:after="0" w:line="386"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Commission</w:t>
      </w:r>
    </w:p>
    <w:p>
      <w:pPr>
        <w:spacing w:after="0" w:line="10"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File Number</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ind w:right="900" w:firstLine="321"/>
        <w:spacing w:after="0" w:line="246" w:lineRule="auto"/>
        <w:rPr>
          <w:sz w:val="20"/>
          <w:szCs w:val="20"/>
          <w:color w:val="auto"/>
        </w:rPr>
      </w:pPr>
      <w:r>
        <w:rPr>
          <w:rFonts w:ascii="Times New Roman" w:cs="Times New Roman" w:eastAsia="Times New Roman" w:hAnsi="Times New Roman"/>
          <w:sz w:val="15"/>
          <w:szCs w:val="15"/>
          <w:b w:val="1"/>
          <w:bCs w:val="1"/>
          <w:color w:val="auto"/>
        </w:rPr>
        <w:t>Exact name of registrant as specified in its charter, address of principal executive office, telephone number, and state or other jurisdiction of incorporation or organization</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I.R.S. Employer</w:t>
      </w:r>
    </w:p>
    <w:p>
      <w:pPr>
        <w:spacing w:after="0" w:line="10"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Identification Number</w:t>
      </w:r>
    </w:p>
    <w:p>
      <w:pPr>
        <w:spacing w:after="0" w:line="14" w:lineRule="exact"/>
        <w:rPr>
          <w:sz w:val="24"/>
          <w:szCs w:val="24"/>
          <w:color w:val="auto"/>
        </w:rPr>
      </w:pPr>
    </w:p>
    <w:p>
      <w:pPr>
        <w:sectPr>
          <w:pgSz w:w="11900" w:h="16838" w:orient="portrait"/>
          <w:cols w:equalWidth="0" w:num="3">
            <w:col w:w="3120" w:space="720"/>
            <w:col w:w="4800" w:space="720"/>
            <w:col w:w="1880"/>
          </w:cols>
          <w:pgMar w:left="320" w:top="698" w:right="339" w:bottom="1440" w:gutter="0" w:footer="0" w:header="0"/>
          <w:type w:val="continuous"/>
        </w:sectPr>
      </w:pPr>
    </w:p>
    <w:tbl>
      <w:tblPr>
        <w:tblLayout w:type="fixed"/>
        <w:tblInd w:w="0" w:type="dxa"/>
        <w:tblCellMar>
          <w:top w:w="0" w:type="dxa"/>
          <w:left w:w="0" w:type="dxa"/>
          <w:bottom w:w="0" w:type="dxa"/>
          <w:right w:w="0" w:type="dxa"/>
        </w:tblCellMar>
      </w:tblPr>
      <w:tr>
        <w:trPr>
          <w:trHeight w:val="246"/>
        </w:trPr>
        <w:tc>
          <w:tcPr>
            <w:tcW w:w="2660" w:type="dxa"/>
            <w:vAlign w:val="bottom"/>
            <w:tcBorders>
              <w:top w:val="single" w:sz="8" w:color="auto"/>
            </w:tcBorders>
          </w:tcPr>
          <w:p>
            <w:pPr>
              <w:jc w:val="right"/>
              <w:ind w:right="924"/>
              <w:spacing w:after="0"/>
              <w:rPr>
                <w:sz w:val="20"/>
                <w:szCs w:val="20"/>
                <w:color w:val="auto"/>
              </w:rPr>
            </w:pPr>
            <w:r>
              <w:rPr>
                <w:rFonts w:ascii="Times New Roman" w:cs="Times New Roman" w:eastAsia="Times New Roman" w:hAnsi="Times New Roman"/>
                <w:sz w:val="15"/>
                <w:szCs w:val="15"/>
                <w:b w:val="1"/>
                <w:bCs w:val="1"/>
                <w:color w:val="auto"/>
              </w:rPr>
              <w:t>814-01022</w:t>
            </w:r>
          </w:p>
        </w:tc>
        <w:tc>
          <w:tcPr>
            <w:tcW w:w="10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4400" w:type="dxa"/>
            <w:vAlign w:val="bottom"/>
            <w:tcBorders>
              <w:top w:val="single" w:sz="8" w:color="auto"/>
            </w:tcBorders>
            <w:gridSpan w:val="5"/>
          </w:tcPr>
          <w:p>
            <w:pPr>
              <w:jc w:val="center"/>
              <w:spacing w:after="0" w:line="246" w:lineRule="exact"/>
              <w:rPr>
                <w:sz w:val="20"/>
                <w:szCs w:val="20"/>
                <w:color w:val="auto"/>
              </w:rPr>
            </w:pPr>
            <w:r>
              <w:rPr>
                <w:rFonts w:ascii="Times New Roman" w:cs="Times New Roman" w:eastAsia="Times New Roman" w:hAnsi="Times New Roman"/>
                <w:sz w:val="25"/>
                <w:szCs w:val="25"/>
                <w:b w:val="1"/>
                <w:bCs w:val="1"/>
                <w:color w:val="auto"/>
              </w:rPr>
              <w:t>Logan Ridge Finance Corporation</w:t>
            </w: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Borders>
              <w:top w:val="single" w:sz="8" w:color="auto"/>
            </w:tcBorders>
          </w:tcPr>
          <w:p>
            <w:pPr>
              <w:jc w:val="right"/>
              <w:ind w:right="704"/>
              <w:spacing w:after="0"/>
              <w:rPr>
                <w:sz w:val="20"/>
                <w:szCs w:val="20"/>
                <w:color w:val="auto"/>
              </w:rPr>
            </w:pPr>
            <w:r>
              <w:rPr>
                <w:rFonts w:ascii="Times New Roman" w:cs="Times New Roman" w:eastAsia="Times New Roman" w:hAnsi="Times New Roman"/>
                <w:sz w:val="15"/>
                <w:szCs w:val="15"/>
                <w:b w:val="1"/>
                <w:bCs w:val="1"/>
                <w:color w:val="auto"/>
              </w:rPr>
              <w:t>90-0945675</w:t>
            </w:r>
          </w:p>
        </w:tc>
      </w:tr>
      <w:tr>
        <w:trPr>
          <w:trHeight w:val="162"/>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60" w:type="dxa"/>
            <w:vAlign w:val="bottom"/>
            <w:gridSpan w:val="3"/>
          </w:tcPr>
          <w:p>
            <w:pPr>
              <w:ind w:left="660"/>
              <w:spacing w:after="0" w:line="162" w:lineRule="exact"/>
              <w:rPr>
                <w:sz w:val="20"/>
                <w:szCs w:val="20"/>
                <w:color w:val="auto"/>
              </w:rPr>
            </w:pPr>
            <w:r>
              <w:rPr>
                <w:rFonts w:ascii="Times New Roman" w:cs="Times New Roman" w:eastAsia="Times New Roman" w:hAnsi="Times New Roman"/>
                <w:sz w:val="15"/>
                <w:szCs w:val="15"/>
                <w:b w:val="1"/>
                <w:bCs w:val="1"/>
                <w:color w:val="auto"/>
              </w:rPr>
              <w:t>650 Madison Avenue, 23rd Floor</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gridSpan w:val="3"/>
          </w:tcPr>
          <w:p>
            <w:pPr>
              <w:jc w:val="center"/>
              <w:ind w:right="520"/>
              <w:spacing w:after="0" w:line="156" w:lineRule="exact"/>
              <w:rPr>
                <w:sz w:val="20"/>
                <w:szCs w:val="20"/>
                <w:color w:val="auto"/>
              </w:rPr>
            </w:pPr>
            <w:r>
              <w:rPr>
                <w:rFonts w:ascii="Times New Roman" w:cs="Times New Roman" w:eastAsia="Times New Roman" w:hAnsi="Times New Roman"/>
                <w:sz w:val="15"/>
                <w:szCs w:val="15"/>
                <w:b w:val="1"/>
                <w:bCs w:val="1"/>
                <w:color w:val="auto"/>
                <w:w w:val="99"/>
              </w:rPr>
              <w:t>New York, New York 10022</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54"/>
        </w:trPr>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gridSpan w:val="3"/>
          </w:tcPr>
          <w:p>
            <w:pPr>
              <w:jc w:val="center"/>
              <w:ind w:right="480"/>
              <w:spacing w:after="0" w:line="154" w:lineRule="exact"/>
              <w:rPr>
                <w:sz w:val="20"/>
                <w:szCs w:val="20"/>
                <w:color w:val="auto"/>
              </w:rPr>
            </w:pPr>
            <w:r>
              <w:rPr>
                <w:rFonts w:ascii="Times New Roman" w:cs="Times New Roman" w:eastAsia="Times New Roman" w:hAnsi="Times New Roman"/>
                <w:sz w:val="15"/>
                <w:szCs w:val="15"/>
                <w:b w:val="1"/>
                <w:bCs w:val="1"/>
                <w:color w:val="auto"/>
              </w:rPr>
              <w:t>State of Incorporation: Maryland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202"/>
        </w:trPr>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gridSpan w:val="3"/>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Telephone: (212) 891-2880</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608"/>
        </w:trPr>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0" w:type="dxa"/>
            <w:vAlign w:val="bottom"/>
            <w:gridSpan w:val="5"/>
          </w:tcPr>
          <w:p>
            <w:pPr>
              <w:ind w:left="22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38"/>
        </w:trPr>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3"/>
          </w:tcPr>
          <w:p>
            <w:pPr>
              <w:jc w:val="center"/>
              <w:ind w:right="364"/>
              <w:spacing w:after="0"/>
              <w:rPr>
                <w:sz w:val="20"/>
                <w:szCs w:val="20"/>
                <w:color w:val="auto"/>
              </w:rPr>
            </w:pPr>
            <w:r>
              <w:rPr>
                <w:rFonts w:ascii="Times New Roman" w:cs="Times New Roman" w:eastAsia="Times New Roman" w:hAnsi="Times New Roman"/>
                <w:sz w:val="15"/>
                <w:szCs w:val="15"/>
                <w:b w:val="1"/>
                <w:bCs w:val="1"/>
                <w:color w:val="auto"/>
              </w:rPr>
              <w:t>Name of Each Exchange on Which</w:t>
            </w:r>
          </w:p>
        </w:tc>
      </w:tr>
      <w:tr>
        <w:trPr>
          <w:trHeight w:val="204"/>
        </w:trPr>
        <w:tc>
          <w:tcPr>
            <w:tcW w:w="3540" w:type="dxa"/>
            <w:vAlign w:val="bottom"/>
            <w:gridSpan w:val="3"/>
          </w:tcPr>
          <w:p>
            <w:pPr>
              <w:jc w:val="center"/>
              <w:ind w:left="344"/>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gridSpan w:val="3"/>
          </w:tcPr>
          <w:p>
            <w:pPr>
              <w:jc w:val="center"/>
              <w:ind w:right="520"/>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jc w:val="center"/>
              <w:ind w:right="1344"/>
              <w:spacing w:after="0"/>
              <w:rPr>
                <w:sz w:val="20"/>
                <w:szCs w:val="20"/>
                <w:color w:val="auto"/>
              </w:rPr>
            </w:pPr>
            <w:r>
              <w:rPr>
                <w:rFonts w:ascii="Times New Roman" w:cs="Times New Roman" w:eastAsia="Times New Roman" w:hAnsi="Times New Roman"/>
                <w:sz w:val="15"/>
                <w:szCs w:val="15"/>
                <w:b w:val="1"/>
                <w:bCs w:val="1"/>
                <w:color w:val="auto"/>
              </w:rPr>
              <w:t>Registered</w:t>
            </w:r>
          </w:p>
        </w:tc>
      </w:tr>
      <w:tr>
        <w:trPr>
          <w:trHeight w:val="202"/>
        </w:trPr>
        <w:tc>
          <w:tcPr>
            <w:tcW w:w="3540" w:type="dxa"/>
            <w:vAlign w:val="bottom"/>
            <w:tcBorders>
              <w:top w:val="single" w:sz="8" w:color="auto"/>
            </w:tcBorders>
            <w:gridSpan w:val="3"/>
          </w:tcPr>
          <w:p>
            <w:pPr>
              <w:jc w:val="center"/>
              <w:ind w:left="344"/>
              <w:spacing w:after="0"/>
              <w:rPr>
                <w:sz w:val="20"/>
                <w:szCs w:val="20"/>
                <w:color w:val="auto"/>
              </w:rPr>
            </w:pPr>
            <w:r>
              <w:rPr>
                <w:rFonts w:ascii="Times New Roman" w:cs="Times New Roman" w:eastAsia="Times New Roman" w:hAnsi="Times New Roman"/>
                <w:sz w:val="15"/>
                <w:szCs w:val="15"/>
                <w:b w:val="1"/>
                <w:bCs w:val="1"/>
                <w:color w:val="auto"/>
              </w:rPr>
              <w:t>Common Stock, par value $0.01 per share</w:t>
            </w:r>
          </w:p>
        </w:tc>
        <w:tc>
          <w:tcPr>
            <w:tcW w:w="4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LRFC</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300" w:type="dxa"/>
            <w:vAlign w:val="bottom"/>
            <w:tcBorders>
              <w:top w:val="single" w:sz="8" w:color="auto"/>
            </w:tcBorders>
            <w:gridSpan w:val="3"/>
          </w:tcPr>
          <w:p>
            <w:pPr>
              <w:jc w:val="center"/>
              <w:ind w:right="324"/>
              <w:spacing w:after="0"/>
              <w:rPr>
                <w:sz w:val="20"/>
                <w:szCs w:val="20"/>
                <w:color w:val="auto"/>
              </w:rPr>
            </w:pPr>
            <w:r>
              <w:rPr>
                <w:rFonts w:ascii="Times New Roman" w:cs="Times New Roman" w:eastAsia="Times New Roman" w:hAnsi="Times New Roman"/>
                <w:sz w:val="15"/>
                <w:szCs w:val="15"/>
                <w:b w:val="1"/>
                <w:bCs w:val="1"/>
                <w:color w:val="auto"/>
              </w:rPr>
              <w:t>NASDAQ Global Select Market</w:t>
            </w:r>
          </w:p>
        </w:tc>
      </w:tr>
    </w:tbl>
    <w:p>
      <w:pPr>
        <w:spacing w:after="0" w:line="166" w:lineRule="exact"/>
        <w:rPr>
          <w:sz w:val="24"/>
          <w:szCs w:val="24"/>
          <w:color w:val="auto"/>
        </w:rPr>
      </w:pPr>
    </w:p>
    <w:p>
      <w:pPr>
        <w:jc w:val="both"/>
        <w:ind w:firstLine="749"/>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5" w:lineRule="exact"/>
        <w:rPr>
          <w:sz w:val="24"/>
          <w:szCs w:val="24"/>
          <w:color w:val="auto"/>
        </w:rPr>
      </w:pPr>
    </w:p>
    <w:p>
      <w:pPr>
        <w:ind w:left="5660"/>
        <w:spacing w:after="0" w:line="161" w:lineRule="exact"/>
        <w:tabs>
          <w:tab w:leader="none" w:pos="7880" w:val="left"/>
        </w:tabs>
        <w:rPr>
          <w:sz w:val="20"/>
          <w:szCs w:val="20"/>
          <w:color w:val="auto"/>
        </w:rPr>
      </w:pPr>
      <w:r>
        <w:rPr>
          <w:rFonts w:ascii="Times New Roman" w:cs="Times New Roman" w:eastAsia="Times New Roman" w:hAnsi="Times New Roman"/>
          <w:sz w:val="14"/>
          <w:szCs w:val="14"/>
          <w:color w:val="auto"/>
        </w:rPr>
        <w:t>Yes  x</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227" w:lineRule="exact"/>
        <w:rPr>
          <w:sz w:val="24"/>
          <w:szCs w:val="24"/>
          <w:color w:val="auto"/>
        </w:rPr>
      </w:pPr>
    </w:p>
    <w:p>
      <w:pPr>
        <w:jc w:val="both"/>
        <w:ind w:right="20" w:firstLine="749"/>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5" w:lineRule="exact"/>
        <w:rPr>
          <w:sz w:val="24"/>
          <w:szCs w:val="24"/>
          <w:color w:val="auto"/>
        </w:rPr>
      </w:pPr>
    </w:p>
    <w:p>
      <w:pPr>
        <w:ind w:left="5660"/>
        <w:spacing w:after="0" w:line="161" w:lineRule="exact"/>
        <w:tabs>
          <w:tab w:leader="none" w:pos="788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240"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2280" w:type="dxa"/>
        <w:tblCellMar>
          <w:top w:w="0" w:type="dxa"/>
          <w:left w:w="0" w:type="dxa"/>
          <w:bottom w:w="0" w:type="dxa"/>
          <w:right w:w="0" w:type="dxa"/>
        </w:tblCellMar>
      </w:tblPr>
      <w:tr>
        <w:trPr>
          <w:trHeight w:val="226"/>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66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Accelerated filer</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6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x</w:t>
            </w:r>
          </w:p>
        </w:tc>
        <w:tc>
          <w:tcPr>
            <w:tcW w:w="29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2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9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Emerging growth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76"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w:t>
      </w:r>
    </w:p>
    <w:p>
      <w:pPr>
        <w:spacing w:after="0" w:line="12" w:lineRule="exact"/>
        <w:rPr>
          <w:sz w:val="24"/>
          <w:szCs w:val="24"/>
          <w:color w:val="auto"/>
        </w:rPr>
      </w:pPr>
    </w:p>
    <w:p>
      <w:pPr>
        <w:spacing w:after="0" w:line="161" w:lineRule="exact"/>
        <w:tabs>
          <w:tab w:leader="none" w:pos="5740" w:val="left"/>
        </w:tabs>
        <w:rPr>
          <w:sz w:val="20"/>
          <w:szCs w:val="20"/>
          <w:color w:val="auto"/>
        </w:rPr>
      </w:pPr>
      <w:r>
        <w:rPr>
          <w:rFonts w:ascii="Times New Roman" w:cs="Times New Roman" w:eastAsia="Times New Roman" w:hAnsi="Times New Roman"/>
          <w:sz w:val="14"/>
          <w:szCs w:val="14"/>
          <w:color w:val="auto"/>
        </w:rPr>
        <w:t>accounting standards provided pursuant to Section 13(a) of the Exchange Act.</w:t>
      </w:r>
      <w:r>
        <w:rPr>
          <w:sz w:val="20"/>
          <w:szCs w:val="20"/>
          <w:color w:val="auto"/>
        </w:rPr>
        <w:tab/>
      </w:r>
      <w:r>
        <w:rPr>
          <w:rFonts w:ascii="MS PGothic" w:cs="MS PGothic" w:eastAsia="MS PGothic" w:hAnsi="MS PGothic"/>
          <w:sz w:val="14"/>
          <w:szCs w:val="14"/>
          <w:color w:val="auto"/>
        </w:rPr>
        <w:t>☐</w:t>
      </w:r>
    </w:p>
    <w:p>
      <w:pPr>
        <w:spacing w:after="0" w:line="206"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ectPr>
          <w:pgSz w:w="11900" w:h="16838" w:orient="portrait"/>
          <w:cols w:equalWidth="0" w:num="1">
            <w:col w:w="11240"/>
          </w:cols>
          <w:pgMar w:left="320" w:top="698" w:right="339" w:bottom="1440" w:gutter="0" w:footer="0" w:header="0"/>
          <w:type w:val="continuous"/>
        </w:sectPr>
      </w:pPr>
    </w:p>
    <w:p>
      <w:pPr>
        <w:spacing w:after="0" w:line="217" w:lineRule="exact"/>
        <w:rPr>
          <w:sz w:val="24"/>
          <w:szCs w:val="24"/>
          <w:color w:val="auto"/>
        </w:rPr>
      </w:pPr>
    </w:p>
    <w:p>
      <w:pPr>
        <w:ind w:left="5660"/>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 x</w:t>
      </w:r>
    </w:p>
    <w:p>
      <w:pPr>
        <w:spacing w:after="0" w:line="200" w:lineRule="exact"/>
        <w:rPr>
          <w:sz w:val="24"/>
          <w:szCs w:val="24"/>
          <w:color w:val="auto"/>
        </w:rPr>
      </w:pPr>
    </w:p>
    <w:p>
      <w:pPr>
        <w:sectPr>
          <w:pgSz w:w="11900" w:h="16838" w:orient="portrait"/>
          <w:cols w:equalWidth="0" w:num="3">
            <w:col w:w="5860" w:space="80"/>
            <w:col w:w="1240" w:space="720"/>
            <w:col w:w="3340"/>
          </w:cols>
          <w:pgMar w:left="320" w:top="698" w:right="339" w:bottom="1440" w:gutter="0" w:footer="0" w:header="0"/>
          <w:type w:val="continuous"/>
        </w:sectPr>
      </w:pPr>
    </w:p>
    <w:p>
      <w:pPr>
        <w:spacing w:after="0" w:line="4"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4"/>
          <w:szCs w:val="14"/>
          <w:color w:val="auto"/>
        </w:rPr>
        <w:t>The number of shares of Logan Ridge Finance Corporation’s common stock, $0.01 par value, outstanding as of August 9, 2022 was 2,711,068.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508000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94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560" w:type="dxa"/>
            <w:vAlign w:val="bottom"/>
          </w:tcPr>
          <w:p>
            <w:pPr>
              <w:spacing w:after="0"/>
              <w:rPr>
                <w:sz w:val="16"/>
                <w:szCs w:val="16"/>
                <w:color w:val="auto"/>
              </w:rPr>
            </w:pPr>
          </w:p>
        </w:tc>
      </w:tr>
      <w:tr>
        <w:trPr>
          <w:trHeight w:val="37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49"/>
        </w:trPr>
        <w:tc>
          <w:tcPr>
            <w:tcW w:w="940" w:type="dxa"/>
            <w:vAlign w:val="bottom"/>
            <w:gridSpan w:val="7"/>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0000FF"/>
              </w:rPr>
              <w:t>PART I.</w:t>
            </w:r>
          </w:p>
        </w:tc>
        <w:tc>
          <w:tcPr>
            <w:tcW w:w="9740" w:type="dxa"/>
            <w:vAlign w:val="bottom"/>
            <w:gridSpan w:val="18"/>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0000FF"/>
              </w:rPr>
              <w:t>FINANCIAL INFORMATION</w:t>
            </w: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r>
      <w:tr>
        <w:trPr>
          <w:trHeight w:val="176"/>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3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5"/>
        </w:trPr>
        <w:tc>
          <w:tcPr>
            <w:tcW w:w="940" w:type="dxa"/>
            <w:vAlign w:val="bottom"/>
            <w:gridSpan w:val="7"/>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w:t>
            </w:r>
          </w:p>
        </w:tc>
        <w:tc>
          <w:tcPr>
            <w:tcW w:w="9740" w:type="dxa"/>
            <w:vAlign w:val="bottom"/>
            <w:gridSpan w:val="18"/>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0000FF"/>
              </w:rPr>
              <w:t>Consolidated Financial Statements</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r>
      <w:tr>
        <w:trPr>
          <w:trHeight w:val="176"/>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3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6"/>
        </w:trPr>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740" w:type="dxa"/>
            <w:vAlign w:val="bottom"/>
            <w:gridSpan w:val="18"/>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0000FF"/>
              </w:rPr>
              <w:t>Consolidated Statements of Assets and Liabilities as of June 30, 2022 (unaudited) and December 31, 2021</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r>
      <w:tr>
        <w:trPr>
          <w:trHeight w:val="175"/>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16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3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6"/>
        </w:trPr>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740" w:type="dxa"/>
            <w:vAlign w:val="bottom"/>
            <w:gridSpan w:val="18"/>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0000FF"/>
              </w:rPr>
              <w:t>Consolidated Statements of Operations for the three and six months ended June 30, 2022 and 2021 (unaudited)</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r>
      <w:tr>
        <w:trPr>
          <w:trHeight w:val="175"/>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16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3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6"/>
        </w:trPr>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740" w:type="dxa"/>
            <w:vAlign w:val="bottom"/>
            <w:gridSpan w:val="18"/>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0000FF"/>
              </w:rPr>
              <w:t>Consolidated Statements of Changes in Net Assets for the three and six months ended June 30, 2022 and 2021 (unaudited)</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r>
      <w:tr>
        <w:trPr>
          <w:trHeight w:val="176"/>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16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3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5"/>
        </w:trPr>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740" w:type="dxa"/>
            <w:vAlign w:val="bottom"/>
            <w:gridSpan w:val="18"/>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0000FF"/>
              </w:rPr>
              <w:t>Consolidated Statements of Cash Flows for the three and six months ended June 30, 2022 and 2021 (unaudited)</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r>
      <w:tr>
        <w:trPr>
          <w:trHeight w:val="176"/>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16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3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5"/>
        </w:trPr>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740" w:type="dxa"/>
            <w:vAlign w:val="bottom"/>
            <w:gridSpan w:val="18"/>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0000FF"/>
              </w:rPr>
              <w:t>Consolidated Schedules of Investments as of June 30, 2022 (unaudited) and December 31, 2021</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r>
      <w:tr>
        <w:trPr>
          <w:trHeight w:val="176"/>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16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3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5"/>
        </w:trPr>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740" w:type="dxa"/>
            <w:vAlign w:val="bottom"/>
            <w:gridSpan w:val="18"/>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0000FF"/>
              </w:rPr>
              <w:t>Notes to Consolidated Financial Statements as of and for the period ended June 30, 2022 (unaudited)</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r>
      <w:tr>
        <w:trPr>
          <w:trHeight w:val="176"/>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16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3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6"/>
        </w:trPr>
        <w:tc>
          <w:tcPr>
            <w:tcW w:w="940" w:type="dxa"/>
            <w:vAlign w:val="bottom"/>
            <w:gridSpan w:val="7"/>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2.</w:t>
            </w:r>
          </w:p>
        </w:tc>
        <w:tc>
          <w:tcPr>
            <w:tcW w:w="9740" w:type="dxa"/>
            <w:vAlign w:val="bottom"/>
            <w:gridSpan w:val="18"/>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r>
      <w:tr>
        <w:trPr>
          <w:trHeight w:val="175"/>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1680" w:type="dxa"/>
            <w:vAlign w:val="bottom"/>
            <w:tcBorders>
              <w:top w:val="single" w:sz="8" w:color="0000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3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6"/>
        </w:trPr>
        <w:tc>
          <w:tcPr>
            <w:tcW w:w="940" w:type="dxa"/>
            <w:vAlign w:val="bottom"/>
            <w:gridSpan w:val="7"/>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3.</w:t>
            </w:r>
          </w:p>
        </w:tc>
        <w:tc>
          <w:tcPr>
            <w:tcW w:w="9740" w:type="dxa"/>
            <w:vAlign w:val="bottom"/>
            <w:gridSpan w:val="18"/>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r>
      <w:tr>
        <w:trPr>
          <w:trHeight w:val="175"/>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3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6"/>
        </w:trPr>
        <w:tc>
          <w:tcPr>
            <w:tcW w:w="940" w:type="dxa"/>
            <w:vAlign w:val="bottom"/>
            <w:gridSpan w:val="7"/>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4.</w:t>
            </w:r>
          </w:p>
        </w:tc>
        <w:tc>
          <w:tcPr>
            <w:tcW w:w="9740" w:type="dxa"/>
            <w:vAlign w:val="bottom"/>
            <w:gridSpan w:val="18"/>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0000FF"/>
              </w:rPr>
              <w:t>Controls and Procedures</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r>
      <w:tr>
        <w:trPr>
          <w:trHeight w:val="176"/>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3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5"/>
        </w:trPr>
        <w:tc>
          <w:tcPr>
            <w:tcW w:w="940" w:type="dxa"/>
            <w:vAlign w:val="bottom"/>
            <w:gridSpan w:val="7"/>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0000FF"/>
              </w:rPr>
              <w:t>PART II.</w:t>
            </w:r>
          </w:p>
        </w:tc>
        <w:tc>
          <w:tcPr>
            <w:tcW w:w="9740" w:type="dxa"/>
            <w:vAlign w:val="bottom"/>
            <w:gridSpan w:val="18"/>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0000FF"/>
              </w:rPr>
              <w:t>OTHER INFORMATION</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r>
      <w:tr>
        <w:trPr>
          <w:trHeight w:val="176"/>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3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5"/>
        </w:trPr>
        <w:tc>
          <w:tcPr>
            <w:tcW w:w="940" w:type="dxa"/>
            <w:vAlign w:val="bottom"/>
            <w:gridSpan w:val="7"/>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1.</w:t>
            </w:r>
          </w:p>
        </w:tc>
        <w:tc>
          <w:tcPr>
            <w:tcW w:w="9740" w:type="dxa"/>
            <w:vAlign w:val="bottom"/>
            <w:gridSpan w:val="18"/>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0000FF"/>
              </w:rPr>
              <w:t>Legal Proceedings</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r>
      <w:tr>
        <w:trPr>
          <w:trHeight w:val="176"/>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3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5"/>
        </w:trPr>
        <w:tc>
          <w:tcPr>
            <w:tcW w:w="940" w:type="dxa"/>
            <w:vAlign w:val="bottom"/>
            <w:gridSpan w:val="7"/>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1A.</w:t>
            </w:r>
          </w:p>
        </w:tc>
        <w:tc>
          <w:tcPr>
            <w:tcW w:w="9740" w:type="dxa"/>
            <w:vAlign w:val="bottom"/>
            <w:gridSpan w:val="18"/>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0000FF"/>
              </w:rPr>
              <w:t>Risk Factors</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r>
      <w:tr>
        <w:trPr>
          <w:trHeight w:val="176"/>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3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6"/>
        </w:trPr>
        <w:tc>
          <w:tcPr>
            <w:tcW w:w="940" w:type="dxa"/>
            <w:vAlign w:val="bottom"/>
            <w:gridSpan w:val="7"/>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2.</w:t>
            </w:r>
          </w:p>
        </w:tc>
        <w:tc>
          <w:tcPr>
            <w:tcW w:w="9740" w:type="dxa"/>
            <w:vAlign w:val="bottom"/>
            <w:gridSpan w:val="18"/>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r>
      <w:tr>
        <w:trPr>
          <w:trHeight w:val="175"/>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3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6"/>
        </w:trPr>
        <w:tc>
          <w:tcPr>
            <w:tcW w:w="940" w:type="dxa"/>
            <w:vAlign w:val="bottom"/>
            <w:gridSpan w:val="7"/>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3.</w:t>
            </w:r>
          </w:p>
        </w:tc>
        <w:tc>
          <w:tcPr>
            <w:tcW w:w="9740" w:type="dxa"/>
            <w:vAlign w:val="bottom"/>
            <w:gridSpan w:val="18"/>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r>
      <w:tr>
        <w:trPr>
          <w:trHeight w:val="175"/>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3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5"/>
        </w:trPr>
        <w:tc>
          <w:tcPr>
            <w:tcW w:w="940" w:type="dxa"/>
            <w:vAlign w:val="bottom"/>
            <w:gridSpan w:val="7"/>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4.</w:t>
            </w:r>
          </w:p>
        </w:tc>
        <w:tc>
          <w:tcPr>
            <w:tcW w:w="9740" w:type="dxa"/>
            <w:vAlign w:val="bottom"/>
            <w:gridSpan w:val="18"/>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0000FF"/>
              </w:rPr>
              <w:t>Mine Safety Disclosures</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r>
      <w:tr>
        <w:trPr>
          <w:trHeight w:val="175"/>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3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5"/>
        </w:trPr>
        <w:tc>
          <w:tcPr>
            <w:tcW w:w="940" w:type="dxa"/>
            <w:vAlign w:val="bottom"/>
            <w:gridSpan w:val="7"/>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5.</w:t>
            </w:r>
          </w:p>
        </w:tc>
        <w:tc>
          <w:tcPr>
            <w:tcW w:w="9740" w:type="dxa"/>
            <w:vAlign w:val="bottom"/>
            <w:gridSpan w:val="18"/>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0000FF"/>
              </w:rPr>
              <w:t>Other Information</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r>
      <w:tr>
        <w:trPr>
          <w:trHeight w:val="175"/>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3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6"/>
        </w:trPr>
        <w:tc>
          <w:tcPr>
            <w:tcW w:w="940" w:type="dxa"/>
            <w:vAlign w:val="bottom"/>
            <w:gridSpan w:val="7"/>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6.</w:t>
            </w:r>
          </w:p>
        </w:tc>
        <w:tc>
          <w:tcPr>
            <w:tcW w:w="9740" w:type="dxa"/>
            <w:vAlign w:val="bottom"/>
            <w:gridSpan w:val="18"/>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0000FF"/>
              </w:rPr>
              <w:t>Exhibits</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r>
      <w:tr>
        <w:trPr>
          <w:trHeight w:val="175"/>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3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5"/>
        </w:trPr>
        <w:tc>
          <w:tcPr>
            <w:tcW w:w="940" w:type="dxa"/>
            <w:vAlign w:val="bottom"/>
            <w:gridSpan w:val="7"/>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0000FF"/>
              </w:rPr>
              <w:t>Signatures</w:t>
            </w:r>
          </w:p>
        </w:tc>
        <w:tc>
          <w:tcPr>
            <w:tcW w:w="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r>
      <w:tr>
        <w:trPr>
          <w:trHeight w:val="533"/>
        </w:trPr>
        <w:tc>
          <w:tcPr>
            <w:tcW w:w="2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480" w:type="dxa"/>
            <w:vAlign w:val="bottom"/>
            <w:tcBorders>
              <w:top w:val="single" w:sz="8" w:color="CCEEFF"/>
              <w:bottom w:val="single" w:sz="8" w:color="9A9A9A"/>
            </w:tcBorders>
          </w:tcPr>
          <w:p>
            <w:pPr>
              <w:spacing w:after="0"/>
              <w:rPr>
                <w:sz w:val="24"/>
                <w:szCs w:val="24"/>
                <w:color w:val="auto"/>
              </w:rPr>
            </w:pPr>
          </w:p>
        </w:tc>
        <w:tc>
          <w:tcPr>
            <w:tcW w:w="1680" w:type="dxa"/>
            <w:vAlign w:val="bottom"/>
            <w:tcBorders>
              <w:top w:val="single" w:sz="8" w:color="CCEE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2360" w:type="dxa"/>
            <w:vAlign w:val="bottom"/>
            <w:tcBorders>
              <w:top w:val="single" w:sz="8" w:color="CCEEFF"/>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0"/>
        </w:trPr>
        <w:tc>
          <w:tcPr>
            <w:tcW w:w="7320" w:type="dxa"/>
            <w:vAlign w:val="bottom"/>
          </w:tcPr>
          <w:p>
            <w:pPr>
              <w:jc w:val="center"/>
              <w:ind w:left="3848"/>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7320" w:type="dxa"/>
            <w:vAlign w:val="bottom"/>
          </w:tcPr>
          <w:p>
            <w:pPr>
              <w:jc w:val="center"/>
              <w:ind w:left="3848"/>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320" w:type="dxa"/>
            <w:vAlign w:val="bottom"/>
          </w:tcPr>
          <w:p>
            <w:pPr>
              <w:jc w:val="center"/>
              <w:ind w:left="3868"/>
              <w:spacing w:after="0"/>
              <w:rPr>
                <w:sz w:val="20"/>
                <w:szCs w:val="20"/>
                <w:color w:val="auto"/>
              </w:rPr>
            </w:pPr>
            <w:r>
              <w:rPr>
                <w:rFonts w:ascii="Times New Roman" w:cs="Times New Roman" w:eastAsia="Times New Roman" w:hAnsi="Times New Roman"/>
                <w:sz w:val="14"/>
                <w:szCs w:val="14"/>
                <w:b w:val="1"/>
                <w:bCs w:val="1"/>
                <w:color w:val="auto"/>
              </w:rPr>
              <w:t>Consolidated Statements of Assets and Liabilities</w:t>
            </w: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320" w:type="dxa"/>
            <w:vAlign w:val="bottom"/>
          </w:tcPr>
          <w:p>
            <w:pPr>
              <w:jc w:val="center"/>
              <w:ind w:left="3868"/>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7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69"/>
        </w:trPr>
        <w:tc>
          <w:tcPr>
            <w:tcW w:w="73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8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Non-control/non-affiliate investments (amortized cost of $148,331 and $151,543, respectively)</w:t>
            </w:r>
          </w:p>
        </w:tc>
        <w:tc>
          <w:tcPr>
            <w:tcW w:w="2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141,954</w:t>
            </w:r>
          </w:p>
        </w:tc>
        <w:tc>
          <w:tcPr>
            <w:tcW w:w="12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129,991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Affiliate investments (amortized cost of $30,344 and $30,089, respectively)</w:t>
            </w: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Control investments (amortized cost of $8,850 and $8,850, respectively)</w:t>
            </w:r>
          </w:p>
        </w:tc>
        <w:tc>
          <w:tcPr>
            <w:tcW w:w="28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3,628</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6,839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investments at fair value (amortized cost of $187,525 and $190,482, respectively)</w:t>
            </w:r>
          </w:p>
        </w:tc>
        <w:tc>
          <w:tcPr>
            <w:tcW w:w="2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175,853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29,489</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dividend receivable</w:t>
            </w: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2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for unsettled trades</w:t>
            </w:r>
          </w:p>
        </w:tc>
        <w:tc>
          <w:tcPr>
            <w:tcW w:w="280" w:type="dxa"/>
            <w:vAlign w:val="bottom"/>
          </w:tcPr>
          <w:p>
            <w:pPr>
              <w:spacing w:after="0"/>
              <w:rPr>
                <w:sz w:val="15"/>
                <w:szCs w:val="15"/>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2,951</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32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212,139</w:t>
            </w:r>
          </w:p>
        </w:tc>
        <w:tc>
          <w:tcPr>
            <w:tcW w:w="120" w:type="dxa"/>
            <w:vAlign w:val="bottom"/>
          </w:tcPr>
          <w:p>
            <w:pPr>
              <w:spacing w:after="0"/>
              <w:rPr>
                <w:sz w:val="14"/>
                <w:szCs w:val="14"/>
                <w:color w:val="auto"/>
              </w:rPr>
            </w:pPr>
          </w:p>
        </w:tc>
        <w:tc>
          <w:tcPr>
            <w:tcW w:w="340" w:type="dxa"/>
            <w:vAlign w:val="bottom"/>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242,217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LIABILITIES</w:t>
            </w:r>
          </w:p>
        </w:tc>
        <w:tc>
          <w:tcPr>
            <w:tcW w:w="28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 Notes (net of deferred financing costs of zero and $46, respectively)</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2022 Convertible Notes (net of deferred financing costs of zero and $167, respectively)</w:t>
            </w:r>
          </w:p>
        </w:tc>
        <w:tc>
          <w:tcPr>
            <w:tcW w:w="28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51,921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 Notes (net of deferred financing costs and original issue discount of $1,597 and $1,552, respectively)</w:t>
            </w: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48,403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2032 Convertible Notes (net of deferred financing costs and original issue discount of $1,175 and zero, respectively)</w:t>
            </w:r>
          </w:p>
        </w:tc>
        <w:tc>
          <w:tcPr>
            <w:tcW w:w="2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13,825</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KeyBank Credit Facility (net of deferred financing costs of $1,468 and $353, respectively)</w:t>
            </w: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(353 )</w:t>
            </w:r>
          </w:p>
        </w:tc>
        <w:tc>
          <w:tcPr>
            <w:tcW w:w="0" w:type="dxa"/>
            <w:vAlign w:val="bottom"/>
          </w:tcPr>
          <w:p>
            <w:pPr>
              <w:spacing w:after="0"/>
              <w:rPr>
                <w:sz w:val="1"/>
                <w:szCs w:val="1"/>
                <w:color w:val="auto"/>
              </w:rPr>
            </w:pPr>
          </w:p>
        </w:tc>
      </w:tr>
      <w:tr>
        <w:trPr>
          <w:trHeight w:val="17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Management and incentive fees payable</w:t>
            </w:r>
          </w:p>
        </w:tc>
        <w:tc>
          <w:tcPr>
            <w:tcW w:w="2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financing fees payable</w:t>
            </w: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Payable for unsettled trades</w:t>
            </w:r>
          </w:p>
        </w:tc>
        <w:tc>
          <w:tcPr>
            <w:tcW w:w="2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7,493</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9,265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111,002</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135,188</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2)</w:t>
            </w: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ASSETS</w:t>
            </w:r>
          </w:p>
        </w:tc>
        <w:tc>
          <w:tcPr>
            <w:tcW w:w="28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3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par value $0.01, 100,000,000 common shares authorized, 2,711,068 and 2,711,068 common shares issued</w:t>
            </w: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2"/>
                <w:szCs w:val="12"/>
                <w:color w:val="auto"/>
              </w:rPr>
            </w:pPr>
          </w:p>
        </w:tc>
        <w:tc>
          <w:tcPr>
            <w:tcW w:w="3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outstanding, respectively</w:t>
            </w:r>
          </w:p>
        </w:tc>
        <w:tc>
          <w:tcPr>
            <w:tcW w:w="28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Additional paid in capital</w:t>
            </w:r>
          </w:p>
        </w:tc>
        <w:tc>
          <w:tcPr>
            <w:tcW w:w="2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188,846</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188,846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distributable loss</w:t>
            </w:r>
          </w:p>
        </w:tc>
        <w:tc>
          <w:tcPr>
            <w:tcW w:w="280" w:type="dxa"/>
            <w:vAlign w:val="bottom"/>
          </w:tcPr>
          <w:p>
            <w:pPr>
              <w:spacing w:after="0"/>
              <w:rPr>
                <w:sz w:val="15"/>
                <w:szCs w:val="15"/>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(87,736 )</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(81,844 )</w:t>
            </w:r>
          </w:p>
        </w:tc>
        <w:tc>
          <w:tcPr>
            <w:tcW w:w="0" w:type="dxa"/>
            <w:vAlign w:val="bottom"/>
          </w:tcPr>
          <w:p>
            <w:pPr>
              <w:spacing w:after="0"/>
              <w:rPr>
                <w:sz w:val="1"/>
                <w:szCs w:val="1"/>
                <w:color w:val="auto"/>
              </w:rPr>
            </w:pPr>
          </w:p>
        </w:tc>
      </w:tr>
      <w:tr>
        <w:trPr>
          <w:trHeight w:val="169"/>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net assets</w:t>
            </w:r>
          </w:p>
        </w:tc>
        <w:tc>
          <w:tcPr>
            <w:tcW w:w="28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101,137</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107,029</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3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liabilities and net assets</w:t>
            </w:r>
          </w:p>
        </w:tc>
        <w:tc>
          <w:tcPr>
            <w:tcW w:w="280" w:type="dxa"/>
            <w:vAlign w:val="bottom"/>
            <w:tcBorders>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212,139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242,217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Net asset value per share</w:t>
            </w:r>
          </w:p>
        </w:tc>
        <w:tc>
          <w:tcPr>
            <w:tcW w:w="280" w:type="dxa"/>
            <w:vAlign w:val="bottom"/>
            <w:tcBorders>
              <w:top w:val="single" w:sz="8" w:color="auto"/>
            </w:tcBorders>
            <w:shd w:val="clear" w:color="auto" w:fill="CFF0FC"/>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37.31</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39.48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-3093720</wp:posOffset>
            </wp:positionV>
            <wp:extent cx="77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-2416810</wp:posOffset>
            </wp:positionV>
            <wp:extent cx="77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-1036320</wp:posOffset>
            </wp:positionV>
            <wp:extent cx="77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-256540</wp:posOffset>
            </wp:positionV>
            <wp:extent cx="77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-256540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 w:name="page4"/>
    <w:bookmarkEnd w:id="3"/>
    <w:p>
      <w:pPr>
        <w:ind w:left="4560"/>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2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5"/>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1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w:t>
            </w:r>
          </w:p>
        </w:tc>
        <w:tc>
          <w:tcPr>
            <w:tcW w:w="0" w:type="dxa"/>
            <w:vAlign w:val="bottom"/>
          </w:tcPr>
          <w:p>
            <w:pPr>
              <w:spacing w:after="0"/>
              <w:rPr>
                <w:sz w:val="1"/>
                <w:szCs w:val="1"/>
                <w:color w:val="auto"/>
              </w:rPr>
            </w:pPr>
          </w:p>
        </w:tc>
      </w:tr>
      <w:tr>
        <w:trPr>
          <w:trHeight w:val="187"/>
        </w:trPr>
        <w:tc>
          <w:tcPr>
            <w:tcW w:w="68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INCOME</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2,713</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2,901</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5,655</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Affiliate investments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Control investments</w:t>
            </w:r>
          </w:p>
        </w:tc>
        <w:tc>
          <w:tcPr>
            <w:tcW w:w="1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interest and fee income</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2,996</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4,129</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Payment-in-kind interest and dividend income:</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Affiliate investments</w:t>
            </w:r>
          </w:p>
        </w:tc>
        <w:tc>
          <w:tcPr>
            <w:tcW w:w="1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payment-in-kind interest and dividend income</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100" w:type="dxa"/>
            <w:vAlign w:val="bottom"/>
          </w:tcPr>
          <w:p>
            <w:pPr>
              <w:spacing w:after="0"/>
              <w:rPr>
                <w:sz w:val="15"/>
                <w:szCs w:val="15"/>
                <w:color w:val="auto"/>
              </w:rPr>
            </w:pPr>
          </w:p>
        </w:tc>
        <w:tc>
          <w:tcPr>
            <w:tcW w:w="106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Affiliate investments</w:t>
            </w:r>
          </w:p>
        </w:tc>
        <w:tc>
          <w:tcPr>
            <w:tcW w:w="1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gridSpan w:val="2"/>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dividend income</w:t>
            </w:r>
          </w:p>
        </w:tc>
        <w:tc>
          <w:tcPr>
            <w:tcW w:w="100" w:type="dxa"/>
            <w:vAlign w:val="bottom"/>
          </w:tcPr>
          <w:p>
            <w:pPr>
              <w:spacing w:after="0"/>
              <w:rPr>
                <w:sz w:val="14"/>
                <w:szCs w:val="14"/>
                <w:color w:val="auto"/>
              </w:rPr>
            </w:pPr>
          </w:p>
        </w:tc>
        <w:tc>
          <w:tcPr>
            <w:tcW w:w="106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100" w:type="dxa"/>
            <w:vAlign w:val="bottom"/>
          </w:tcPr>
          <w:p>
            <w:pPr>
              <w:spacing w:after="0"/>
              <w:rPr>
                <w:sz w:val="15"/>
                <w:szCs w:val="15"/>
                <w:color w:val="auto"/>
              </w:rPr>
            </w:pPr>
          </w:p>
        </w:tc>
        <w:tc>
          <w:tcPr>
            <w:tcW w:w="106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Affiliate investments</w:t>
            </w:r>
          </w:p>
        </w:tc>
        <w:tc>
          <w:tcPr>
            <w:tcW w:w="1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gridSpan w:val="2"/>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other income</w:t>
            </w:r>
          </w:p>
        </w:tc>
        <w:tc>
          <w:tcPr>
            <w:tcW w:w="100" w:type="dxa"/>
            <w:vAlign w:val="bottom"/>
          </w:tcPr>
          <w:p>
            <w:pPr>
              <w:spacing w:after="0"/>
              <w:rPr>
                <w:sz w:val="14"/>
                <w:szCs w:val="14"/>
                <w:color w:val="auto"/>
              </w:rPr>
            </w:pPr>
          </w:p>
        </w:tc>
        <w:tc>
          <w:tcPr>
            <w:tcW w:w="106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investment income</w:t>
            </w: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2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5,044</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6,641</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9,970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and financing expenses</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2,131</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2,728</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4,319</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5,765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 management fee</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Directors expense</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Administrative service fees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expenses</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4,232</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5,010</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INVESTMENT (LOSS) INCOME</w:t>
            </w: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280" w:type="dxa"/>
            <w:vAlign w:val="bottom"/>
            <w:tcBorders>
              <w:bottom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69"/>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AND UNREALIZED GAIN (LOSS) ON INVESTMENTS</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(9,291 )</w:t>
            </w:r>
          </w:p>
        </w:tc>
        <w:tc>
          <w:tcPr>
            <w:tcW w:w="0" w:type="dxa"/>
            <w:vAlign w:val="bottom"/>
          </w:tcPr>
          <w:p>
            <w:pPr>
              <w:spacing w:after="0"/>
              <w:rPr>
                <w:sz w:val="1"/>
                <w:szCs w:val="1"/>
                <w:color w:val="auto"/>
              </w:rPr>
            </w:pPr>
          </w:p>
        </w:tc>
      </w:tr>
      <w:tr>
        <w:trPr>
          <w:trHeight w:val="175"/>
        </w:trPr>
        <w:tc>
          <w:tcPr>
            <w:tcW w:w="6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Affiliate investments</w:t>
            </w:r>
          </w:p>
        </w:tc>
        <w:tc>
          <w:tcPr>
            <w:tcW w:w="1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gridSpan w:val="2"/>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(7,076 )</w:t>
            </w:r>
          </w:p>
        </w:tc>
        <w:tc>
          <w:tcPr>
            <w:tcW w:w="0" w:type="dxa"/>
            <w:vAlign w:val="bottom"/>
          </w:tcPr>
          <w:p>
            <w:pPr>
              <w:spacing w:after="0"/>
              <w:rPr>
                <w:sz w:val="1"/>
                <w:szCs w:val="1"/>
                <w:color w:val="auto"/>
              </w:rPr>
            </w:pPr>
          </w:p>
        </w:tc>
      </w:tr>
      <w:tr>
        <w:trPr>
          <w:trHeight w:val="175"/>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change in unrealized (depreciation) appreciation on investments:</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100" w:type="dxa"/>
            <w:vAlign w:val="bottom"/>
          </w:tcPr>
          <w:p>
            <w:pPr>
              <w:spacing w:after="0"/>
              <w:rPr>
                <w:sz w:val="15"/>
                <w:szCs w:val="15"/>
                <w:color w:val="auto"/>
              </w:rPr>
            </w:pPr>
          </w:p>
        </w:tc>
        <w:tc>
          <w:tcPr>
            <w:tcW w:w="10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(16,495 )</w:t>
            </w:r>
          </w:p>
        </w:tc>
        <w:tc>
          <w:tcPr>
            <w:tcW w:w="240" w:type="dxa"/>
            <w:vAlign w:val="bottom"/>
          </w:tcPr>
          <w:p>
            <w:pPr>
              <w:spacing w:after="0"/>
              <w:rPr>
                <w:sz w:val="15"/>
                <w:szCs w:val="15"/>
                <w:color w:val="auto"/>
              </w:rPr>
            </w:pPr>
          </w:p>
        </w:tc>
        <w:tc>
          <w:tcPr>
            <w:tcW w:w="9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(12,774 )</w:t>
            </w:r>
          </w:p>
        </w:tc>
        <w:tc>
          <w:tcPr>
            <w:tcW w:w="1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(17,645 )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Affiliate investments</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Control investments</w:t>
            </w:r>
          </w:p>
        </w:tc>
        <w:tc>
          <w:tcPr>
            <w:tcW w:w="100" w:type="dxa"/>
            <w:vAlign w:val="bottom"/>
          </w:tcPr>
          <w:p>
            <w:pPr>
              <w:spacing w:after="0"/>
              <w:rPr>
                <w:sz w:val="15"/>
                <w:szCs w:val="15"/>
                <w:color w:val="auto"/>
              </w:rPr>
            </w:pPr>
          </w:p>
        </w:tc>
        <w:tc>
          <w:tcPr>
            <w:tcW w:w="10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(3,287 )</w:t>
            </w:r>
          </w:p>
        </w:tc>
        <w:tc>
          <w:tcPr>
            <w:tcW w:w="240" w:type="dxa"/>
            <w:vAlign w:val="bottom"/>
          </w:tcPr>
          <w:p>
            <w:pPr>
              <w:spacing w:after="0"/>
              <w:rPr>
                <w:sz w:val="15"/>
                <w:szCs w:val="15"/>
                <w:color w:val="auto"/>
              </w:rPr>
            </w:pPr>
          </w:p>
        </w:tc>
        <w:tc>
          <w:tcPr>
            <w:tcW w:w="9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(1,006 )</w:t>
            </w:r>
          </w:p>
        </w:tc>
        <w:tc>
          <w:tcPr>
            <w:tcW w:w="1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(3,211 )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(1,030 )</w:t>
            </w:r>
          </w:p>
        </w:tc>
        <w:tc>
          <w:tcPr>
            <w:tcW w:w="0" w:type="dxa"/>
            <w:vAlign w:val="bottom"/>
          </w:tcPr>
          <w:p>
            <w:pPr>
              <w:spacing w:after="0"/>
              <w:rPr>
                <w:sz w:val="1"/>
                <w:szCs w:val="1"/>
                <w:color w:val="auto"/>
              </w:rPr>
            </w:pPr>
          </w:p>
        </w:tc>
      </w:tr>
      <w:tr>
        <w:trPr>
          <w:trHeight w:val="169"/>
        </w:trPr>
        <w:tc>
          <w:tcPr>
            <w:tcW w:w="6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change in unrealized (depreciation) appreciation on investments</w:t>
            </w: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(19,608</w:t>
            </w:r>
          </w:p>
        </w:tc>
        <w:tc>
          <w:tcPr>
            <w:tcW w:w="280" w:type="dxa"/>
            <w:vAlign w:val="bottom"/>
            <w:tcBorders>
              <w:bottom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(13,720</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(19,379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13,440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net realized and change in unrealized (loss) gain on investments</w:t>
            </w:r>
          </w:p>
        </w:tc>
        <w:tc>
          <w:tcPr>
            <w:tcW w:w="100" w:type="dxa"/>
            <w:vAlign w:val="bottom"/>
          </w:tcPr>
          <w:p>
            <w:pPr>
              <w:spacing w:after="0"/>
              <w:rPr>
                <w:sz w:val="14"/>
                <w:szCs w:val="14"/>
                <w:color w:val="auto"/>
              </w:rPr>
            </w:pPr>
          </w:p>
        </w:tc>
        <w:tc>
          <w:tcPr>
            <w:tcW w:w="10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(4,105 )</w:t>
            </w:r>
          </w:p>
        </w:tc>
        <w:tc>
          <w:tcPr>
            <w:tcW w:w="240" w:type="dxa"/>
            <w:vAlign w:val="bottom"/>
          </w:tcPr>
          <w:p>
            <w:pPr>
              <w:spacing w:after="0"/>
              <w:rPr>
                <w:sz w:val="14"/>
                <w:szCs w:val="14"/>
                <w:color w:val="auto"/>
              </w:rPr>
            </w:pPr>
          </w:p>
        </w:tc>
        <w:tc>
          <w:tcPr>
            <w:tcW w:w="9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(6,773 )</w:t>
            </w: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(3,913 )</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8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realized loss on extinguishment of debt</w:t>
            </w:r>
          </w:p>
        </w:tc>
        <w:tc>
          <w:tcPr>
            <w:tcW w:w="100" w:type="dxa"/>
            <w:vAlign w:val="bottom"/>
            <w:tcBorders>
              <w:top w:val="single" w:sz="8" w:color="CFF0FC"/>
            </w:tcBorders>
            <w:shd w:val="clear" w:color="auto" w:fill="CFF0FC"/>
          </w:tcPr>
          <w:p>
            <w:pPr>
              <w:spacing w:after="0"/>
              <w:rPr>
                <w:sz w:val="14"/>
                <w:szCs w:val="14"/>
                <w:color w:val="auto"/>
              </w:rPr>
            </w:pPr>
          </w:p>
        </w:tc>
        <w:tc>
          <w:tcPr>
            <w:tcW w:w="7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940" w:type="dxa"/>
            <w:vAlign w:val="bottom"/>
            <w:tcBorders>
              <w:top w:val="single" w:sz="8" w:color="CFF0FC"/>
            </w:tcBorders>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(815 )</w:t>
            </w:r>
          </w:p>
        </w:tc>
        <w:tc>
          <w:tcPr>
            <w:tcW w:w="1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
        </w:trPr>
        <w:tc>
          <w:tcPr>
            <w:tcW w:w="68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(DECREASE) INCREASE IN NET ASSETS RESULTING FROM OPERATIONS</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(5,034 )</w:t>
            </w:r>
          </w:p>
        </w:tc>
        <w:tc>
          <w:tcPr>
            <w:tcW w:w="24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(7,554 )</w:t>
            </w:r>
          </w:p>
        </w:tc>
        <w:tc>
          <w:tcPr>
            <w:tcW w:w="1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(5,892 )</w:t>
            </w:r>
          </w:p>
        </w:tc>
        <w:tc>
          <w:tcPr>
            <w:tcW w:w="140" w:type="dxa"/>
            <w:vAlign w:val="bottom"/>
          </w:tcPr>
          <w:p>
            <w:pPr>
              <w:spacing w:after="0"/>
              <w:rPr>
                <w:sz w:val="14"/>
                <w:szCs w:val="14"/>
                <w:color w:val="auto"/>
              </w:rPr>
            </w:pPr>
          </w:p>
        </w:tc>
        <w:tc>
          <w:tcPr>
            <w:tcW w:w="20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4,800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80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NET (DECREASE) INCREASE IN NET ASSETS PER SHARE RESULTING</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vMerge w:val="restart"/>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(1.86 )</w:t>
            </w:r>
          </w:p>
        </w:tc>
        <w:tc>
          <w:tcPr>
            <w:tcW w:w="24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(2.79 )</w:t>
            </w:r>
          </w:p>
        </w:tc>
        <w:tc>
          <w:tcPr>
            <w:tcW w:w="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(2.17 )</w:t>
            </w:r>
          </w:p>
        </w:tc>
        <w:tc>
          <w:tcPr>
            <w:tcW w:w="14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6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FROM OPERATIONS – BASIC &amp; DILUTED (SEE NOTE 10)</w:t>
            </w:r>
          </w:p>
        </w:tc>
        <w:tc>
          <w:tcPr>
            <w:tcW w:w="100" w:type="dxa"/>
            <w:vAlign w:val="bottom"/>
            <w:vMerge w:val="continue"/>
            <w:shd w:val="clear" w:color="auto" w:fill="CFF0FC"/>
          </w:tcPr>
          <w:p>
            <w:pPr>
              <w:spacing w:after="0"/>
              <w:rPr>
                <w:sz w:val="16"/>
                <w:szCs w:val="16"/>
                <w:color w:val="auto"/>
              </w:rPr>
            </w:pPr>
          </w:p>
        </w:tc>
        <w:tc>
          <w:tcPr>
            <w:tcW w:w="1060" w:type="dxa"/>
            <w:vAlign w:val="bottom"/>
            <w:gridSpan w:val="2"/>
            <w:vMerge w:val="continue"/>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8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WEIGHTED AVERAGE COMMON STOCK OUTSTANDING</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2,711,068</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2,711,068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2,711,068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2,711,068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BASIC &amp; DILUTED (SEE NOTE 10)</w:t>
            </w: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DISTRIBUTIONS PAID PER SHARE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-4602480</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-4602480</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-4602480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-4602480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-4139565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-4139565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-4139565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-4139565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-3676650</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-3676650</wp:posOffset>
            </wp:positionV>
            <wp:extent cx="768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-3676650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-3213735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-3213735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-3213735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-2973705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-2973705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-2973705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-2296795</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-2296795</wp:posOffset>
            </wp:positionV>
            <wp:extent cx="76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-2296795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-2056765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-2056765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-2056765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-1602105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-1602105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-1602105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-916305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-916305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-916305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-668020</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-668020</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-800735</wp:posOffset>
            </wp:positionV>
            <wp:extent cx="9398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-800735</wp:posOffset>
            </wp:positionV>
            <wp:extent cx="9398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15430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 w:name="page5"/>
    <w:bookmarkEnd w:id="4"/>
    <w:p>
      <w:pPr>
        <w:ind w:left="4560"/>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Net Assets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r>
        <w:rPr>
          <w:rFonts w:ascii="Times New Roman" w:cs="Times New Roman" w:eastAsia="Times New Roman" w:hAnsi="Times New Roman"/>
          <w:sz w:val="17"/>
          <w:szCs w:val="17"/>
          <w:b w:val="1"/>
          <w:bCs w:val="1"/>
          <w:color w:val="auto"/>
        </w:rPr>
        <w: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180" w:type="dxa"/>
            <w:vAlign w:val="bottom"/>
            <w:tcBorders>
              <w:bottom w:val="single" w:sz="8" w:color="auto"/>
            </w:tcBorders>
            <w:gridSpan w:val="3"/>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3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8"/>
              <w:spacing w:after="0" w:line="13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88"/>
              <w:spacing w:after="0" w:line="139" w:lineRule="exact"/>
              <w:rPr>
                <w:sz w:val="20"/>
                <w:szCs w:val="20"/>
                <w:color w:val="auto"/>
              </w:rPr>
            </w:pPr>
            <w:r>
              <w:rPr>
                <w:rFonts w:ascii="Times New Roman" w:cs="Times New Roman" w:eastAsia="Times New Roman" w:hAnsi="Times New Roman"/>
                <w:sz w:val="14"/>
                <w:szCs w:val="14"/>
                <w:b w:val="1"/>
                <w:bCs w:val="1"/>
                <w:color w:val="auto"/>
              </w:rPr>
              <w:t>Distributable</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9"/>
        </w:trPr>
        <w:tc>
          <w:tcPr>
            <w:tcW w:w="20" w:type="dxa"/>
            <w:vAlign w:val="bottom"/>
          </w:tcPr>
          <w:p>
            <w:pPr>
              <w:spacing w:after="0"/>
              <w:rPr>
                <w:sz w:val="17"/>
                <w:szCs w:val="17"/>
                <w:color w:val="auto"/>
              </w:rPr>
            </w:pPr>
          </w:p>
        </w:tc>
        <w:tc>
          <w:tcPr>
            <w:tcW w:w="3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2022 and 2021</w:t>
            </w:r>
          </w:p>
        </w:tc>
        <w:tc>
          <w:tcPr>
            <w:tcW w:w="150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8"/>
              <w:spacing w:after="0" w:line="193" w:lineRule="exact"/>
              <w:rPr>
                <w:sz w:val="20"/>
                <w:szCs w:val="20"/>
                <w:color w:val="auto"/>
              </w:rPr>
            </w:pPr>
            <w:r>
              <w:rPr>
                <w:rFonts w:ascii="Times New Roman" w:cs="Times New Roman" w:eastAsia="Times New Roman" w:hAnsi="Times New Roman"/>
                <w:sz w:val="14"/>
                <w:szCs w:val="14"/>
                <w:b w:val="1"/>
                <w:bCs w:val="1"/>
                <w:color w:val="auto"/>
                <w:w w:val="95"/>
              </w:rPr>
              <w:t xml:space="preserve">Capital </w:t>
            </w:r>
            <w:r>
              <w:rPr>
                <w:rFonts w:ascii="Times New Roman" w:cs="Times New Roman" w:eastAsia="Times New Roman" w:hAnsi="Times New Roman"/>
                <w:sz w:val="19"/>
                <w:szCs w:val="19"/>
                <w:b w:val="1"/>
                <w:bCs w:val="1"/>
                <w:color w:val="auto"/>
                <w:w w:val="95"/>
                <w:vertAlign w:val="superscript"/>
              </w:rPr>
              <w:t>(1)</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r>
      <w:tr>
        <w:trPr>
          <w:trHeight w:val="176"/>
        </w:trPr>
        <w:tc>
          <w:tcPr>
            <w:tcW w:w="47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March 31, 2022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2,711,068</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27</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188,846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(82,702</w:t>
            </w:r>
          </w:p>
        </w:tc>
        <w:tc>
          <w:tcPr>
            <w:tcW w:w="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106,171</w:t>
            </w:r>
          </w:p>
        </w:tc>
        <w:tc>
          <w:tcPr>
            <w:tcW w:w="10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47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Net investment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(929 )</w:t>
            </w:r>
          </w:p>
        </w:tc>
        <w:tc>
          <w:tcPr>
            <w:tcW w:w="24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(929 )</w:t>
            </w:r>
          </w:p>
        </w:tc>
      </w:tr>
      <w:tr>
        <w:trPr>
          <w:trHeight w:val="176"/>
        </w:trPr>
        <w:tc>
          <w:tcPr>
            <w:tcW w:w="20" w:type="dxa"/>
            <w:vAlign w:val="bottom"/>
            <w:shd w:val="clear" w:color="auto" w:fill="CFF0FC"/>
          </w:tcPr>
          <w:p>
            <w:pPr>
              <w:spacing w:after="0"/>
              <w:rPr>
                <w:sz w:val="15"/>
                <w:szCs w:val="15"/>
                <w:color w:val="auto"/>
              </w:rPr>
            </w:pPr>
          </w:p>
        </w:tc>
        <w:tc>
          <w:tcPr>
            <w:tcW w:w="47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Net realized gain on investments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15,503</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15,503</w:t>
            </w:r>
          </w:p>
        </w:tc>
        <w:tc>
          <w:tcPr>
            <w:tcW w:w="10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47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Net change in unrealized depreciation on investments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(19,608 )</w:t>
            </w:r>
          </w:p>
        </w:tc>
        <w:tc>
          <w:tcPr>
            <w:tcW w:w="24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(19,608 )</w:t>
            </w:r>
          </w:p>
        </w:tc>
      </w:tr>
      <w:tr>
        <w:trPr>
          <w:trHeight w:val="209"/>
        </w:trPr>
        <w:tc>
          <w:tcPr>
            <w:tcW w:w="4780" w:type="dxa"/>
            <w:vAlign w:val="bottom"/>
            <w:tcBorders>
              <w:top w:val="single" w:sz="8" w:color="CFF0FC"/>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June 30, 2022</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2,711,068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27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188,846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(87,736</w:t>
            </w:r>
          </w:p>
        </w:tc>
        <w:tc>
          <w:tcPr>
            <w:tcW w:w="220" w:type="dxa"/>
            <w:vAlign w:val="bottom"/>
            <w:tcBorders>
              <w:top w:val="single" w:sz="8" w:color="CFF0FC"/>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101,137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332"/>
        </w:trPr>
        <w:tc>
          <w:tcPr>
            <w:tcW w:w="47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BALANCE, March 31, 2021</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2,711,068</w:t>
            </w:r>
          </w:p>
        </w:tc>
        <w:tc>
          <w:tcPr>
            <w:tcW w:w="110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229,481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(108,207 )</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121,301</w:t>
            </w:r>
          </w:p>
        </w:tc>
        <w:tc>
          <w:tcPr>
            <w:tcW w:w="100" w:type="dxa"/>
            <w:vAlign w:val="bottom"/>
          </w:tcPr>
          <w:p>
            <w:pPr>
              <w:spacing w:after="0"/>
              <w:rPr>
                <w:sz w:val="24"/>
                <w:szCs w:val="24"/>
                <w:color w:val="auto"/>
              </w:rPr>
            </w:pPr>
          </w:p>
        </w:tc>
      </w:tr>
      <w:tr>
        <w:trPr>
          <w:trHeight w:val="176"/>
        </w:trPr>
        <w:tc>
          <w:tcPr>
            <w:tcW w:w="20" w:type="dxa"/>
            <w:vAlign w:val="bottom"/>
            <w:shd w:val="clear" w:color="auto" w:fill="CFF0FC"/>
          </w:tcPr>
          <w:p>
            <w:pPr>
              <w:spacing w:after="0"/>
              <w:rPr>
                <w:sz w:val="15"/>
                <w:szCs w:val="15"/>
                <w:color w:val="auto"/>
              </w:rPr>
            </w:pPr>
          </w:p>
        </w:tc>
        <w:tc>
          <w:tcPr>
            <w:tcW w:w="47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Net investment income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47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Net realized gain on investments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6,947</w:t>
            </w:r>
          </w:p>
        </w:tc>
        <w:tc>
          <w:tcPr>
            <w:tcW w:w="100" w:type="dxa"/>
            <w:vAlign w:val="bottom"/>
          </w:tcPr>
          <w:p>
            <w:pPr>
              <w:spacing w:after="0"/>
              <w:rPr>
                <w:sz w:val="15"/>
                <w:szCs w:val="15"/>
                <w:color w:val="auto"/>
              </w:rPr>
            </w:pPr>
          </w:p>
        </w:tc>
      </w:tr>
      <w:tr>
        <w:trPr>
          <w:trHeight w:val="176"/>
        </w:trPr>
        <w:tc>
          <w:tcPr>
            <w:tcW w:w="20" w:type="dxa"/>
            <w:vAlign w:val="bottom"/>
            <w:shd w:val="clear" w:color="auto" w:fill="CFF0FC"/>
          </w:tcPr>
          <w:p>
            <w:pPr>
              <w:spacing w:after="0"/>
              <w:rPr>
                <w:sz w:val="15"/>
                <w:szCs w:val="15"/>
                <w:color w:val="auto"/>
              </w:rPr>
            </w:pPr>
          </w:p>
        </w:tc>
        <w:tc>
          <w:tcPr>
            <w:tcW w:w="47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Net change in unrealized depreciation on investments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(13,720 )</w:t>
            </w:r>
          </w:p>
        </w:tc>
        <w:tc>
          <w:tcPr>
            <w:tcW w:w="2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(13,720 )</w:t>
            </w:r>
          </w:p>
        </w:tc>
      </w:tr>
      <w:tr>
        <w:trPr>
          <w:trHeight w:val="175"/>
        </w:trPr>
        <w:tc>
          <w:tcPr>
            <w:tcW w:w="20" w:type="dxa"/>
            <w:vAlign w:val="bottom"/>
          </w:tcPr>
          <w:p>
            <w:pPr>
              <w:spacing w:after="0"/>
              <w:rPr>
                <w:sz w:val="15"/>
                <w:szCs w:val="15"/>
                <w:color w:val="auto"/>
              </w:rPr>
            </w:pPr>
          </w:p>
        </w:tc>
        <w:tc>
          <w:tcPr>
            <w:tcW w:w="47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Net realized loss on extinguishment of debt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(815 )</w:t>
            </w:r>
          </w:p>
        </w:tc>
        <w:tc>
          <w:tcPr>
            <w:tcW w:w="24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(815 )</w:t>
            </w:r>
          </w:p>
        </w:tc>
      </w:tr>
      <w:tr>
        <w:trPr>
          <w:trHeight w:val="209"/>
        </w:trPr>
        <w:tc>
          <w:tcPr>
            <w:tcW w:w="4780" w:type="dxa"/>
            <w:vAlign w:val="bottom"/>
            <w:tcBorders>
              <w:top w:val="single" w:sz="8" w:color="CFF0FC"/>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June 30, 2021</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2,711,068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27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229,481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(115,761</w:t>
            </w:r>
          </w:p>
        </w:tc>
        <w:tc>
          <w:tcPr>
            <w:tcW w:w="220" w:type="dxa"/>
            <w:vAlign w:val="bottom"/>
            <w:tcBorders>
              <w:top w:val="single" w:sz="8" w:color="CFF0FC"/>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113,747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561"/>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Borders>
              <w:bottom w:val="single" w:sz="8" w:color="auto"/>
            </w:tcBorders>
            <w:gridSpan w:val="3"/>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8"/>
              <w:spacing w:after="0" w:line="13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88"/>
              <w:spacing w:after="0" w:line="139" w:lineRule="exact"/>
              <w:rPr>
                <w:sz w:val="20"/>
                <w:szCs w:val="20"/>
                <w:color w:val="auto"/>
              </w:rPr>
            </w:pPr>
            <w:r>
              <w:rPr>
                <w:rFonts w:ascii="Times New Roman" w:cs="Times New Roman" w:eastAsia="Times New Roman" w:hAnsi="Times New Roman"/>
                <w:sz w:val="14"/>
                <w:szCs w:val="14"/>
                <w:b w:val="1"/>
                <w:bCs w:val="1"/>
                <w:color w:val="auto"/>
              </w:rPr>
              <w:t>Distributable</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9"/>
        </w:trPr>
        <w:tc>
          <w:tcPr>
            <w:tcW w:w="20" w:type="dxa"/>
            <w:vAlign w:val="bottom"/>
          </w:tcPr>
          <w:p>
            <w:pPr>
              <w:spacing w:after="0"/>
              <w:rPr>
                <w:sz w:val="17"/>
                <w:szCs w:val="17"/>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2022 and 2021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88"/>
              <w:spacing w:after="0" w:line="193" w:lineRule="exact"/>
              <w:rPr>
                <w:sz w:val="20"/>
                <w:szCs w:val="20"/>
                <w:color w:val="auto"/>
              </w:rPr>
            </w:pPr>
            <w:r>
              <w:rPr>
                <w:rFonts w:ascii="Times New Roman" w:cs="Times New Roman" w:eastAsia="Times New Roman" w:hAnsi="Times New Roman"/>
                <w:sz w:val="14"/>
                <w:szCs w:val="14"/>
                <w:b w:val="1"/>
                <w:bCs w:val="1"/>
                <w:color w:val="auto"/>
                <w:w w:val="95"/>
              </w:rPr>
              <w:t xml:space="preserve">Capital </w:t>
            </w:r>
            <w:r>
              <w:rPr>
                <w:rFonts w:ascii="Times New Roman" w:cs="Times New Roman" w:eastAsia="Times New Roman" w:hAnsi="Times New Roman"/>
                <w:sz w:val="19"/>
                <w:szCs w:val="19"/>
                <w:b w:val="1"/>
                <w:bCs w:val="1"/>
                <w:color w:val="auto"/>
                <w:w w:val="95"/>
                <w:vertAlign w:val="superscript"/>
              </w:rPr>
              <w:t>(1)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7"/>
                <w:szCs w:val="17"/>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5"/>
        </w:trPr>
        <w:tc>
          <w:tcPr>
            <w:tcW w:w="20" w:type="dxa"/>
            <w:vAlign w:val="bottom"/>
            <w:shd w:val="clear" w:color="auto" w:fill="CFF0FC"/>
          </w:tcPr>
          <w:p>
            <w:pPr>
              <w:spacing w:after="0"/>
              <w:rPr>
                <w:sz w:val="15"/>
                <w:szCs w:val="15"/>
                <w:color w:val="auto"/>
              </w:rPr>
            </w:pPr>
          </w:p>
        </w:tc>
        <w:tc>
          <w:tcPr>
            <w:tcW w:w="30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December 31, 2021</w:t>
            </w:r>
          </w:p>
        </w:tc>
        <w:tc>
          <w:tcPr>
            <w:tcW w:w="1680" w:type="dxa"/>
            <w:vAlign w:val="bottom"/>
            <w:gridSpan w:val="2"/>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2,711,068</w:t>
            </w:r>
          </w:p>
        </w:tc>
        <w:tc>
          <w:tcPr>
            <w:tcW w:w="240" w:type="dxa"/>
            <w:vAlign w:val="bottom"/>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27</w:t>
            </w:r>
          </w:p>
        </w:tc>
        <w:tc>
          <w:tcPr>
            <w:tcW w:w="2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188,846</w:t>
            </w: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(81,844</w:t>
            </w:r>
          </w:p>
        </w:tc>
        <w:tc>
          <w:tcPr>
            <w:tcW w:w="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107,029</w:t>
            </w:r>
          </w:p>
        </w:tc>
        <w:tc>
          <w:tcPr>
            <w:tcW w:w="10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7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Net investment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(1,979 )</w:t>
            </w:r>
          </w:p>
        </w:tc>
        <w:tc>
          <w:tcPr>
            <w:tcW w:w="24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(1,979 )</w:t>
            </w:r>
          </w:p>
        </w:tc>
      </w:tr>
      <w:tr>
        <w:trPr>
          <w:trHeight w:val="176"/>
        </w:trPr>
        <w:tc>
          <w:tcPr>
            <w:tcW w:w="20" w:type="dxa"/>
            <w:vAlign w:val="bottom"/>
            <w:shd w:val="clear" w:color="auto" w:fill="CFF0FC"/>
          </w:tcPr>
          <w:p>
            <w:pPr>
              <w:spacing w:after="0"/>
              <w:rPr>
                <w:sz w:val="15"/>
                <w:szCs w:val="15"/>
                <w:color w:val="auto"/>
              </w:rPr>
            </w:pPr>
          </w:p>
        </w:tc>
        <w:tc>
          <w:tcPr>
            <w:tcW w:w="47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Net realized gain on investments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15,466</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15,466</w:t>
            </w:r>
          </w:p>
        </w:tc>
        <w:tc>
          <w:tcPr>
            <w:tcW w:w="10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47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Net change in unrealized depreciation on investments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(19,379 )</w:t>
            </w:r>
          </w:p>
        </w:tc>
        <w:tc>
          <w:tcPr>
            <w:tcW w:w="24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(19,379 )</w:t>
            </w:r>
          </w:p>
        </w:tc>
      </w:tr>
      <w:tr>
        <w:trPr>
          <w:trHeight w:val="209"/>
        </w:trPr>
        <w:tc>
          <w:tcPr>
            <w:tcW w:w="4780" w:type="dxa"/>
            <w:vAlign w:val="bottom"/>
            <w:tcBorders>
              <w:top w:val="single" w:sz="8" w:color="CFF0FC"/>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June 30, 2022</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2,711,068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27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188,846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(87,736</w:t>
            </w:r>
          </w:p>
        </w:tc>
        <w:tc>
          <w:tcPr>
            <w:tcW w:w="220" w:type="dxa"/>
            <w:vAlign w:val="bottom"/>
            <w:tcBorders>
              <w:top w:val="single" w:sz="8" w:color="CFF0FC"/>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101,137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122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47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December 31, 2020</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2,711,068</w:t>
            </w:r>
          </w:p>
        </w:tc>
        <w:tc>
          <w:tcPr>
            <w:tcW w:w="110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27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229,481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(120,561 )</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108,947</w:t>
            </w:r>
          </w:p>
        </w:tc>
        <w:tc>
          <w:tcPr>
            <w:tcW w:w="10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47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Net investment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(749 )</w:t>
            </w:r>
          </w:p>
        </w:tc>
        <w:tc>
          <w:tcPr>
            <w:tcW w:w="24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(749 )</w:t>
            </w:r>
          </w:p>
        </w:tc>
      </w:tr>
      <w:tr>
        <w:trPr>
          <w:trHeight w:val="176"/>
        </w:trPr>
        <w:tc>
          <w:tcPr>
            <w:tcW w:w="20" w:type="dxa"/>
            <w:vAlign w:val="bottom"/>
            <w:shd w:val="clear" w:color="auto" w:fill="CFF0FC"/>
          </w:tcPr>
          <w:p>
            <w:pPr>
              <w:spacing w:after="0"/>
              <w:rPr>
                <w:sz w:val="15"/>
                <w:szCs w:val="15"/>
                <w:color w:val="auto"/>
              </w:rPr>
            </w:pPr>
          </w:p>
        </w:tc>
        <w:tc>
          <w:tcPr>
            <w:tcW w:w="47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Net realized loss on investments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(7,076 )</w:t>
            </w:r>
          </w:p>
        </w:tc>
        <w:tc>
          <w:tcPr>
            <w:tcW w:w="2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(7,076 )</w:t>
            </w:r>
          </w:p>
        </w:tc>
      </w:tr>
      <w:tr>
        <w:trPr>
          <w:trHeight w:val="175"/>
        </w:trPr>
        <w:tc>
          <w:tcPr>
            <w:tcW w:w="20" w:type="dxa"/>
            <w:vAlign w:val="bottom"/>
          </w:tcPr>
          <w:p>
            <w:pPr>
              <w:spacing w:after="0"/>
              <w:rPr>
                <w:sz w:val="15"/>
                <w:szCs w:val="15"/>
                <w:color w:val="auto"/>
              </w:rPr>
            </w:pPr>
          </w:p>
        </w:tc>
        <w:tc>
          <w:tcPr>
            <w:tcW w:w="47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Net change in unrealized appreciation on investments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13,440</w:t>
            </w:r>
          </w:p>
        </w:tc>
        <w:tc>
          <w:tcPr>
            <w:tcW w:w="100" w:type="dxa"/>
            <w:vAlign w:val="bottom"/>
          </w:tcPr>
          <w:p>
            <w:pPr>
              <w:spacing w:after="0"/>
              <w:rPr>
                <w:sz w:val="15"/>
                <w:szCs w:val="15"/>
                <w:color w:val="auto"/>
              </w:rPr>
            </w:pPr>
          </w:p>
        </w:tc>
      </w:tr>
      <w:tr>
        <w:trPr>
          <w:trHeight w:val="175"/>
        </w:trPr>
        <w:tc>
          <w:tcPr>
            <w:tcW w:w="20" w:type="dxa"/>
            <w:vAlign w:val="bottom"/>
            <w:shd w:val="clear" w:color="auto" w:fill="CFF0FC"/>
          </w:tcPr>
          <w:p>
            <w:pPr>
              <w:spacing w:after="0"/>
              <w:rPr>
                <w:sz w:val="15"/>
                <w:szCs w:val="15"/>
                <w:color w:val="auto"/>
              </w:rPr>
            </w:pPr>
          </w:p>
        </w:tc>
        <w:tc>
          <w:tcPr>
            <w:tcW w:w="47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Net realized loss on extinguishment of debt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(815 )</w:t>
            </w:r>
          </w:p>
        </w:tc>
        <w:tc>
          <w:tcPr>
            <w:tcW w:w="2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(815 )</w:t>
            </w:r>
          </w:p>
        </w:tc>
      </w:tr>
      <w:tr>
        <w:trPr>
          <w:trHeight w:val="169"/>
        </w:trPr>
        <w:tc>
          <w:tcPr>
            <w:tcW w:w="47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BALANCE, June 30, 2021</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2,711,068</w:t>
            </w:r>
          </w:p>
        </w:tc>
        <w:tc>
          <w:tcPr>
            <w:tcW w:w="2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27</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229,481</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(115,761</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113,747</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-2974340</wp:posOffset>
            </wp:positionV>
            <wp:extent cx="3420110" cy="3689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0110" cy="36893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-2039620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-2022475</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-2159635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-2039620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-2022475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-2159635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-2039620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-2022475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-2159635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-2039620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-2022475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-2159635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-959485</wp:posOffset>
            </wp:positionV>
            <wp:extent cx="3420110" cy="2571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0110" cy="25717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3800" w:type="dxa"/>
            <w:vAlign w:val="bottom"/>
            <w:tcBorders>
              <w:bottom w:val="single" w:sz="8" w:color="auto"/>
            </w:tcBorders>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14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4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(decrease) increase in net assets resulting from operations</w:t>
            </w:r>
          </w:p>
        </w:tc>
        <w:tc>
          <w:tcPr>
            <w:tcW w:w="1420" w:type="dxa"/>
            <w:vAlign w:val="bottom"/>
          </w:tcPr>
          <w:p>
            <w:pPr>
              <w:jc w:val="right"/>
              <w:ind w:right="1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(5,892 )</w:t>
            </w:r>
          </w:p>
        </w:tc>
        <w:tc>
          <w:tcPr>
            <w:tcW w:w="1420" w:type="dxa"/>
            <w:vAlign w:val="bottom"/>
          </w:tcPr>
          <w:p>
            <w:pPr>
              <w:jc w:val="right"/>
              <w:ind w:right="12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w:t>
            </w:r>
          </w:p>
        </w:tc>
        <w:tc>
          <w:tcPr>
            <w:tcW w:w="100" w:type="dxa"/>
            <w:vAlign w:val="bottom"/>
          </w:tcPr>
          <w:p>
            <w:pPr>
              <w:spacing w:after="0"/>
              <w:rPr>
                <w:sz w:val="15"/>
                <w:szCs w:val="15"/>
                <w:color w:val="auto"/>
              </w:rPr>
            </w:pPr>
          </w:p>
        </w:tc>
      </w:tr>
      <w:tr>
        <w:trPr>
          <w:trHeight w:val="139"/>
        </w:trPr>
        <w:tc>
          <w:tcPr>
            <w:tcW w:w="6640" w:type="dxa"/>
            <w:vAlign w:val="bottom"/>
            <w:shd w:val="clear" w:color="auto" w:fill="CFF0FC"/>
          </w:tcPr>
          <w:p>
            <w:pPr>
              <w:ind w:left="120"/>
              <w:spacing w:after="0" w:line="139" w:lineRule="exact"/>
              <w:rPr>
                <w:sz w:val="20"/>
                <w:szCs w:val="20"/>
                <w:color w:val="auto"/>
              </w:rPr>
            </w:pPr>
            <w:r>
              <w:rPr>
                <w:rFonts w:ascii="Times New Roman" w:cs="Times New Roman" w:eastAsia="Times New Roman" w:hAnsi="Times New Roman"/>
                <w:sz w:val="14"/>
                <w:szCs w:val="14"/>
                <w:color w:val="auto"/>
              </w:rPr>
              <w:t>Adjustments to reconcile net (decrease) increase in net assets resulting from operations to net cash provided</w:t>
            </w:r>
          </w:p>
        </w:tc>
        <w:tc>
          <w:tcPr>
            <w:tcW w:w="14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5"/>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by operating activities:</w:t>
            </w:r>
          </w:p>
        </w:tc>
        <w:tc>
          <w:tcPr>
            <w:tcW w:w="14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75"/>
        </w:trPr>
        <w:tc>
          <w:tcPr>
            <w:tcW w:w="6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 of investments</w:t>
            </w:r>
          </w:p>
        </w:tc>
        <w:tc>
          <w:tcPr>
            <w:tcW w:w="1420" w:type="dxa"/>
            <w:vAlign w:val="bottom"/>
          </w:tcPr>
          <w:p>
            <w:pPr>
              <w:spacing w:after="0"/>
              <w:rPr>
                <w:sz w:val="15"/>
                <w:szCs w:val="15"/>
                <w:color w:val="auto"/>
              </w:rPr>
            </w:pPr>
          </w:p>
        </w:tc>
        <w:tc>
          <w:tcPr>
            <w:tcW w:w="9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(47,075 )</w:t>
            </w:r>
          </w:p>
        </w:tc>
        <w:tc>
          <w:tcPr>
            <w:tcW w:w="14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(10,000 )</w:t>
            </w:r>
          </w:p>
        </w:tc>
      </w:tr>
      <w:tr>
        <w:trPr>
          <w:trHeight w:val="17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Repayments and sales of investments</w:t>
            </w:r>
          </w:p>
        </w:tc>
        <w:tc>
          <w:tcPr>
            <w:tcW w:w="14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66,669</w:t>
            </w:r>
          </w:p>
        </w:tc>
        <w:tc>
          <w:tcPr>
            <w:tcW w:w="3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63,444</w:t>
            </w:r>
          </w:p>
        </w:tc>
        <w:tc>
          <w:tcPr>
            <w:tcW w:w="100" w:type="dxa"/>
            <w:vAlign w:val="bottom"/>
            <w:shd w:val="clear" w:color="auto" w:fill="CFF0FC"/>
          </w:tcPr>
          <w:p>
            <w:pPr>
              <w:spacing w:after="0"/>
              <w:rPr>
                <w:sz w:val="15"/>
                <w:szCs w:val="15"/>
                <w:color w:val="auto"/>
              </w:rPr>
            </w:pPr>
          </w:p>
        </w:tc>
      </w:tr>
      <w:tr>
        <w:trPr>
          <w:trHeight w:val="176"/>
        </w:trPr>
        <w:tc>
          <w:tcPr>
            <w:tcW w:w="6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1420" w:type="dxa"/>
            <w:vAlign w:val="bottom"/>
          </w:tcPr>
          <w:p>
            <w:pPr>
              <w:spacing w:after="0"/>
              <w:rPr>
                <w:sz w:val="15"/>
                <w:szCs w:val="15"/>
                <w:color w:val="auto"/>
              </w:rPr>
            </w:pPr>
          </w:p>
        </w:tc>
        <w:tc>
          <w:tcPr>
            <w:tcW w:w="9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(15,466 )</w:t>
            </w:r>
          </w:p>
        </w:tc>
        <w:tc>
          <w:tcPr>
            <w:tcW w:w="1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7,076</w:t>
            </w:r>
          </w:p>
        </w:tc>
        <w:tc>
          <w:tcPr>
            <w:tcW w:w="100" w:type="dxa"/>
            <w:vAlign w:val="bottom"/>
          </w:tcPr>
          <w:p>
            <w:pPr>
              <w:spacing w:after="0"/>
              <w:rPr>
                <w:sz w:val="15"/>
                <w:szCs w:val="15"/>
                <w:color w:val="auto"/>
              </w:rPr>
            </w:pPr>
          </w:p>
        </w:tc>
      </w:tr>
      <w:tr>
        <w:trPr>
          <w:trHeight w:val="175"/>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change in unrealized depreciation (appreciation) on investments</w:t>
            </w:r>
          </w:p>
        </w:tc>
        <w:tc>
          <w:tcPr>
            <w:tcW w:w="14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19,379</w:t>
            </w:r>
          </w:p>
        </w:tc>
        <w:tc>
          <w:tcPr>
            <w:tcW w:w="3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(13,440 )</w:t>
            </w:r>
          </w:p>
        </w:tc>
      </w:tr>
      <w:tr>
        <w:trPr>
          <w:trHeight w:val="176"/>
        </w:trPr>
        <w:tc>
          <w:tcPr>
            <w:tcW w:w="6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realized loss on extinguishment of debt</w:t>
            </w:r>
          </w:p>
        </w:tc>
        <w:tc>
          <w:tcPr>
            <w:tcW w:w="1420" w:type="dxa"/>
            <w:vAlign w:val="bottom"/>
          </w:tcPr>
          <w:p>
            <w:pPr>
              <w:spacing w:after="0"/>
              <w:rPr>
                <w:sz w:val="15"/>
                <w:szCs w:val="15"/>
                <w:color w:val="auto"/>
              </w:rPr>
            </w:pPr>
          </w:p>
        </w:tc>
        <w:tc>
          <w:tcPr>
            <w:tcW w:w="96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tcPr>
          <w:p>
            <w:pPr>
              <w:spacing w:after="0"/>
              <w:rPr>
                <w:sz w:val="15"/>
                <w:szCs w:val="15"/>
                <w:color w:val="auto"/>
              </w:rPr>
            </w:pPr>
          </w:p>
        </w:tc>
      </w:tr>
      <w:tr>
        <w:trPr>
          <w:trHeight w:val="175"/>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Payment-in-kind interest and dividends</w:t>
            </w:r>
          </w:p>
        </w:tc>
        <w:tc>
          <w:tcPr>
            <w:tcW w:w="14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(440 )</w:t>
            </w:r>
          </w:p>
        </w:tc>
        <w:tc>
          <w:tcPr>
            <w:tcW w:w="14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(293 )</w:t>
            </w:r>
          </w:p>
        </w:tc>
      </w:tr>
      <w:tr>
        <w:trPr>
          <w:trHeight w:val="176"/>
        </w:trPr>
        <w:tc>
          <w:tcPr>
            <w:tcW w:w="6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Accretion of original issue discount on investments</w:t>
            </w:r>
          </w:p>
        </w:tc>
        <w:tc>
          <w:tcPr>
            <w:tcW w:w="1420" w:type="dxa"/>
            <w:vAlign w:val="bottom"/>
          </w:tcPr>
          <w:p>
            <w:pPr>
              <w:spacing w:after="0"/>
              <w:rPr>
                <w:sz w:val="15"/>
                <w:szCs w:val="15"/>
                <w:color w:val="auto"/>
              </w:rPr>
            </w:pPr>
          </w:p>
        </w:tc>
        <w:tc>
          <w:tcPr>
            <w:tcW w:w="9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(731 )</w:t>
            </w:r>
          </w:p>
        </w:tc>
        <w:tc>
          <w:tcPr>
            <w:tcW w:w="14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(143 )</w:t>
            </w:r>
          </w:p>
        </w:tc>
      </w:tr>
      <w:tr>
        <w:trPr>
          <w:trHeight w:val="17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Amortization of deferred financing fees and original issue discount</w:t>
            </w:r>
          </w:p>
        </w:tc>
        <w:tc>
          <w:tcPr>
            <w:tcW w:w="14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3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shd w:val="clear" w:color="auto" w:fill="CFF0FC"/>
          </w:tcPr>
          <w:p>
            <w:pPr>
              <w:spacing w:after="0"/>
              <w:rPr>
                <w:sz w:val="15"/>
                <w:szCs w:val="15"/>
                <w:color w:val="auto"/>
              </w:rPr>
            </w:pPr>
          </w:p>
        </w:tc>
      </w:tr>
      <w:tr>
        <w:trPr>
          <w:trHeight w:val="175"/>
        </w:trPr>
        <w:tc>
          <w:tcPr>
            <w:tcW w:w="6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1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Interest and dividend receivable</w:t>
            </w:r>
          </w:p>
        </w:tc>
        <w:tc>
          <w:tcPr>
            <w:tcW w:w="14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(95 )</w:t>
            </w:r>
          </w:p>
        </w:tc>
        <w:tc>
          <w:tcPr>
            <w:tcW w:w="14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shd w:val="clear" w:color="auto" w:fill="CFF0FC"/>
          </w:tcPr>
          <w:p>
            <w:pPr>
              <w:spacing w:after="0"/>
              <w:rPr>
                <w:sz w:val="15"/>
                <w:szCs w:val="15"/>
                <w:color w:val="auto"/>
              </w:rPr>
            </w:pPr>
          </w:p>
        </w:tc>
      </w:tr>
      <w:tr>
        <w:trPr>
          <w:trHeight w:val="175"/>
        </w:trPr>
        <w:tc>
          <w:tcPr>
            <w:tcW w:w="6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Prepaid expenses</w:t>
            </w:r>
          </w:p>
        </w:tc>
        <w:tc>
          <w:tcPr>
            <w:tcW w:w="1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tcPr>
          <w:p>
            <w:pPr>
              <w:spacing w:after="0"/>
              <w:rPr>
                <w:sz w:val="15"/>
                <w:szCs w:val="15"/>
                <w:color w:val="auto"/>
              </w:rPr>
            </w:pPr>
          </w:p>
        </w:tc>
      </w:tr>
      <w:tr>
        <w:trPr>
          <w:trHeight w:val="176"/>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Receivable for unsettled trades</w:t>
            </w:r>
          </w:p>
        </w:tc>
        <w:tc>
          <w:tcPr>
            <w:tcW w:w="14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3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(7,234 )</w:t>
            </w:r>
          </w:p>
        </w:tc>
      </w:tr>
      <w:tr>
        <w:trPr>
          <w:trHeight w:val="175"/>
        </w:trPr>
        <w:tc>
          <w:tcPr>
            <w:tcW w:w="6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Other assets</w:t>
            </w:r>
          </w:p>
        </w:tc>
        <w:tc>
          <w:tcPr>
            <w:tcW w:w="1420" w:type="dxa"/>
            <w:vAlign w:val="bottom"/>
          </w:tcPr>
          <w:p>
            <w:pPr>
              <w:spacing w:after="0"/>
              <w:rPr>
                <w:sz w:val="15"/>
                <w:szCs w:val="15"/>
                <w:color w:val="auto"/>
              </w:rPr>
            </w:pPr>
          </w:p>
        </w:tc>
        <w:tc>
          <w:tcPr>
            <w:tcW w:w="9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(2,951 )</w:t>
            </w:r>
          </w:p>
        </w:tc>
        <w:tc>
          <w:tcPr>
            <w:tcW w:w="1420" w:type="dxa"/>
            <w:vAlign w:val="bottom"/>
          </w:tcPr>
          <w:p>
            <w:pPr>
              <w:spacing w:after="0"/>
              <w:rPr>
                <w:sz w:val="15"/>
                <w:szCs w:val="15"/>
                <w:color w:val="auto"/>
              </w:rPr>
            </w:pP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Management and incentive fees payable</w:t>
            </w:r>
          </w:p>
        </w:tc>
        <w:tc>
          <w:tcPr>
            <w:tcW w:w="14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(92 )</w:t>
            </w:r>
          </w:p>
        </w:tc>
        <w:tc>
          <w:tcPr>
            <w:tcW w:w="14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(3,772 )</w:t>
            </w:r>
          </w:p>
        </w:tc>
      </w:tr>
      <w:tr>
        <w:trPr>
          <w:trHeight w:val="176"/>
        </w:trPr>
        <w:tc>
          <w:tcPr>
            <w:tcW w:w="6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Interest and financing fees payable</w:t>
            </w:r>
          </w:p>
        </w:tc>
        <w:tc>
          <w:tcPr>
            <w:tcW w:w="1420" w:type="dxa"/>
            <w:vAlign w:val="bottom"/>
          </w:tcPr>
          <w:p>
            <w:pPr>
              <w:spacing w:after="0"/>
              <w:rPr>
                <w:sz w:val="15"/>
                <w:szCs w:val="15"/>
                <w:color w:val="auto"/>
              </w:rPr>
            </w:pPr>
          </w:p>
        </w:tc>
        <w:tc>
          <w:tcPr>
            <w:tcW w:w="9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(204 )</w:t>
            </w:r>
          </w:p>
        </w:tc>
        <w:tc>
          <w:tcPr>
            <w:tcW w:w="14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(910 )</w:t>
            </w:r>
          </w:p>
        </w:tc>
      </w:tr>
      <w:tr>
        <w:trPr>
          <w:trHeight w:val="175"/>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Payable for unsettled trades</w:t>
            </w:r>
          </w:p>
        </w:tc>
        <w:tc>
          <w:tcPr>
            <w:tcW w:w="14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(1,772 )</w:t>
            </w:r>
          </w:p>
        </w:tc>
        <w:tc>
          <w:tcPr>
            <w:tcW w:w="14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420" w:type="dxa"/>
            <w:vAlign w:val="bottom"/>
          </w:tcPr>
          <w:p>
            <w:pPr>
              <w:spacing w:after="0"/>
              <w:rPr>
                <w:sz w:val="15"/>
                <w:szCs w:val="15"/>
                <w:color w:val="auto"/>
              </w:rPr>
            </w:pPr>
          </w:p>
        </w:tc>
        <w:tc>
          <w:tcPr>
            <w:tcW w:w="9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(671 )</w:t>
            </w:r>
          </w:p>
        </w:tc>
        <w:tc>
          <w:tcPr>
            <w:tcW w:w="14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16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42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12,407</w:t>
            </w:r>
          </w:p>
        </w:tc>
        <w:tc>
          <w:tcPr>
            <w:tcW w:w="300" w:type="dxa"/>
            <w:vAlign w:val="bottom"/>
            <w:tcBorders>
              <w:bottom w:val="single" w:sz="8" w:color="CFF0FC"/>
            </w:tcBorders>
            <w:shd w:val="clear" w:color="auto" w:fill="CFF0FC"/>
          </w:tcPr>
          <w:p>
            <w:pPr>
              <w:spacing w:after="0"/>
              <w:rPr>
                <w:sz w:val="14"/>
                <w:szCs w:val="14"/>
                <w:color w:val="auto"/>
              </w:rPr>
            </w:pPr>
          </w:p>
        </w:tc>
        <w:tc>
          <w:tcPr>
            <w:tcW w:w="142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42,721</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Repayment of SBA-guaranteed debentures</w:t>
            </w:r>
          </w:p>
        </w:tc>
        <w:tc>
          <w:tcPr>
            <w:tcW w:w="14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(91,000 )</w:t>
            </w:r>
          </w:p>
        </w:tc>
      </w:tr>
      <w:tr>
        <w:trPr>
          <w:trHeight w:val="176"/>
        </w:trPr>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Prepayment penalty on SBA-guaranteed debentures</w:t>
            </w:r>
          </w:p>
        </w:tc>
        <w:tc>
          <w:tcPr>
            <w:tcW w:w="1420" w:type="dxa"/>
            <w:vAlign w:val="bottom"/>
          </w:tcPr>
          <w:p>
            <w:pPr>
              <w:spacing w:after="0"/>
              <w:rPr>
                <w:sz w:val="15"/>
                <w:szCs w:val="15"/>
                <w:color w:val="auto"/>
              </w:rPr>
            </w:pPr>
          </w:p>
        </w:tc>
        <w:tc>
          <w:tcPr>
            <w:tcW w:w="96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(519 )</w:t>
            </w:r>
          </w:p>
        </w:tc>
      </w:tr>
      <w:tr>
        <w:trPr>
          <w:trHeight w:val="175"/>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Proceeds from issuance of 2032 Convertible Notes</w:t>
            </w:r>
          </w:p>
        </w:tc>
        <w:tc>
          <w:tcPr>
            <w:tcW w:w="14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13,950</w:t>
            </w:r>
          </w:p>
        </w:tc>
        <w:tc>
          <w:tcPr>
            <w:tcW w:w="3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 of 2022 Notes</w:t>
            </w:r>
          </w:p>
        </w:tc>
        <w:tc>
          <w:tcPr>
            <w:tcW w:w="1420" w:type="dxa"/>
            <w:vAlign w:val="bottom"/>
          </w:tcPr>
          <w:p>
            <w:pPr>
              <w:spacing w:after="0"/>
              <w:rPr>
                <w:sz w:val="15"/>
                <w:szCs w:val="15"/>
                <w:color w:val="auto"/>
              </w:rPr>
            </w:pPr>
          </w:p>
        </w:tc>
        <w:tc>
          <w:tcPr>
            <w:tcW w:w="9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(22,833 )</w:t>
            </w:r>
          </w:p>
        </w:tc>
        <w:tc>
          <w:tcPr>
            <w:tcW w:w="1420" w:type="dxa"/>
            <w:vAlign w:val="bottom"/>
          </w:tcPr>
          <w:p>
            <w:pPr>
              <w:spacing w:after="0"/>
              <w:rPr>
                <w:sz w:val="15"/>
                <w:szCs w:val="15"/>
                <w:color w:val="auto"/>
              </w:rPr>
            </w:pP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Repayment of 2022 Convertible Notes</w:t>
            </w:r>
          </w:p>
        </w:tc>
        <w:tc>
          <w:tcPr>
            <w:tcW w:w="14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(52,088 )</w:t>
            </w:r>
          </w:p>
        </w:tc>
        <w:tc>
          <w:tcPr>
            <w:tcW w:w="14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Borrowings under KeyBank Credit Facility</w:t>
            </w:r>
          </w:p>
        </w:tc>
        <w:tc>
          <w:tcPr>
            <w:tcW w:w="1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49,096</w:t>
            </w: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5"/>
                <w:szCs w:val="15"/>
                <w:color w:val="auto"/>
              </w:rPr>
            </w:pPr>
          </w:p>
        </w:tc>
      </w:tr>
      <w:tr>
        <w:trPr>
          <w:trHeight w:val="175"/>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Repaymants under KeyBank Credit Facility</w:t>
            </w:r>
          </w:p>
        </w:tc>
        <w:tc>
          <w:tcPr>
            <w:tcW w:w="14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(8,500 )</w:t>
            </w:r>
          </w:p>
        </w:tc>
        <w:tc>
          <w:tcPr>
            <w:tcW w:w="14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financing fees paid</w:t>
            </w:r>
          </w:p>
        </w:tc>
        <w:tc>
          <w:tcPr>
            <w:tcW w:w="1420" w:type="dxa"/>
            <w:vAlign w:val="bottom"/>
          </w:tcPr>
          <w:p>
            <w:pPr>
              <w:spacing w:after="0"/>
              <w:rPr>
                <w:sz w:val="15"/>
                <w:szCs w:val="15"/>
                <w:color w:val="auto"/>
              </w:rPr>
            </w:pPr>
          </w:p>
        </w:tc>
        <w:tc>
          <w:tcPr>
            <w:tcW w:w="9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(1,599 )</w:t>
            </w:r>
          </w:p>
        </w:tc>
        <w:tc>
          <w:tcPr>
            <w:tcW w:w="1420" w:type="dxa"/>
            <w:vAlign w:val="bottom"/>
          </w:tcPr>
          <w:p>
            <w:pPr>
              <w:spacing w:after="0"/>
              <w:rPr>
                <w:sz w:val="15"/>
                <w:szCs w:val="15"/>
                <w:color w:val="auto"/>
              </w:rPr>
            </w:pP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42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(21,974</w:t>
            </w:r>
          </w:p>
        </w:tc>
        <w:tc>
          <w:tcPr>
            <w:tcW w:w="300" w:type="dxa"/>
            <w:vAlign w:val="bottom"/>
            <w:tcBorders>
              <w:bottom w:val="single" w:sz="8" w:color="CFF0FC"/>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(66,519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56"/>
        </w:trPr>
        <w:tc>
          <w:tcPr>
            <w:tcW w:w="664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NET DECREASE IN CASH AND CASH EQUIVALENTS</w:t>
            </w:r>
          </w:p>
        </w:tc>
        <w:tc>
          <w:tcPr>
            <w:tcW w:w="1420" w:type="dxa"/>
            <w:vAlign w:val="bottom"/>
          </w:tcPr>
          <w:p>
            <w:pPr>
              <w:spacing w:after="0"/>
              <w:rPr>
                <w:sz w:val="13"/>
                <w:szCs w:val="13"/>
                <w:color w:val="auto"/>
              </w:rPr>
            </w:pPr>
          </w:p>
        </w:tc>
        <w:tc>
          <w:tcPr>
            <w:tcW w:w="960" w:type="dxa"/>
            <w:vAlign w:val="bottom"/>
            <w:gridSpan w:val="2"/>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rPr>
              <w:t>(9,567 )</w:t>
            </w:r>
          </w:p>
        </w:tc>
        <w:tc>
          <w:tcPr>
            <w:tcW w:w="1420" w:type="dxa"/>
            <w:vAlign w:val="bottom"/>
          </w:tcPr>
          <w:p>
            <w:pPr>
              <w:spacing w:after="0"/>
              <w:rPr>
                <w:sz w:val="13"/>
                <w:szCs w:val="13"/>
                <w:color w:val="auto"/>
              </w:rPr>
            </w:pPr>
          </w:p>
        </w:tc>
        <w:tc>
          <w:tcPr>
            <w:tcW w:w="80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(23,798 )</w:t>
            </w:r>
          </w:p>
        </w:tc>
      </w:tr>
      <w:tr>
        <w:trPr>
          <w:trHeight w:val="175"/>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4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39,056</w:t>
            </w:r>
          </w:p>
        </w:tc>
        <w:tc>
          <w:tcPr>
            <w:tcW w:w="30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49,942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1420" w:type="dxa"/>
            <w:vAlign w:val="bottom"/>
            <w:tcBorders>
              <w:bottom w:val="single" w:sz="8" w:color="auto"/>
            </w:tcBorders>
          </w:tcPr>
          <w:p>
            <w:pPr>
              <w:jc w:val="right"/>
              <w:ind w:right="12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29,489</w:t>
            </w:r>
          </w:p>
        </w:tc>
        <w:tc>
          <w:tcPr>
            <w:tcW w:w="300" w:type="dxa"/>
            <w:vAlign w:val="bottom"/>
          </w:tcPr>
          <w:p>
            <w:pPr>
              <w:spacing w:after="0"/>
              <w:rPr>
                <w:sz w:val="14"/>
                <w:szCs w:val="14"/>
                <w:color w:val="auto"/>
              </w:rPr>
            </w:pPr>
          </w:p>
        </w:tc>
        <w:tc>
          <w:tcPr>
            <w:tcW w:w="1420" w:type="dxa"/>
            <w:vAlign w:val="bottom"/>
            <w:tcBorders>
              <w:bottom w:val="single" w:sz="8" w:color="auto"/>
            </w:tcBorders>
          </w:tcPr>
          <w:p>
            <w:pPr>
              <w:jc w:val="right"/>
              <w:ind w:right="12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26,144</w:t>
            </w:r>
          </w:p>
        </w:tc>
        <w:tc>
          <w:tcPr>
            <w:tcW w:w="100" w:type="dxa"/>
            <w:vAlign w:val="bottom"/>
          </w:tcPr>
          <w:p>
            <w:pPr>
              <w:spacing w:after="0"/>
              <w:rPr>
                <w:sz w:val="14"/>
                <w:szCs w:val="14"/>
                <w:color w:val="auto"/>
              </w:rPr>
            </w:pPr>
          </w:p>
        </w:tc>
      </w:tr>
      <w:tr>
        <w:trPr>
          <w:trHeight w:val="20"/>
        </w:trPr>
        <w:tc>
          <w:tcPr>
            <w:tcW w:w="66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6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14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88"/>
        </w:trPr>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paid for interest</w:t>
            </w:r>
          </w:p>
        </w:tc>
        <w:tc>
          <w:tcPr>
            <w:tcW w:w="1420" w:type="dxa"/>
            <w:vAlign w:val="bottom"/>
          </w:tcPr>
          <w:p>
            <w:pPr>
              <w:jc w:val="right"/>
              <w:ind w:right="12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3,613</w:t>
            </w:r>
          </w:p>
        </w:tc>
        <w:tc>
          <w:tcPr>
            <w:tcW w:w="300" w:type="dxa"/>
            <w:vAlign w:val="bottom"/>
          </w:tcPr>
          <w:p>
            <w:pPr>
              <w:spacing w:after="0"/>
              <w:rPr>
                <w:sz w:val="16"/>
                <w:szCs w:val="16"/>
                <w:color w:val="auto"/>
              </w:rPr>
            </w:pPr>
          </w:p>
        </w:tc>
        <w:tc>
          <w:tcPr>
            <w:tcW w:w="1420" w:type="dxa"/>
            <w:vAlign w:val="bottom"/>
          </w:tcPr>
          <w:p>
            <w:pPr>
              <w:jc w:val="right"/>
              <w:ind w:right="12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5,724</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-1756410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-624840</wp:posOffset>
            </wp:positionV>
            <wp:extent cx="159448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94485" cy="13716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-375920</wp:posOffset>
            </wp:positionV>
            <wp:extent cx="6858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-375920</wp:posOffset>
            </wp:positionV>
            <wp:extent cx="6858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6" w:name="page7"/>
    <w:bookmarkEnd w:id="6"/>
    <w:p>
      <w:pPr>
        <w:ind w:left="4560"/>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units/shares)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Interest Rate</w:t>
            </w:r>
          </w:p>
        </w:tc>
        <w:tc>
          <w:tcPr>
            <w:tcW w:w="100" w:type="dxa"/>
            <w:vAlign w:val="bottom"/>
          </w:tcPr>
          <w:p>
            <w:pPr>
              <w:spacing w:after="0"/>
              <w:rPr>
                <w:sz w:val="11"/>
                <w:szCs w:val="11"/>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Reference Rate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2"/>
              </w:rPr>
              <w:t>Par/Shares</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(1), (2), (3), (4), (5)</w:t>
            </w:r>
          </w:p>
        </w:tc>
        <w:tc>
          <w:tcPr>
            <w:tcW w:w="120" w:type="dxa"/>
            <w:vAlign w:val="bottom"/>
          </w:tcPr>
          <w:p>
            <w:pPr>
              <w:spacing w:after="0"/>
              <w:rPr>
                <w:sz w:val="13"/>
                <w:szCs w:val="13"/>
                <w:color w:val="auto"/>
              </w:rPr>
            </w:pPr>
          </w:p>
        </w:tc>
        <w:tc>
          <w:tcPr>
            <w:tcW w:w="16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and Spread (+)</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Floor (+)</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Cost</w:t>
            </w:r>
          </w:p>
        </w:tc>
        <w:tc>
          <w:tcPr>
            <w:tcW w:w="360" w:type="dxa"/>
            <w:vAlign w:val="bottom"/>
          </w:tcPr>
          <w:p>
            <w:pPr>
              <w:spacing w:after="0"/>
              <w:rPr>
                <w:sz w:val="13"/>
                <w:szCs w:val="13"/>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200" w:type="dxa"/>
            <w:vAlign w:val="bottom"/>
          </w:tcPr>
          <w:p>
            <w:pPr>
              <w:spacing w:after="0"/>
              <w:rPr>
                <w:sz w:val="13"/>
                <w:szCs w:val="13"/>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33"/>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Investments in Non-Control, Non-Affiliate Portfolio</w:t>
            </w:r>
          </w:p>
        </w:tc>
        <w:tc>
          <w:tcPr>
            <w:tcW w:w="17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Companies - 140.4%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Lien/Senior Secured Debt - 86.7%</w:t>
            </w:r>
          </w:p>
        </w:tc>
        <w:tc>
          <w:tcPr>
            <w:tcW w:w="1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Accordion Partners LLC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Industrials</w:t>
            </w:r>
          </w:p>
        </w:tc>
        <w:tc>
          <w:tcPr>
            <w:tcW w:w="76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7.68%</w:t>
            </w:r>
          </w:p>
        </w:tc>
        <w:tc>
          <w:tcPr>
            <w:tcW w:w="100" w:type="dxa"/>
            <w:vAlign w:val="bottom"/>
          </w:tcPr>
          <w:p>
            <w:pPr>
              <w:spacing w:after="0"/>
              <w:rPr>
                <w:sz w:val="11"/>
                <w:szCs w:val="11"/>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L + 5.50%</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09/24/2027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8,931</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6,629</w:t>
            </w:r>
          </w:p>
        </w:tc>
        <w:tc>
          <w:tcPr>
            <w:tcW w:w="360" w:type="dxa"/>
            <w:vAlign w:val="bottom"/>
          </w:tcPr>
          <w:p>
            <w:pPr>
              <w:spacing w:after="0"/>
              <w:rPr>
                <w:sz w:val="11"/>
                <w:szCs w:val="11"/>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6,698</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(12)(26)</w:t>
            </w:r>
          </w:p>
        </w:tc>
        <w:tc>
          <w:tcPr>
            <w:tcW w:w="0" w:type="dxa"/>
            <w:vAlign w:val="bottom"/>
          </w:tcPr>
          <w:p>
            <w:pPr>
              <w:spacing w:after="0"/>
              <w:rPr>
                <w:sz w:val="1"/>
                <w:szCs w:val="1"/>
                <w:color w:val="auto"/>
              </w:rPr>
            </w:pPr>
          </w:p>
        </w:tc>
      </w:tr>
      <w:tr>
        <w:trPr>
          <w:trHeight w:val="13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Accordion Partners LLC (Revolver)</w:t>
            </w:r>
          </w:p>
        </w:tc>
        <w:tc>
          <w:tcPr>
            <w:tcW w:w="1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Industrials</w:t>
            </w:r>
          </w:p>
        </w:tc>
        <w:tc>
          <w:tcPr>
            <w:tcW w:w="76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8"/>
              </w:rPr>
              <w:t>7.26%</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L + 5.50%</w:t>
            </w:r>
          </w:p>
        </w:tc>
        <w:tc>
          <w:tcPr>
            <w:tcW w:w="6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09/30/2026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2,686</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2,732</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(13)(26)</w:t>
            </w: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Accurate Background, LLC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Information Technology</w:t>
            </w:r>
          </w:p>
        </w:tc>
        <w:tc>
          <w:tcPr>
            <w:tcW w:w="76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7.00%</w:t>
            </w:r>
          </w:p>
        </w:tc>
        <w:tc>
          <w:tcPr>
            <w:tcW w:w="100" w:type="dxa"/>
            <w:vAlign w:val="bottom"/>
          </w:tcPr>
          <w:p>
            <w:pPr>
              <w:spacing w:after="0"/>
              <w:rPr>
                <w:sz w:val="11"/>
                <w:szCs w:val="11"/>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L + 6.00%</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03/26/2027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2,977</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2,742</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2,895</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3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Alternative Biomedical Solutions, LLC</w:t>
            </w:r>
          </w:p>
        </w:tc>
        <w:tc>
          <w:tcPr>
            <w:tcW w:w="1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Healthcare</w:t>
            </w:r>
          </w:p>
        </w:tc>
        <w:tc>
          <w:tcPr>
            <w:tcW w:w="76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8"/>
              </w:rPr>
              <w:t>8.00%</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12/18/2022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6,941</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6,941</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6,408</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4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American Academy Holdings, LLC</w:t>
            </w:r>
          </w:p>
        </w:tc>
        <w:tc>
          <w:tcPr>
            <w:tcW w:w="120" w:type="dxa"/>
            <w:vAlign w:val="bottom"/>
          </w:tcPr>
          <w:p>
            <w:pPr>
              <w:spacing w:after="0"/>
              <w:rPr>
                <w:sz w:val="8"/>
                <w:szCs w:val="8"/>
                <w:color w:val="auto"/>
              </w:rPr>
            </w:pPr>
          </w:p>
        </w:tc>
        <w:tc>
          <w:tcPr>
            <w:tcW w:w="166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Healthcare</w:t>
            </w:r>
          </w:p>
        </w:tc>
        <w:tc>
          <w:tcPr>
            <w:tcW w:w="760" w:type="dxa"/>
            <w:vAlign w:val="bottom"/>
            <w:gridSpan w:val="2"/>
          </w:tcPr>
          <w:p>
            <w:pPr>
              <w:jc w:val="center"/>
              <w:ind w:left="46"/>
              <w:spacing w:after="0" w:line="95" w:lineRule="exact"/>
              <w:rPr>
                <w:sz w:val="20"/>
                <w:szCs w:val="20"/>
                <w:color w:val="auto"/>
              </w:rPr>
            </w:pPr>
            <w:r>
              <w:rPr>
                <w:rFonts w:ascii="Times New Roman" w:cs="Times New Roman" w:eastAsia="Times New Roman" w:hAnsi="Times New Roman"/>
                <w:sz w:val="10"/>
                <w:szCs w:val="10"/>
                <w:color w:val="auto"/>
              </w:rPr>
              <w:t>13.08%</w:t>
            </w:r>
          </w:p>
        </w:tc>
        <w:tc>
          <w:tcPr>
            <w:tcW w:w="100" w:type="dxa"/>
            <w:vAlign w:val="bottom"/>
          </w:tcPr>
          <w:p>
            <w:pPr>
              <w:spacing w:after="0"/>
              <w:rPr>
                <w:sz w:val="8"/>
                <w:szCs w:val="8"/>
                <w:color w:val="auto"/>
              </w:rPr>
            </w:pPr>
          </w:p>
        </w:tc>
        <w:tc>
          <w:tcPr>
            <w:tcW w:w="96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10"/>
                <w:szCs w:val="10"/>
                <w:color w:val="auto"/>
              </w:rPr>
              <w:t>L + 4.75%, 6.25%</w:t>
            </w:r>
          </w:p>
        </w:tc>
        <w:tc>
          <w:tcPr>
            <w:tcW w:w="620" w:type="dxa"/>
            <w:vAlign w:val="bottom"/>
            <w:gridSpan w:val="2"/>
            <w:vMerge w:val="restart"/>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tcPr>
          <w:p>
            <w:pPr>
              <w:jc w:val="center"/>
              <w:ind w:left="66"/>
              <w:spacing w:after="0" w:line="95" w:lineRule="exact"/>
              <w:rPr>
                <w:sz w:val="20"/>
                <w:szCs w:val="20"/>
                <w:color w:val="auto"/>
              </w:rPr>
            </w:pPr>
            <w:r>
              <w:rPr>
                <w:rFonts w:ascii="Times New Roman" w:cs="Times New Roman" w:eastAsia="Times New Roman" w:hAnsi="Times New Roman"/>
                <w:sz w:val="10"/>
                <w:szCs w:val="10"/>
                <w:color w:val="auto"/>
              </w:rPr>
              <w:t>03/26/2027</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PIK%</w:t>
            </w:r>
          </w:p>
        </w:tc>
        <w:tc>
          <w:tcPr>
            <w:tcW w:w="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2,451</w:t>
            </w: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2,428</w:t>
            </w: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2,405</w:t>
            </w:r>
          </w:p>
        </w:tc>
        <w:tc>
          <w:tcPr>
            <w:tcW w:w="200" w:type="dxa"/>
            <w:vAlign w:val="bottom"/>
          </w:tcPr>
          <w:p>
            <w:pPr>
              <w:spacing w:after="0"/>
              <w:rPr>
                <w:sz w:val="7"/>
                <w:szCs w:val="7"/>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72"/>
        </w:trPr>
        <w:tc>
          <w:tcPr>
            <w:tcW w:w="2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American Clinical Solutions, LLC</w:t>
            </w:r>
          </w:p>
        </w:tc>
        <w:tc>
          <w:tcPr>
            <w:tcW w:w="12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Healthcare</w:t>
            </w:r>
          </w:p>
        </w:tc>
        <w:tc>
          <w:tcPr>
            <w:tcW w:w="76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8"/>
              </w:rPr>
              <w:t>7.00%</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12/31/2022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3,500</w:t>
            </w: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3,500</w:t>
            </w: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3,352</w:t>
            </w: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 Core Holdings II, LLC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Information Technology</w:t>
            </w:r>
          </w:p>
        </w:tc>
        <w:tc>
          <w:tcPr>
            <w:tcW w:w="76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7.17%</w:t>
            </w:r>
          </w:p>
        </w:tc>
        <w:tc>
          <w:tcPr>
            <w:tcW w:w="100" w:type="dxa"/>
            <w:vAlign w:val="bottom"/>
          </w:tcPr>
          <w:p>
            <w:pPr>
              <w:spacing w:after="0"/>
              <w:rPr>
                <w:sz w:val="11"/>
                <w:szCs w:val="11"/>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L + 5.50%</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0.75%</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07/21/2027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1,203</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1,188</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1,144</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3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AP Core Holdings II, LLC</w:t>
            </w:r>
          </w:p>
        </w:tc>
        <w:tc>
          <w:tcPr>
            <w:tcW w:w="1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Information Technology</w:t>
            </w:r>
          </w:p>
        </w:tc>
        <w:tc>
          <w:tcPr>
            <w:tcW w:w="76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8"/>
              </w:rPr>
              <w:t>7.17%</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L + 5.50%</w:t>
            </w:r>
          </w:p>
        </w:tc>
        <w:tc>
          <w:tcPr>
            <w:tcW w:w="6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0.75%</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07/21/2027</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1,250</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1,234</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1,182</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BigMouth, Inc.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Consumer Products</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11/15/2022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998</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(7)(25)</w:t>
            </w:r>
          </w:p>
        </w:tc>
        <w:tc>
          <w:tcPr>
            <w:tcW w:w="0" w:type="dxa"/>
            <w:vAlign w:val="bottom"/>
          </w:tcPr>
          <w:p>
            <w:pPr>
              <w:spacing w:after="0"/>
              <w:rPr>
                <w:sz w:val="1"/>
                <w:szCs w:val="1"/>
                <w:color w:val="auto"/>
              </w:rPr>
            </w:pPr>
          </w:p>
        </w:tc>
      </w:tr>
      <w:tr>
        <w:trPr>
          <w:trHeight w:val="13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Bradshaw International, Inc.</w:t>
            </w:r>
          </w:p>
        </w:tc>
        <w:tc>
          <w:tcPr>
            <w:tcW w:w="1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Consumer Discretionary</w:t>
            </w:r>
          </w:p>
        </w:tc>
        <w:tc>
          <w:tcPr>
            <w:tcW w:w="76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8"/>
              </w:rPr>
              <w:t>7.44%</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L + 5.75%</w:t>
            </w:r>
          </w:p>
        </w:tc>
        <w:tc>
          <w:tcPr>
            <w:tcW w:w="6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10/21/2027</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503</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492</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483</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Bradshaw International, Inc. (Revolver)</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Consumer Discretionary</w:t>
            </w:r>
          </w:p>
        </w:tc>
        <w:tc>
          <w:tcPr>
            <w:tcW w:w="76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6.94%</w:t>
            </w:r>
          </w:p>
        </w:tc>
        <w:tc>
          <w:tcPr>
            <w:tcW w:w="100" w:type="dxa"/>
            <w:vAlign w:val="bottom"/>
          </w:tcPr>
          <w:p>
            <w:pPr>
              <w:spacing w:after="0"/>
              <w:rPr>
                <w:sz w:val="11"/>
                <w:szCs w:val="11"/>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L + 5.75%</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10/21/2026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922</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13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Critical Nurse Staffing, LLC</w:t>
            </w:r>
          </w:p>
        </w:tc>
        <w:tc>
          <w:tcPr>
            <w:tcW w:w="1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Healthcare</w:t>
            </w:r>
          </w:p>
        </w:tc>
        <w:tc>
          <w:tcPr>
            <w:tcW w:w="76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8"/>
              </w:rPr>
              <w:t>7.31%</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L + 6.00%</w:t>
            </w:r>
          </w:p>
        </w:tc>
        <w:tc>
          <w:tcPr>
            <w:tcW w:w="6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10/30/2026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7,957</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5,788</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5,789</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(15)(26)</w:t>
            </w: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Critical Nurse Staffing, LLC (Revolver)</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Healthcare</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L + 6.00%</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10/30/2026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(15 )</w:t>
            </w:r>
          </w:p>
        </w:tc>
        <w:tc>
          <w:tcPr>
            <w:tcW w:w="14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(13 )</w:t>
            </w: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(16)(26)</w:t>
            </w:r>
          </w:p>
        </w:tc>
        <w:tc>
          <w:tcPr>
            <w:tcW w:w="0" w:type="dxa"/>
            <w:vAlign w:val="bottom"/>
          </w:tcPr>
          <w:p>
            <w:pPr>
              <w:spacing w:after="0"/>
              <w:rPr>
                <w:sz w:val="1"/>
                <w:szCs w:val="1"/>
                <w:color w:val="auto"/>
              </w:rPr>
            </w:pPr>
          </w:p>
        </w:tc>
      </w:tr>
      <w:tr>
        <w:trPr>
          <w:trHeight w:val="13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Dodge Data &amp; Analytics LLC</w:t>
            </w:r>
          </w:p>
        </w:tc>
        <w:tc>
          <w:tcPr>
            <w:tcW w:w="1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Information Technology</w:t>
            </w:r>
          </w:p>
        </w:tc>
        <w:tc>
          <w:tcPr>
            <w:tcW w:w="76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8"/>
              </w:rPr>
              <w:t>7.58%</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+ 4.75%</w:t>
            </w:r>
          </w:p>
        </w:tc>
        <w:tc>
          <w:tcPr>
            <w:tcW w:w="6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02/12/2029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1,478</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1,458</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Epic Staffing Group</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Industrials</w:t>
            </w:r>
          </w:p>
        </w:tc>
        <w:tc>
          <w:tcPr>
            <w:tcW w:w="76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7.49%</w:t>
            </w:r>
          </w:p>
        </w:tc>
        <w:tc>
          <w:tcPr>
            <w:tcW w:w="100" w:type="dxa"/>
            <w:vAlign w:val="bottom"/>
          </w:tcPr>
          <w:p>
            <w:pPr>
              <w:spacing w:after="0"/>
              <w:rPr>
                <w:sz w:val="11"/>
                <w:szCs w:val="11"/>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7"/>
              </w:rPr>
              <w:t>SOFR + 6.00%</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06/28/2029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3,828</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3,828</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(17)(26)</w:t>
            </w:r>
          </w:p>
        </w:tc>
        <w:tc>
          <w:tcPr>
            <w:tcW w:w="0" w:type="dxa"/>
            <w:vAlign w:val="bottom"/>
          </w:tcPr>
          <w:p>
            <w:pPr>
              <w:spacing w:after="0"/>
              <w:rPr>
                <w:sz w:val="1"/>
                <w:szCs w:val="1"/>
                <w:color w:val="auto"/>
              </w:rPr>
            </w:pPr>
          </w:p>
        </w:tc>
      </w:tr>
      <w:tr>
        <w:trPr>
          <w:trHeight w:val="13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Florida Food Products, LLC</w:t>
            </w:r>
          </w:p>
        </w:tc>
        <w:tc>
          <w:tcPr>
            <w:tcW w:w="1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Consumer Staples</w:t>
            </w:r>
          </w:p>
        </w:tc>
        <w:tc>
          <w:tcPr>
            <w:tcW w:w="76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8"/>
              </w:rPr>
              <w:t>7.26%</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+ 5.00%</w:t>
            </w:r>
          </w:p>
        </w:tc>
        <w:tc>
          <w:tcPr>
            <w:tcW w:w="6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0.75%</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10/06/2029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1,995</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1,875</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1,959</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HUMC Opco, LLC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Healthcare</w:t>
            </w:r>
          </w:p>
        </w:tc>
        <w:tc>
          <w:tcPr>
            <w:tcW w:w="76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9.00%</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12/31/2022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4,422</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4,422</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4,283</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95"/>
        </w:trPr>
        <w:tc>
          <w:tcPr>
            <w:tcW w:w="254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JO ET Holdings Limited</w:t>
            </w:r>
          </w:p>
        </w:tc>
        <w:tc>
          <w:tcPr>
            <w:tcW w:w="120" w:type="dxa"/>
            <w:vAlign w:val="bottom"/>
            <w:shd w:val="clear" w:color="auto" w:fill="CFF0FC"/>
          </w:tcPr>
          <w:p>
            <w:pPr>
              <w:spacing w:after="0"/>
              <w:rPr>
                <w:sz w:val="8"/>
                <w:szCs w:val="8"/>
                <w:color w:val="auto"/>
              </w:rPr>
            </w:pPr>
          </w:p>
        </w:tc>
        <w:tc>
          <w:tcPr>
            <w:tcW w:w="1660" w:type="dxa"/>
            <w:vAlign w:val="bottom"/>
            <w:shd w:val="clear" w:color="auto" w:fill="CFF0FC"/>
          </w:tcPr>
          <w:p>
            <w:pPr>
              <w:spacing w:after="0" w:line="95" w:lineRule="exact"/>
              <w:rPr>
                <w:sz w:val="20"/>
                <w:szCs w:val="20"/>
                <w:color w:val="auto"/>
              </w:rPr>
            </w:pPr>
            <w:r>
              <w:rPr>
                <w:rFonts w:ascii="Times New Roman" w:cs="Times New Roman" w:eastAsia="Times New Roman" w:hAnsi="Times New Roman"/>
                <w:sz w:val="10"/>
                <w:szCs w:val="10"/>
                <w:color w:val="auto"/>
              </w:rPr>
              <w:t>Information Technology</w:t>
            </w:r>
          </w:p>
        </w:tc>
        <w:tc>
          <w:tcPr>
            <w:tcW w:w="760" w:type="dxa"/>
            <w:vAlign w:val="bottom"/>
            <w:gridSpan w:val="2"/>
            <w:shd w:val="clear" w:color="auto" w:fill="CFF0FC"/>
          </w:tcPr>
          <w:p>
            <w:pPr>
              <w:jc w:val="center"/>
              <w:ind w:left="46"/>
              <w:spacing w:after="0" w:line="95" w:lineRule="exact"/>
              <w:rPr>
                <w:sz w:val="20"/>
                <w:szCs w:val="20"/>
                <w:color w:val="auto"/>
              </w:rPr>
            </w:pPr>
            <w:r>
              <w:rPr>
                <w:rFonts w:ascii="Times New Roman" w:cs="Times New Roman" w:eastAsia="Times New Roman" w:hAnsi="Times New Roman"/>
                <w:sz w:val="10"/>
                <w:szCs w:val="10"/>
                <w:color w:val="auto"/>
              </w:rPr>
              <w:t>14.60%</w:t>
            </w:r>
          </w:p>
        </w:tc>
        <w:tc>
          <w:tcPr>
            <w:tcW w:w="1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center"/>
              <w:spacing w:after="0" w:line="95" w:lineRule="exact"/>
              <w:rPr>
                <w:sz w:val="20"/>
                <w:szCs w:val="20"/>
                <w:color w:val="auto"/>
              </w:rPr>
            </w:pPr>
            <w:r>
              <w:rPr>
                <w:rFonts w:ascii="Times New Roman" w:cs="Times New Roman" w:eastAsia="Times New Roman" w:hAnsi="Times New Roman"/>
                <w:sz w:val="10"/>
                <w:szCs w:val="10"/>
                <w:color w:val="auto"/>
              </w:rPr>
              <w:t>SOFR+6.00%,</w:t>
            </w:r>
          </w:p>
        </w:tc>
        <w:tc>
          <w:tcPr>
            <w:tcW w:w="620" w:type="dxa"/>
            <w:vAlign w:val="bottom"/>
            <w:gridSpan w:val="2"/>
            <w:shd w:val="clear" w:color="auto" w:fill="CFF0FC"/>
          </w:tcPr>
          <w:p>
            <w:pPr>
              <w:jc w:val="center"/>
              <w:ind w:left="46"/>
              <w:spacing w:after="0" w:line="95" w:lineRule="exact"/>
              <w:rPr>
                <w:sz w:val="20"/>
                <w:szCs w:val="20"/>
                <w:color w:val="auto"/>
              </w:rPr>
            </w:pPr>
            <w:r>
              <w:rPr>
                <w:rFonts w:ascii="Times New Roman" w:cs="Times New Roman" w:eastAsia="Times New Roman" w:hAnsi="Times New Roman"/>
                <w:sz w:val="10"/>
                <w:szCs w:val="10"/>
                <w:color w:val="auto"/>
              </w:rPr>
              <w:t>1.00%</w:t>
            </w:r>
          </w:p>
        </w:tc>
        <w:tc>
          <w:tcPr>
            <w:tcW w:w="920" w:type="dxa"/>
            <w:vAlign w:val="bottom"/>
            <w:gridSpan w:val="2"/>
            <w:shd w:val="clear" w:color="auto" w:fill="CFF0FC"/>
          </w:tcPr>
          <w:p>
            <w:pPr>
              <w:jc w:val="center"/>
              <w:ind w:left="66"/>
              <w:spacing w:after="0" w:line="95" w:lineRule="exact"/>
              <w:rPr>
                <w:sz w:val="20"/>
                <w:szCs w:val="20"/>
                <w:color w:val="auto"/>
              </w:rPr>
            </w:pPr>
            <w:r>
              <w:rPr>
                <w:rFonts w:ascii="Times New Roman" w:cs="Times New Roman" w:eastAsia="Times New Roman" w:hAnsi="Times New Roman"/>
                <w:sz w:val="10"/>
                <w:szCs w:val="10"/>
                <w:color w:val="auto"/>
              </w:rPr>
              <w:t>12/15/2026</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7.00%</w:t>
            </w:r>
          </w:p>
        </w:tc>
        <w:tc>
          <w:tcPr>
            <w:tcW w:w="4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PIK</w:t>
            </w: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1,031</w:t>
            </w: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1,013</w:t>
            </w: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1,001</w:t>
            </w: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Jurassic Quest Holdings, LLC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Entertainment</w:t>
            </w:r>
          </w:p>
        </w:tc>
        <w:tc>
          <w:tcPr>
            <w:tcW w:w="76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9.50%</w:t>
            </w:r>
          </w:p>
        </w:tc>
        <w:tc>
          <w:tcPr>
            <w:tcW w:w="100" w:type="dxa"/>
            <w:vAlign w:val="bottom"/>
          </w:tcPr>
          <w:p>
            <w:pPr>
              <w:spacing w:after="0"/>
              <w:rPr>
                <w:sz w:val="11"/>
                <w:szCs w:val="11"/>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L + 7.50%</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2.00%</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05/01/2026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8,105</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8,105</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8,011</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3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Keg Logistics LLC</w:t>
            </w:r>
          </w:p>
        </w:tc>
        <w:tc>
          <w:tcPr>
            <w:tcW w:w="1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Consumer Discretionary</w:t>
            </w:r>
          </w:p>
        </w:tc>
        <w:tc>
          <w:tcPr>
            <w:tcW w:w="76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8"/>
              </w:rPr>
              <w:t>7.00%</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+ 6.00%</w:t>
            </w:r>
          </w:p>
        </w:tc>
        <w:tc>
          <w:tcPr>
            <w:tcW w:w="6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11/23/2027</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7,497</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7,396</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7,299</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Keg Logistics LLC (Revolver)</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Consumer Discretionary</w:t>
            </w:r>
          </w:p>
        </w:tc>
        <w:tc>
          <w:tcPr>
            <w:tcW w:w="76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7.64%</w:t>
            </w:r>
          </w:p>
        </w:tc>
        <w:tc>
          <w:tcPr>
            <w:tcW w:w="100" w:type="dxa"/>
            <w:vAlign w:val="bottom"/>
          </w:tcPr>
          <w:p>
            <w:pPr>
              <w:spacing w:after="0"/>
              <w:rPr>
                <w:sz w:val="11"/>
                <w:szCs w:val="11"/>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L + 6.00%</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11/23/2027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872</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(18)(26)</w:t>
            </w:r>
          </w:p>
        </w:tc>
        <w:tc>
          <w:tcPr>
            <w:tcW w:w="0" w:type="dxa"/>
            <w:vAlign w:val="bottom"/>
          </w:tcPr>
          <w:p>
            <w:pPr>
              <w:spacing w:after="0"/>
              <w:rPr>
                <w:sz w:val="1"/>
                <w:szCs w:val="1"/>
                <w:color w:val="auto"/>
              </w:rPr>
            </w:pPr>
          </w:p>
        </w:tc>
      </w:tr>
      <w:tr>
        <w:trPr>
          <w:trHeight w:val="13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Lucky Bucks, LLC</w:t>
            </w:r>
          </w:p>
        </w:tc>
        <w:tc>
          <w:tcPr>
            <w:tcW w:w="1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Consumer Discretionary</w:t>
            </w:r>
          </w:p>
        </w:tc>
        <w:tc>
          <w:tcPr>
            <w:tcW w:w="76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8"/>
              </w:rPr>
              <w:t>6.25%</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+ 5.50%</w:t>
            </w:r>
          </w:p>
        </w:tc>
        <w:tc>
          <w:tcPr>
            <w:tcW w:w="6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0.75%</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07/21/2027</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2,924</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2,874</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2,749</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Marble Point Credit Management LLC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Financials</w:t>
            </w:r>
          </w:p>
        </w:tc>
        <w:tc>
          <w:tcPr>
            <w:tcW w:w="76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8.06%</w:t>
            </w:r>
          </w:p>
        </w:tc>
        <w:tc>
          <w:tcPr>
            <w:tcW w:w="100" w:type="dxa"/>
            <w:vAlign w:val="bottom"/>
          </w:tcPr>
          <w:p>
            <w:pPr>
              <w:spacing w:after="0"/>
              <w:rPr>
                <w:sz w:val="11"/>
                <w:szCs w:val="11"/>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L + 6.00%</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08/11/2028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5,653</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5,517</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5,525</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Marble Point Credit Management LLC (Revolver)</w:t>
            </w:r>
          </w:p>
        </w:tc>
        <w:tc>
          <w:tcPr>
            <w:tcW w:w="1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Financials</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L + 6.00%</w:t>
            </w:r>
          </w:p>
        </w:tc>
        <w:tc>
          <w:tcPr>
            <w:tcW w:w="6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08/11/2028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1"/>
                <w:szCs w:val="11"/>
                <w:color w:val="auto"/>
              </w:rPr>
              <w:t>(22 )</w:t>
            </w:r>
          </w:p>
        </w:tc>
        <w:tc>
          <w:tcPr>
            <w:tcW w:w="14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(56 )</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(24)(26)</w:t>
            </w: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Material Handling Systems, Inc.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Industrials</w:t>
            </w:r>
          </w:p>
        </w:tc>
        <w:tc>
          <w:tcPr>
            <w:tcW w:w="76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6.90%</w:t>
            </w:r>
          </w:p>
        </w:tc>
        <w:tc>
          <w:tcPr>
            <w:tcW w:w="100" w:type="dxa"/>
            <w:vAlign w:val="bottom"/>
          </w:tcPr>
          <w:p>
            <w:pPr>
              <w:spacing w:after="0"/>
              <w:rPr>
                <w:sz w:val="11"/>
                <w:szCs w:val="11"/>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7"/>
              </w:rPr>
              <w:t>SOFR + 5.50%</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06/08/2029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1,790</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1,790</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3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Premier Imaging, LLC</w:t>
            </w:r>
          </w:p>
        </w:tc>
        <w:tc>
          <w:tcPr>
            <w:tcW w:w="1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Healthcare</w:t>
            </w:r>
          </w:p>
        </w:tc>
        <w:tc>
          <w:tcPr>
            <w:tcW w:w="76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8"/>
              </w:rPr>
              <w:t>7.41%</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L + 5.75%</w:t>
            </w:r>
          </w:p>
        </w:tc>
        <w:tc>
          <w:tcPr>
            <w:tcW w:w="6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12/29/2028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3,987</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2,574</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2,567</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(20)(26)</w:t>
            </w: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Sequoia Healthcare Management, LLC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Healthcare Management</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08/21/2023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11,935</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11,932</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6,167</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3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Symplr Software, Inc.</w:t>
            </w:r>
          </w:p>
        </w:tc>
        <w:tc>
          <w:tcPr>
            <w:tcW w:w="1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Healthcare</w:t>
            </w:r>
          </w:p>
        </w:tc>
        <w:tc>
          <w:tcPr>
            <w:tcW w:w="760" w:type="dxa"/>
            <w:vAlign w:val="bottom"/>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8"/>
              </w:rPr>
              <w:t>6.65%</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+ 4.50%</w:t>
            </w:r>
          </w:p>
        </w:tc>
        <w:tc>
          <w:tcPr>
            <w:tcW w:w="6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0.75%</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12/22/2027</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1,696</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1,692</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1,611</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Wealth Enhancement Group, LLC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Financials</w:t>
            </w:r>
          </w:p>
        </w:tc>
        <w:tc>
          <w:tcPr>
            <w:tcW w:w="76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7.64%</w:t>
            </w:r>
          </w:p>
        </w:tc>
        <w:tc>
          <w:tcPr>
            <w:tcW w:w="100" w:type="dxa"/>
            <w:vAlign w:val="bottom"/>
          </w:tcPr>
          <w:p>
            <w:pPr>
              <w:spacing w:after="0"/>
              <w:rPr>
                <w:sz w:val="11"/>
                <w:szCs w:val="11"/>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7"/>
              </w:rPr>
              <w:t>SOFR + 6.00%</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10/02/2027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6,991</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5,808</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5,745</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(21)(26)</w:t>
            </w:r>
          </w:p>
        </w:tc>
        <w:tc>
          <w:tcPr>
            <w:tcW w:w="0" w:type="dxa"/>
            <w:vAlign w:val="bottom"/>
          </w:tcPr>
          <w:p>
            <w:pPr>
              <w:spacing w:after="0"/>
              <w:rPr>
                <w:sz w:val="1"/>
                <w:szCs w:val="1"/>
                <w:color w:val="auto"/>
              </w:rPr>
            </w:pPr>
          </w:p>
        </w:tc>
      </w:tr>
      <w:tr>
        <w:trPr>
          <w:trHeight w:val="135"/>
        </w:trPr>
        <w:tc>
          <w:tcPr>
            <w:tcW w:w="2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Wealth Enhancement Group, LLC (Revolver)</w:t>
            </w:r>
          </w:p>
        </w:tc>
        <w:tc>
          <w:tcPr>
            <w:tcW w:w="120" w:type="dxa"/>
            <w:vAlign w:val="bottom"/>
            <w:tcBorders>
              <w:bottom w:val="single" w:sz="8" w:color="CFF0FC"/>
            </w:tcBorders>
            <w:shd w:val="clear" w:color="auto" w:fill="CFF0FC"/>
          </w:tcPr>
          <w:p>
            <w:pPr>
              <w:spacing w:after="0"/>
              <w:rPr>
                <w:sz w:val="11"/>
                <w:szCs w:val="11"/>
                <w:color w:val="auto"/>
              </w:rPr>
            </w:pPr>
          </w:p>
        </w:tc>
        <w:tc>
          <w:tcPr>
            <w:tcW w:w="1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Financials</w:t>
            </w:r>
          </w:p>
        </w:tc>
        <w:tc>
          <w:tcPr>
            <w:tcW w:w="760" w:type="dxa"/>
            <w:vAlign w:val="bottom"/>
            <w:tcBorders>
              <w:bottom w:val="single" w:sz="8" w:color="CFF0FC"/>
            </w:tcBorders>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8"/>
              </w:rPr>
              <w:t>7.00%</w:t>
            </w:r>
          </w:p>
        </w:tc>
        <w:tc>
          <w:tcPr>
            <w:tcW w:w="10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L + 6.00%</w:t>
            </w:r>
          </w:p>
        </w:tc>
        <w:tc>
          <w:tcPr>
            <w:tcW w:w="620" w:type="dxa"/>
            <w:vAlign w:val="bottom"/>
            <w:tcBorders>
              <w:bottom w:val="single" w:sz="8" w:color="CFF0FC"/>
            </w:tcBorders>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tcBorders>
              <w:bottom w:val="single" w:sz="8" w:color="CFF0FC"/>
            </w:tcBorders>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10/02/2027</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3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3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20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28"/>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Lien/Senior Secured Debt</w:t>
            </w: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94,510</w:t>
            </w: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87,638</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Lien/Senior Secured Debt - 07.3%</w:t>
            </w:r>
          </w:p>
        </w:tc>
        <w:tc>
          <w:tcPr>
            <w:tcW w:w="1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Academy Holdings, LLC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Healthcare</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14.50% PIK</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03/01/2028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3,336</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3,240</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2,806</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3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BLST Operating Company, LLC</w:t>
            </w:r>
          </w:p>
        </w:tc>
        <w:tc>
          <w:tcPr>
            <w:tcW w:w="1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Online Merchandise Retailer</w:t>
            </w:r>
          </w:p>
        </w:tc>
        <w:tc>
          <w:tcPr>
            <w:tcW w:w="76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rPr>
              <w:t>10.00%</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L + 8.50%</w:t>
            </w:r>
          </w:p>
        </w:tc>
        <w:tc>
          <w:tcPr>
            <w:tcW w:w="6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1.50%</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08/28/2025</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1,780</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1,780</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1,776</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(8)(26)</w:t>
            </w: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Ivanti Software, Inc.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Information Technology</w:t>
            </w:r>
          </w:p>
        </w:tc>
        <w:tc>
          <w:tcPr>
            <w:tcW w:w="76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8.85%</w:t>
            </w:r>
          </w:p>
        </w:tc>
        <w:tc>
          <w:tcPr>
            <w:tcW w:w="100" w:type="dxa"/>
            <w:vAlign w:val="bottom"/>
          </w:tcPr>
          <w:p>
            <w:pPr>
              <w:spacing w:after="0"/>
              <w:rPr>
                <w:sz w:val="11"/>
                <w:szCs w:val="11"/>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L + 7.25%</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0.50%</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12/01/2028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2,986</w:t>
            </w: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2,755</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Lien/Senior Secured Debt</w:t>
            </w:r>
          </w:p>
        </w:tc>
        <w:tc>
          <w:tcPr>
            <w:tcW w:w="120" w:type="dxa"/>
            <w:vAlign w:val="bottom"/>
            <w:tcBorders>
              <w:bottom w:val="single" w:sz="8" w:color="CFF0FC"/>
            </w:tcBorders>
            <w:shd w:val="clear" w:color="auto" w:fill="CFF0FC"/>
          </w:tcPr>
          <w:p>
            <w:pPr>
              <w:spacing w:after="0"/>
              <w:rPr>
                <w:sz w:val="11"/>
                <w:szCs w:val="11"/>
                <w:color w:val="auto"/>
              </w:rPr>
            </w:pPr>
          </w:p>
        </w:tc>
        <w:tc>
          <w:tcPr>
            <w:tcW w:w="16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shd w:val="clear" w:color="auto" w:fill="CFF0FC"/>
          </w:tcPr>
          <w:p>
            <w:pPr>
              <w:spacing w:after="0"/>
              <w:rPr>
                <w:sz w:val="11"/>
                <w:szCs w:val="11"/>
                <w:color w:val="auto"/>
              </w:rPr>
            </w:pPr>
          </w:p>
        </w:tc>
        <w:tc>
          <w:tcPr>
            <w:tcW w:w="3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8,006</w:t>
            </w:r>
          </w:p>
        </w:tc>
        <w:tc>
          <w:tcPr>
            <w:tcW w:w="3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7,337</w:t>
            </w:r>
          </w:p>
        </w:tc>
        <w:tc>
          <w:tcPr>
            <w:tcW w:w="20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Subordinated Debt - 26.0%</w:t>
            </w: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Eastport Holdings, LLC</w:t>
            </w:r>
          </w:p>
        </w:tc>
        <w:tc>
          <w:tcPr>
            <w:tcW w:w="1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Business Services</w:t>
            </w:r>
          </w:p>
        </w:tc>
        <w:tc>
          <w:tcPr>
            <w:tcW w:w="76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rPr>
              <w:t>10.80%</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SOFR + 8.50%</w:t>
            </w:r>
          </w:p>
        </w:tc>
        <w:tc>
          <w:tcPr>
            <w:tcW w:w="6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09/29/2027</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19,250</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19,250</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19,250</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Lucky Bucks, LLC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Consumer Discretionary</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12.50% PIK</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05/29/2028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2,126</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2,089</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1,945</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Tubular Textile Machinery, Inc.</w:t>
            </w:r>
          </w:p>
        </w:tc>
        <w:tc>
          <w:tcPr>
            <w:tcW w:w="120" w:type="dxa"/>
            <w:vAlign w:val="bottom"/>
            <w:tcBorders>
              <w:bottom w:val="single" w:sz="8" w:color="CFF0FC"/>
            </w:tcBorders>
            <w:shd w:val="clear" w:color="auto" w:fill="CFF0FC"/>
          </w:tcPr>
          <w:p>
            <w:pPr>
              <w:spacing w:after="0"/>
              <w:rPr>
                <w:sz w:val="11"/>
                <w:szCs w:val="11"/>
                <w:color w:val="auto"/>
              </w:rPr>
            </w:pPr>
          </w:p>
        </w:tc>
        <w:tc>
          <w:tcPr>
            <w:tcW w:w="1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Textile Equipment Manufacturer</w:t>
            </w:r>
          </w:p>
        </w:tc>
        <w:tc>
          <w:tcPr>
            <w:tcW w:w="760" w:type="dxa"/>
            <w:vAlign w:val="bottom"/>
            <w:tcBorders>
              <w:bottom w:val="single" w:sz="8" w:color="CFF0FC"/>
            </w:tcBorders>
            <w:gridSpan w:val="2"/>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8"/>
              </w:rPr>
              <w:t>5.00%</w:t>
            </w:r>
          </w:p>
        </w:tc>
        <w:tc>
          <w:tcPr>
            <w:tcW w:w="10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tcBorders>
              <w:bottom w:val="single" w:sz="8" w:color="CFF0FC"/>
            </w:tcBorders>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10/29/2027</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5,094</w:t>
            </w:r>
          </w:p>
        </w:tc>
        <w:tc>
          <w:tcPr>
            <w:tcW w:w="3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5,094</w:t>
            </w:r>
          </w:p>
        </w:tc>
        <w:tc>
          <w:tcPr>
            <w:tcW w:w="3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5,055</w:t>
            </w:r>
          </w:p>
        </w:tc>
        <w:tc>
          <w:tcPr>
            <w:tcW w:w="20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Subordinated Debt</w:t>
            </w: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26,433</w:t>
            </w: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26,250</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Collateralized Loan Obligations - 6.2%</w:t>
            </w:r>
          </w:p>
        </w:tc>
        <w:tc>
          <w:tcPr>
            <w:tcW w:w="1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JMP Credit Advisors CLO IV Ltd.</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Financials</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rPr>
              <w:t>21.46%</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07/17/2029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7,891</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2,646</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2,646</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(19)(28)</w:t>
            </w:r>
          </w:p>
        </w:tc>
        <w:tc>
          <w:tcPr>
            <w:tcW w:w="0" w:type="dxa"/>
            <w:vAlign w:val="bottom"/>
          </w:tcPr>
          <w:p>
            <w:pPr>
              <w:spacing w:after="0"/>
              <w:rPr>
                <w:sz w:val="1"/>
                <w:szCs w:val="1"/>
                <w:color w:val="auto"/>
              </w:rPr>
            </w:pPr>
          </w:p>
        </w:tc>
      </w:tr>
      <w:tr>
        <w:trPr>
          <w:trHeight w:val="135"/>
        </w:trPr>
        <w:tc>
          <w:tcPr>
            <w:tcW w:w="2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JMP Credit Advisors CLO V Ltd.</w:t>
            </w:r>
          </w:p>
        </w:tc>
        <w:tc>
          <w:tcPr>
            <w:tcW w:w="120" w:type="dxa"/>
            <w:vAlign w:val="bottom"/>
            <w:tcBorders>
              <w:bottom w:val="single" w:sz="8" w:color="CFF0FC"/>
            </w:tcBorders>
            <w:shd w:val="clear" w:color="auto" w:fill="CFF0FC"/>
          </w:tcPr>
          <w:p>
            <w:pPr>
              <w:spacing w:after="0"/>
              <w:rPr>
                <w:sz w:val="11"/>
                <w:szCs w:val="11"/>
                <w:color w:val="auto"/>
              </w:rPr>
            </w:pPr>
          </w:p>
        </w:tc>
        <w:tc>
          <w:tcPr>
            <w:tcW w:w="1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Financials</w:t>
            </w:r>
          </w:p>
        </w:tc>
        <w:tc>
          <w:tcPr>
            <w:tcW w:w="760" w:type="dxa"/>
            <w:vAlign w:val="bottom"/>
            <w:tcBorders>
              <w:bottom w:val="single" w:sz="8" w:color="CFF0FC"/>
            </w:tcBorders>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rPr>
              <w:t>10.48%</w:t>
            </w:r>
          </w:p>
        </w:tc>
        <w:tc>
          <w:tcPr>
            <w:tcW w:w="10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tcBorders>
              <w:bottom w:val="single" w:sz="8" w:color="CFF0FC"/>
            </w:tcBorders>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07/17/2030</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7,320</w:t>
            </w:r>
          </w:p>
        </w:tc>
        <w:tc>
          <w:tcPr>
            <w:tcW w:w="3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4,514</w:t>
            </w:r>
          </w:p>
        </w:tc>
        <w:tc>
          <w:tcPr>
            <w:tcW w:w="3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3,650</w:t>
            </w:r>
          </w:p>
        </w:tc>
        <w:tc>
          <w:tcPr>
            <w:tcW w:w="20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(19)(28)</w:t>
            </w:r>
          </w:p>
        </w:tc>
        <w:tc>
          <w:tcPr>
            <w:tcW w:w="0" w:type="dxa"/>
            <w:vAlign w:val="bottom"/>
          </w:tcPr>
          <w:p>
            <w:pPr>
              <w:spacing w:after="0"/>
              <w:rPr>
                <w:sz w:val="1"/>
                <w:szCs w:val="1"/>
                <w:color w:val="auto"/>
              </w:rPr>
            </w:pPr>
          </w:p>
        </w:tc>
      </w:tr>
      <w:tr>
        <w:trPr>
          <w:trHeight w:val="128"/>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Collateralized Loan Obligations</w:t>
            </w: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7,160</w:t>
            </w: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6,296</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Preferred Stock and Units - 3.0%</w:t>
            </w:r>
          </w:p>
        </w:tc>
        <w:tc>
          <w:tcPr>
            <w:tcW w:w="1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Alternative Biomedical Solutions, LLC - Series A</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Healthcare</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14,949</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1,276</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Alternative Biomedical Solutions, LLC - Series B</w:t>
            </w:r>
          </w:p>
        </w:tc>
        <w:tc>
          <w:tcPr>
            <w:tcW w:w="1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Healthcare</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51,984</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3,947</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Alternative Biomedical Solutions, LLC - Series 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Healthcare</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78,900</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American Academy Holdings, LLC</w:t>
            </w:r>
          </w:p>
        </w:tc>
        <w:tc>
          <w:tcPr>
            <w:tcW w:w="1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Healthcare</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102,261</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Jurassic Quest Holdings, LLC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Entertainment</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467,784</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480</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527</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3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MicroHoldco, LLC</w:t>
            </w:r>
          </w:p>
        </w:tc>
        <w:tc>
          <w:tcPr>
            <w:tcW w:w="1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General Industrial</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740,237</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749</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631</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Taylor Precision Products, Inc. - Series 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Household Product Manufacturer</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758</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758</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U.S. BioTek Laboratories, LLC - Class A</w:t>
            </w:r>
          </w:p>
        </w:tc>
        <w:tc>
          <w:tcPr>
            <w:tcW w:w="120" w:type="dxa"/>
            <w:vAlign w:val="bottom"/>
            <w:tcBorders>
              <w:bottom w:val="single" w:sz="8" w:color="CFF0FC"/>
            </w:tcBorders>
            <w:shd w:val="clear" w:color="auto" w:fill="CFF0FC"/>
          </w:tcPr>
          <w:p>
            <w:pPr>
              <w:spacing w:after="0"/>
              <w:rPr>
                <w:sz w:val="11"/>
                <w:szCs w:val="11"/>
                <w:color w:val="auto"/>
              </w:rPr>
            </w:pPr>
          </w:p>
        </w:tc>
        <w:tc>
          <w:tcPr>
            <w:tcW w:w="1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Testing Laboratories</w:t>
            </w: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3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3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623</w:t>
            </w:r>
          </w:p>
        </w:tc>
        <w:tc>
          <w:tcPr>
            <w:tcW w:w="20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Stock and Units</w:t>
            </w: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7,750</w:t>
            </w: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3,081</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Common Stock and Membership Units - 11.2%</w:t>
            </w:r>
          </w:p>
        </w:tc>
        <w:tc>
          <w:tcPr>
            <w:tcW w:w="1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Alternative Biomedical Solutions, LLC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Healthcare</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20,092</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4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Alternative Biomedical Solutions, LLC - Membership</w:t>
            </w:r>
          </w:p>
        </w:tc>
        <w:tc>
          <w:tcPr>
            <w:tcW w:w="120" w:type="dxa"/>
            <w:vAlign w:val="bottom"/>
            <w:shd w:val="clear" w:color="auto" w:fill="CFF0FC"/>
          </w:tcPr>
          <w:p>
            <w:pPr>
              <w:spacing w:after="0"/>
              <w:rPr>
                <w:sz w:val="8"/>
                <w:szCs w:val="8"/>
                <w:color w:val="auto"/>
              </w:rPr>
            </w:pPr>
          </w:p>
        </w:tc>
        <w:tc>
          <w:tcPr>
            <w:tcW w:w="1660" w:type="dxa"/>
            <w:vAlign w:val="bottom"/>
            <w:shd w:val="clear" w:color="auto" w:fill="CFF0FC"/>
          </w:tcPr>
          <w:p>
            <w:pPr>
              <w:spacing w:after="0" w:line="95" w:lineRule="exact"/>
              <w:rPr>
                <w:sz w:val="20"/>
                <w:szCs w:val="20"/>
                <w:color w:val="auto"/>
              </w:rPr>
            </w:pPr>
            <w:r>
              <w:rPr>
                <w:rFonts w:ascii="Times New Roman" w:cs="Times New Roman" w:eastAsia="Times New Roman" w:hAnsi="Times New Roman"/>
                <w:sz w:val="10"/>
                <w:szCs w:val="10"/>
                <w:color w:val="auto"/>
              </w:rPr>
              <w:t>Healthcare</w:t>
            </w:r>
          </w:p>
        </w:tc>
        <w:tc>
          <w:tcPr>
            <w:tcW w:w="100" w:type="dxa"/>
            <w:vAlign w:val="bottom"/>
            <w:shd w:val="clear" w:color="auto" w:fill="CFF0FC"/>
          </w:tcPr>
          <w:p>
            <w:pPr>
              <w:spacing w:after="0"/>
              <w:rPr>
                <w:sz w:val="8"/>
                <w:szCs w:val="8"/>
                <w:color w:val="auto"/>
              </w:rPr>
            </w:pPr>
          </w:p>
        </w:tc>
        <w:tc>
          <w:tcPr>
            <w:tcW w:w="6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8"/>
                <w:szCs w:val="8"/>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8"/>
                <w:szCs w:val="8"/>
                <w:color w:val="auto"/>
              </w:rPr>
            </w:pPr>
          </w:p>
        </w:tc>
        <w:tc>
          <w:tcPr>
            <w:tcW w:w="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5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Unit Warrants</w:t>
            </w:r>
          </w:p>
        </w:tc>
        <w:tc>
          <w:tcPr>
            <w:tcW w:w="120" w:type="dxa"/>
            <w:vAlign w:val="bottom"/>
            <w:shd w:val="clear" w:color="auto" w:fill="CFF0FC"/>
          </w:tcPr>
          <w:p>
            <w:pPr>
              <w:spacing w:after="0"/>
              <w:rPr>
                <w:sz w:val="7"/>
                <w:szCs w:val="7"/>
                <w:color w:val="auto"/>
              </w:rPr>
            </w:pPr>
          </w:p>
        </w:tc>
        <w:tc>
          <w:tcPr>
            <w:tcW w:w="16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6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40" w:type="dxa"/>
            <w:vAlign w:val="bottom"/>
            <w:vMerge w:val="continue"/>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2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2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49,295</w:t>
            </w:r>
          </w:p>
        </w:tc>
        <w:tc>
          <w:tcPr>
            <w:tcW w:w="36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840" w:type="dxa"/>
            <w:vAlign w:val="bottom"/>
            <w:gridSpan w:val="2"/>
            <w:vMerge w:val="restart"/>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7"/>
                <w:szCs w:val="7"/>
                <w:color w:val="auto"/>
              </w:rPr>
            </w:pPr>
          </w:p>
        </w:tc>
        <w:tc>
          <w:tcPr>
            <w:tcW w:w="6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54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6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4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20" w:type="dxa"/>
            <w:vAlign w:val="bottom"/>
            <w:vMerge w:val="continue"/>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40" w:type="dxa"/>
            <w:vAlign w:val="bottom"/>
            <w:gridSpan w:val="2"/>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620" w:type="dxa"/>
            <w:vAlign w:val="bottom"/>
            <w:gridSpan w:val="2"/>
            <w:vMerge w:val="continue"/>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Academy Holdings, LLC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Healthcare</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3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American Clinical Solutions, LLC - Class A</w:t>
            </w:r>
          </w:p>
        </w:tc>
        <w:tc>
          <w:tcPr>
            <w:tcW w:w="1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Healthcare</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6,030,384</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3,198</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3,648</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BLST Operating Company, LLC - Class A</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Online Merchandise Retailer</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217,013</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4,218</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3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Burke America Parts Group, LLC</w:t>
            </w:r>
          </w:p>
        </w:tc>
        <w:tc>
          <w:tcPr>
            <w:tcW w:w="1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Home Repair Parts Manufacturer</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2,770</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Freedom Electronics, LLC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Electronic Machine Repair</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181,818</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U.S. BioTek Laboratories, LLC - Class C</w:t>
            </w:r>
          </w:p>
        </w:tc>
        <w:tc>
          <w:tcPr>
            <w:tcW w:w="120" w:type="dxa"/>
            <w:vAlign w:val="bottom"/>
            <w:tcBorders>
              <w:bottom w:val="single" w:sz="8" w:color="CFF0FC"/>
            </w:tcBorders>
            <w:shd w:val="clear" w:color="auto" w:fill="CFF0FC"/>
          </w:tcPr>
          <w:p>
            <w:pPr>
              <w:spacing w:after="0"/>
              <w:rPr>
                <w:sz w:val="11"/>
                <w:szCs w:val="11"/>
                <w:color w:val="auto"/>
              </w:rPr>
            </w:pPr>
          </w:p>
        </w:tc>
        <w:tc>
          <w:tcPr>
            <w:tcW w:w="1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Testing Laboratories</w:t>
            </w: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578</w:t>
            </w:r>
          </w:p>
        </w:tc>
        <w:tc>
          <w:tcPr>
            <w:tcW w:w="3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3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20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Stock and Membership Units</w:t>
            </w: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4,472</w:t>
            </w: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11,352</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3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Non-Control, Non-Affiliate Portfolio Companies</w:t>
            </w: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shd w:val="clear" w:color="auto" w:fill="CFF0FC"/>
          </w:tcPr>
          <w:p>
            <w:pPr>
              <w:spacing w:after="0"/>
              <w:rPr>
                <w:sz w:val="11"/>
                <w:szCs w:val="11"/>
                <w:color w:val="auto"/>
              </w:rPr>
            </w:pPr>
          </w:p>
        </w:tc>
        <w:tc>
          <w:tcPr>
            <w:tcW w:w="3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148,331</w:t>
            </w:r>
          </w:p>
        </w:tc>
        <w:tc>
          <w:tcPr>
            <w:tcW w:w="3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141,954</w:t>
            </w:r>
          </w:p>
        </w:tc>
        <w:tc>
          <w:tcPr>
            <w:tcW w:w="20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-3274060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-3274060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-2733675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-2733675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-2382520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-2382520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-2022475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-2022475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-1148080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-1148080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-196215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-196215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7" w:name="page8"/>
    <w:bookmarkEnd w:id="7"/>
    <w:p>
      <w:pPr>
        <w:ind w:left="4560"/>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excepts for units/shares)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Reference Rate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Par/Shares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(1), (2), (3), (4), (5)</w:t>
            </w:r>
          </w:p>
        </w:tc>
        <w:tc>
          <w:tcPr>
            <w:tcW w:w="1700" w:type="dxa"/>
            <w:vAlign w:val="bottom"/>
          </w:tcPr>
          <w:p>
            <w:pPr>
              <w:ind w:left="660"/>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and Spread (+)</w:t>
            </w:r>
          </w:p>
        </w:tc>
        <w:tc>
          <w:tcPr>
            <w:tcW w:w="10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Floor (+)</w:t>
            </w:r>
          </w:p>
        </w:tc>
        <w:tc>
          <w:tcPr>
            <w:tcW w:w="1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8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20" w:type="dxa"/>
            <w:vAlign w:val="bottom"/>
          </w:tcPr>
          <w:p>
            <w:pPr>
              <w:spacing w:after="0"/>
              <w:rPr>
                <w:sz w:val="13"/>
                <w:szCs w:val="13"/>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35"/>
        </w:trPr>
        <w:tc>
          <w:tcPr>
            <w:tcW w:w="2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97"/>
              </w:rPr>
              <w:t>Investments in Affiliated Portfolio Companies - 29.9%^</w:t>
            </w:r>
          </w:p>
        </w:tc>
        <w:tc>
          <w:tcPr>
            <w:tcW w:w="100" w:type="dxa"/>
            <w:vAlign w:val="bottom"/>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Lien/Senior Secured Debt - 6.1%</w:t>
            </w:r>
          </w:p>
        </w:tc>
        <w:tc>
          <w:tcPr>
            <w:tcW w:w="1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MMI Holdings, LLC</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Medical Device Distributor</w:t>
            </w:r>
          </w:p>
        </w:tc>
        <w:tc>
          <w:tcPr>
            <w:tcW w:w="760" w:type="dxa"/>
            <w:vAlign w:val="bottom"/>
            <w:gridSpan w:val="2"/>
          </w:tcPr>
          <w:p>
            <w:pPr>
              <w:jc w:val="center"/>
              <w:ind w:left="47"/>
              <w:spacing w:after="0"/>
              <w:rPr>
                <w:sz w:val="20"/>
                <w:szCs w:val="20"/>
                <w:color w:val="auto"/>
              </w:rPr>
            </w:pPr>
            <w:r>
              <w:rPr>
                <w:rFonts w:ascii="Times New Roman" w:cs="Times New Roman" w:eastAsia="Times New Roman" w:hAnsi="Times New Roman"/>
                <w:sz w:val="11"/>
                <w:szCs w:val="11"/>
                <w:color w:val="auto"/>
              </w:rPr>
              <w:t>12.00%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center"/>
              <w:ind w:left="47"/>
              <w:spacing w:after="0"/>
              <w:rPr>
                <w:sz w:val="20"/>
                <w:szCs w:val="20"/>
                <w:color w:val="auto"/>
              </w:rPr>
            </w:pPr>
            <w:r>
              <w:rPr>
                <w:rFonts w:ascii="Times New Roman" w:cs="Times New Roman" w:eastAsia="Times New Roman" w:hAnsi="Times New Roman"/>
                <w:sz w:val="11"/>
                <w:szCs w:val="11"/>
                <w:color w:val="auto"/>
                <w:w w:val="99"/>
              </w:rPr>
              <w:t>04/01/2022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2,600</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RAM Payment, LLC (First Out)</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Financial Services</w:t>
            </w:r>
          </w:p>
        </w:tc>
        <w:tc>
          <w:tcPr>
            <w:tcW w:w="760" w:type="dxa"/>
            <w:vAlign w:val="bottom"/>
            <w:gridSpan w:val="2"/>
            <w:shd w:val="clear" w:color="auto" w:fill="CFF0FC"/>
          </w:tcPr>
          <w:p>
            <w:pPr>
              <w:jc w:val="center"/>
              <w:ind w:left="67"/>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L + 5.00%</w:t>
            </w:r>
          </w:p>
        </w:tc>
        <w:tc>
          <w:tcPr>
            <w:tcW w:w="6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1.50%</w:t>
            </w:r>
          </w:p>
        </w:tc>
        <w:tc>
          <w:tcPr>
            <w:tcW w:w="920" w:type="dxa"/>
            <w:vAlign w:val="bottom"/>
            <w:gridSpan w:val="2"/>
            <w:shd w:val="clear" w:color="auto" w:fill="CFF0FC"/>
          </w:tcPr>
          <w:p>
            <w:pPr>
              <w:jc w:val="center"/>
              <w:ind w:left="47"/>
              <w:spacing w:after="0"/>
              <w:rPr>
                <w:sz w:val="20"/>
                <w:szCs w:val="20"/>
                <w:color w:val="auto"/>
              </w:rPr>
            </w:pPr>
            <w:r>
              <w:rPr>
                <w:rFonts w:ascii="Times New Roman" w:cs="Times New Roman" w:eastAsia="Times New Roman" w:hAnsi="Times New Roman"/>
                <w:sz w:val="11"/>
                <w:szCs w:val="11"/>
                <w:color w:val="auto"/>
                <w:w w:val="99"/>
              </w:rPr>
              <w:t>01/04/2024</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969</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969</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969</w:t>
            </w:r>
          </w:p>
        </w:tc>
        <w:tc>
          <w:tcPr>
            <w:tcW w:w="8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RAM Payment, LLC (Last Out)</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Financial Services</w:t>
            </w:r>
          </w:p>
        </w:tc>
        <w:tc>
          <w:tcPr>
            <w:tcW w:w="760" w:type="dxa"/>
            <w:vAlign w:val="bottom"/>
            <w:gridSpan w:val="2"/>
          </w:tcPr>
          <w:p>
            <w:pPr>
              <w:jc w:val="center"/>
              <w:ind w:left="67"/>
              <w:spacing w:after="0"/>
              <w:rPr>
                <w:sz w:val="20"/>
                <w:szCs w:val="20"/>
                <w:color w:val="auto"/>
              </w:rPr>
            </w:pPr>
            <w:r>
              <w:rPr>
                <w:rFonts w:ascii="Times New Roman" w:cs="Times New Roman" w:eastAsia="Times New Roman" w:hAnsi="Times New Roman"/>
                <w:sz w:val="11"/>
                <w:szCs w:val="11"/>
                <w:color w:val="auto"/>
                <w:w w:val="98"/>
              </w:rPr>
              <w:t>9.83%</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center"/>
              <w:ind w:left="47"/>
              <w:spacing w:after="0"/>
              <w:rPr>
                <w:sz w:val="20"/>
                <w:szCs w:val="20"/>
                <w:color w:val="auto"/>
              </w:rPr>
            </w:pPr>
            <w:r>
              <w:rPr>
                <w:rFonts w:ascii="Times New Roman" w:cs="Times New Roman" w:eastAsia="Times New Roman" w:hAnsi="Times New Roman"/>
                <w:sz w:val="11"/>
                <w:szCs w:val="11"/>
                <w:color w:val="auto"/>
                <w:w w:val="99"/>
              </w:rPr>
              <w:t>01/04/2024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2,627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(10)(26)</w:t>
            </w:r>
          </w:p>
        </w:tc>
        <w:tc>
          <w:tcPr>
            <w:tcW w:w="0" w:type="dxa"/>
            <w:vAlign w:val="bottom"/>
          </w:tcPr>
          <w:p>
            <w:pPr>
              <w:spacing w:after="0"/>
              <w:rPr>
                <w:sz w:val="1"/>
                <w:szCs w:val="1"/>
                <w:color w:val="auto"/>
              </w:rPr>
            </w:pPr>
          </w:p>
        </w:tc>
      </w:tr>
      <w:tr>
        <w:trPr>
          <w:trHeight w:val="128"/>
        </w:trPr>
        <w:tc>
          <w:tcPr>
            <w:tcW w:w="2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Lien/Senior Secured Debt</w:t>
            </w:r>
          </w:p>
        </w:tc>
        <w:tc>
          <w:tcPr>
            <w:tcW w:w="17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6,196</w:t>
            </w:r>
          </w:p>
        </w:tc>
        <w:tc>
          <w:tcPr>
            <w:tcW w:w="34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6,194</w:t>
            </w:r>
          </w:p>
        </w:tc>
        <w:tc>
          <w:tcPr>
            <w:tcW w:w="22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Lien/Senior Secured Debt - 00.9%</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MMI Holdings, LLC</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Medical Device Distributor</w:t>
            </w:r>
          </w:p>
        </w:tc>
        <w:tc>
          <w:tcPr>
            <w:tcW w:w="760" w:type="dxa"/>
            <w:vAlign w:val="bottom"/>
            <w:gridSpan w:val="2"/>
            <w:shd w:val="clear" w:color="auto" w:fill="CFF0FC"/>
          </w:tcPr>
          <w:p>
            <w:pPr>
              <w:jc w:val="center"/>
              <w:ind w:left="67"/>
              <w:spacing w:after="0"/>
              <w:rPr>
                <w:sz w:val="20"/>
                <w:szCs w:val="20"/>
                <w:color w:val="auto"/>
              </w:rPr>
            </w:pPr>
            <w:r>
              <w:rPr>
                <w:rFonts w:ascii="Times New Roman" w:cs="Times New Roman" w:eastAsia="Times New Roman" w:hAnsi="Times New Roman"/>
                <w:sz w:val="11"/>
                <w:szCs w:val="11"/>
                <w:color w:val="auto"/>
                <w:w w:val="98"/>
              </w:rPr>
              <w:t>6.00%</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FF0FC"/>
          </w:tcPr>
          <w:p>
            <w:pPr>
              <w:jc w:val="center"/>
              <w:ind w:left="47"/>
              <w:spacing w:after="0"/>
              <w:rPr>
                <w:sz w:val="20"/>
                <w:szCs w:val="20"/>
                <w:color w:val="auto"/>
              </w:rPr>
            </w:pPr>
            <w:r>
              <w:rPr>
                <w:rFonts w:ascii="Times New Roman" w:cs="Times New Roman" w:eastAsia="Times New Roman" w:hAnsi="Times New Roman"/>
                <w:sz w:val="11"/>
                <w:szCs w:val="11"/>
                <w:color w:val="auto"/>
                <w:w w:val="99"/>
              </w:rPr>
              <w:t>04/01/2022</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388</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70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10"/>
                <w:szCs w:val="10"/>
                <w:color w:val="auto"/>
              </w:rPr>
              <w:t>Sierra Hamilton Holdings Corporation</w:t>
            </w:r>
          </w:p>
        </w:tc>
        <w:tc>
          <w:tcPr>
            <w:tcW w:w="170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Oil &amp; Gas Engineering and</w:t>
            </w:r>
          </w:p>
        </w:tc>
        <w:tc>
          <w:tcPr>
            <w:tcW w:w="760" w:type="dxa"/>
            <w:vAlign w:val="bottom"/>
            <w:gridSpan w:val="2"/>
          </w:tcPr>
          <w:p>
            <w:pPr>
              <w:jc w:val="center"/>
              <w:ind w:left="47"/>
              <w:spacing w:after="0" w:line="95" w:lineRule="exact"/>
              <w:rPr>
                <w:sz w:val="20"/>
                <w:szCs w:val="20"/>
                <w:color w:val="auto"/>
              </w:rPr>
            </w:pPr>
            <w:r>
              <w:rPr>
                <w:rFonts w:ascii="Times New Roman" w:cs="Times New Roman" w:eastAsia="Times New Roman" w:hAnsi="Times New Roman"/>
                <w:sz w:val="10"/>
                <w:szCs w:val="10"/>
                <w:color w:val="auto"/>
              </w:rPr>
              <w:t>15.00%</w:t>
            </w:r>
          </w:p>
        </w:tc>
        <w:tc>
          <w:tcPr>
            <w:tcW w:w="12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center"/>
              <w:ind w:left="47"/>
              <w:spacing w:after="0" w:line="95" w:lineRule="exact"/>
              <w:rPr>
                <w:sz w:val="20"/>
                <w:szCs w:val="20"/>
                <w:color w:val="auto"/>
              </w:rPr>
            </w:pPr>
            <w:r>
              <w:rPr>
                <w:rFonts w:ascii="Times New Roman" w:cs="Times New Roman" w:eastAsia="Times New Roman" w:hAnsi="Times New Roman"/>
                <w:sz w:val="10"/>
                <w:szCs w:val="10"/>
                <w:color w:val="auto"/>
              </w:rPr>
              <w:t>09/11/2023</w:t>
            </w: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Consulting Services</w:t>
            </w: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72"/>
        </w:trPr>
        <w:tc>
          <w:tcPr>
            <w:tcW w:w="2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V12 Holdings, Inc.</w:t>
            </w:r>
          </w:p>
        </w:tc>
        <w:tc>
          <w:tcPr>
            <w:tcW w:w="1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Data Processing &amp; Digital Marketing</w:t>
            </w:r>
          </w:p>
        </w:tc>
        <w:tc>
          <w:tcPr>
            <w:tcW w:w="10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2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34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86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2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Lien/Senior Secured Debt</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912</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Preferred Stock and Units - 10.9%</w:t>
            </w:r>
          </w:p>
        </w:tc>
        <w:tc>
          <w:tcPr>
            <w:tcW w:w="1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GA Communications, Inc. - Series A-1</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Advertising &amp; Marketing Services</w:t>
            </w:r>
          </w:p>
        </w:tc>
        <w:tc>
          <w:tcPr>
            <w:tcW w:w="100" w:type="dxa"/>
            <w:vAlign w:val="bottom"/>
          </w:tcPr>
          <w:p>
            <w:pPr>
              <w:spacing w:after="0"/>
              <w:rPr>
                <w:sz w:val="11"/>
                <w:szCs w:val="11"/>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1,998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4,480</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GreenPark Infrastructure, LLC - Series A</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Industrials</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8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LJS Partners, LLC</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QSR Franchisor</w:t>
            </w:r>
          </w:p>
        </w:tc>
        <w:tc>
          <w:tcPr>
            <w:tcW w:w="100" w:type="dxa"/>
            <w:vAlign w:val="bottom"/>
          </w:tcPr>
          <w:p>
            <w:pPr>
              <w:spacing w:after="0"/>
              <w:rPr>
                <w:sz w:val="11"/>
                <w:szCs w:val="11"/>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202,336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MMI Holdings, LLC</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Medical Device Distributor</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8.00% PIK</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1,845</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1,898</w:t>
            </w:r>
          </w:p>
        </w:tc>
        <w:tc>
          <w:tcPr>
            <w:tcW w:w="8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(27)</w:t>
            </w: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RAM Payment, LLC</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Financial Services</w:t>
            </w:r>
          </w:p>
        </w:tc>
        <w:tc>
          <w:tcPr>
            <w:tcW w:w="10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6.00% PIK</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86,000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3,580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(27)</w:t>
            </w:r>
          </w:p>
        </w:tc>
        <w:tc>
          <w:tcPr>
            <w:tcW w:w="0" w:type="dxa"/>
            <w:vAlign w:val="bottom"/>
          </w:tcPr>
          <w:p>
            <w:pPr>
              <w:spacing w:after="0"/>
              <w:rPr>
                <w:sz w:val="1"/>
                <w:szCs w:val="1"/>
                <w:color w:val="auto"/>
              </w:rPr>
            </w:pPr>
          </w:p>
        </w:tc>
      </w:tr>
      <w:tr>
        <w:trPr>
          <w:trHeight w:val="128"/>
        </w:trPr>
        <w:tc>
          <w:tcPr>
            <w:tcW w:w="2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Stock and Units</w:t>
            </w:r>
          </w:p>
        </w:tc>
        <w:tc>
          <w:tcPr>
            <w:tcW w:w="17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7,059</w:t>
            </w:r>
          </w:p>
        </w:tc>
        <w:tc>
          <w:tcPr>
            <w:tcW w:w="34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11,062</w:t>
            </w:r>
          </w:p>
        </w:tc>
        <w:tc>
          <w:tcPr>
            <w:tcW w:w="22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Common Stock and Membership Units - 12.0%</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Burgaflex Holdings, LLC - Class A</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Automobile Part Manufacturer</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1,253,198</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1,504</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1,873</w:t>
            </w: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Burgaflex Holdings, LLC - Class B</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Automobile Part Manufacturer</w:t>
            </w:r>
          </w:p>
        </w:tc>
        <w:tc>
          <w:tcPr>
            <w:tcW w:w="100" w:type="dxa"/>
            <w:vAlign w:val="bottom"/>
          </w:tcPr>
          <w:p>
            <w:pPr>
              <w:spacing w:after="0"/>
              <w:rPr>
                <w:sz w:val="11"/>
                <w:szCs w:val="11"/>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1,085,073</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3,014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GA Communications, Inc. - Series B-1</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Advertising &amp; Marketing Services</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200,000</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3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GreenPark Infrastructure, LLC - Series M-1</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Industrials</w:t>
            </w:r>
          </w:p>
        </w:tc>
        <w:tc>
          <w:tcPr>
            <w:tcW w:w="100" w:type="dxa"/>
            <w:vAlign w:val="bottom"/>
          </w:tcPr>
          <w:p>
            <w:pPr>
              <w:spacing w:after="0"/>
              <w:rPr>
                <w:sz w:val="11"/>
                <w:szCs w:val="11"/>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(6)(23)</w:t>
            </w:r>
          </w:p>
        </w:tc>
        <w:tc>
          <w:tcPr>
            <w:tcW w:w="0" w:type="dxa"/>
            <w:vAlign w:val="bottom"/>
          </w:tcPr>
          <w:p>
            <w:pPr>
              <w:spacing w:after="0"/>
              <w:rPr>
                <w:sz w:val="1"/>
                <w:szCs w:val="1"/>
                <w:color w:val="auto"/>
              </w:rPr>
            </w:pPr>
          </w:p>
        </w:tc>
      </w:tr>
      <w:tr>
        <w:trPr>
          <w:trHeight w:val="135"/>
        </w:trPr>
        <w:tc>
          <w:tcPr>
            <w:tcW w:w="2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LJS Partners, LLC</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QSR Franchisor</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2,593,234</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1,224</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6,794</w:t>
            </w: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MMI Holdings, LLC</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Medical Device Distributor</w:t>
            </w:r>
          </w:p>
        </w:tc>
        <w:tc>
          <w:tcPr>
            <w:tcW w:w="100" w:type="dxa"/>
            <w:vAlign w:val="bottom"/>
          </w:tcPr>
          <w:p>
            <w:pPr>
              <w:spacing w:after="0"/>
              <w:rPr>
                <w:sz w:val="11"/>
                <w:szCs w:val="11"/>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Nth Degree Investment Group, LLC</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Business Services</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6,088,000</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6,088</w:t>
            </w:r>
          </w:p>
        </w:tc>
        <w:tc>
          <w:tcPr>
            <w:tcW w:w="3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70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10"/>
                <w:szCs w:val="10"/>
                <w:color w:val="auto"/>
              </w:rPr>
              <w:t>Sierra Hamilton Holdings Corporation</w:t>
            </w:r>
          </w:p>
        </w:tc>
        <w:tc>
          <w:tcPr>
            <w:tcW w:w="170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Oil &amp; Gas Engineering and</w:t>
            </w:r>
          </w:p>
        </w:tc>
        <w:tc>
          <w:tcPr>
            <w:tcW w:w="100" w:type="dxa"/>
            <w:vAlign w:val="bottom"/>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Consulting Services</w:t>
            </w: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15,068,000</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6,958</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Stock and Membership Units</w:t>
            </w:r>
          </w:p>
        </w:tc>
        <w:tc>
          <w:tcPr>
            <w:tcW w:w="17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16,207</w:t>
            </w:r>
          </w:p>
        </w:tc>
        <w:tc>
          <w:tcPr>
            <w:tcW w:w="34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12,103</w:t>
            </w:r>
          </w:p>
        </w:tc>
        <w:tc>
          <w:tcPr>
            <w:tcW w:w="22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Affiliated Portfolio Companies^</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30,344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30,271</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w w:val="99"/>
              </w:rPr>
              <w:t>Investments in Controlled Portfolio Companies - 3.6%^^</w:t>
            </w:r>
          </w:p>
        </w:tc>
        <w:tc>
          <w:tcPr>
            <w:tcW w:w="1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Lien/Senior Secured Debt - 3.6%</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Vology, Inc.</w:t>
            </w:r>
          </w:p>
        </w:tc>
        <w:tc>
          <w:tcPr>
            <w:tcW w:w="1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Information Technology</w:t>
            </w:r>
          </w:p>
        </w:tc>
        <w:tc>
          <w:tcPr>
            <w:tcW w:w="760" w:type="dxa"/>
            <w:vAlign w:val="bottom"/>
            <w:tcBorders>
              <w:bottom w:val="single" w:sz="8" w:color="CFF0FC"/>
            </w:tcBorders>
            <w:gridSpan w:val="2"/>
            <w:shd w:val="clear" w:color="auto" w:fill="CFF0FC"/>
          </w:tcPr>
          <w:p>
            <w:pPr>
              <w:jc w:val="center"/>
              <w:ind w:left="47"/>
              <w:spacing w:after="0"/>
              <w:rPr>
                <w:sz w:val="20"/>
                <w:szCs w:val="20"/>
                <w:color w:val="auto"/>
              </w:rPr>
            </w:pPr>
            <w:r>
              <w:rPr>
                <w:rFonts w:ascii="Times New Roman" w:cs="Times New Roman" w:eastAsia="Times New Roman" w:hAnsi="Times New Roman"/>
                <w:sz w:val="11"/>
                <w:szCs w:val="11"/>
                <w:color w:val="auto"/>
              </w:rPr>
              <w:t>10.50%</w:t>
            </w:r>
          </w:p>
        </w:tc>
        <w:tc>
          <w:tcPr>
            <w:tcW w:w="12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L + 8.50%</w:t>
            </w:r>
          </w:p>
        </w:tc>
        <w:tc>
          <w:tcPr>
            <w:tcW w:w="620" w:type="dxa"/>
            <w:vAlign w:val="bottom"/>
            <w:tcBorders>
              <w:bottom w:val="single" w:sz="8" w:color="CFF0FC"/>
            </w:tcBorders>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2.00%</w:t>
            </w:r>
          </w:p>
        </w:tc>
        <w:tc>
          <w:tcPr>
            <w:tcW w:w="920" w:type="dxa"/>
            <w:vAlign w:val="bottom"/>
            <w:tcBorders>
              <w:bottom w:val="single" w:sz="8" w:color="CFF0FC"/>
            </w:tcBorders>
            <w:gridSpan w:val="2"/>
            <w:shd w:val="clear" w:color="auto" w:fill="CFF0FC"/>
          </w:tcPr>
          <w:p>
            <w:pPr>
              <w:jc w:val="center"/>
              <w:ind w:left="47"/>
              <w:spacing w:after="0"/>
              <w:rPr>
                <w:sz w:val="20"/>
                <w:szCs w:val="20"/>
                <w:color w:val="auto"/>
              </w:rPr>
            </w:pPr>
            <w:r>
              <w:rPr>
                <w:rFonts w:ascii="Times New Roman" w:cs="Times New Roman" w:eastAsia="Times New Roman" w:hAnsi="Times New Roman"/>
                <w:sz w:val="11"/>
                <w:szCs w:val="11"/>
                <w:color w:val="auto"/>
                <w:w w:val="99"/>
              </w:rPr>
              <w:t>03/31/2022</w:t>
            </w: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3,635</w:t>
            </w: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3,635</w:t>
            </w:r>
          </w:p>
        </w:tc>
        <w:tc>
          <w:tcPr>
            <w:tcW w:w="34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3,628</w:t>
            </w:r>
          </w:p>
        </w:tc>
        <w:tc>
          <w:tcPr>
            <w:tcW w:w="22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Lien/Senior Secured Debt</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3,628</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Preferred Stock and Units - 0.0%</w:t>
            </w:r>
          </w:p>
        </w:tc>
        <w:tc>
          <w:tcPr>
            <w:tcW w:w="1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Vology, Inc. - Class A</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Information Technology</w:t>
            </w:r>
          </w:p>
        </w:tc>
        <w:tc>
          <w:tcPr>
            <w:tcW w:w="100" w:type="dxa"/>
            <w:vAlign w:val="bottom"/>
          </w:tcPr>
          <w:p>
            <w:pPr>
              <w:spacing w:after="0"/>
              <w:rPr>
                <w:sz w:val="11"/>
                <w:szCs w:val="11"/>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9,041,810</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5,215</w:t>
            </w:r>
          </w:p>
        </w:tc>
        <w:tc>
          <w:tcPr>
            <w:tcW w:w="340" w:type="dxa"/>
            <w:vAlign w:val="bottom"/>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Stock and Units</w:t>
            </w:r>
          </w:p>
        </w:tc>
        <w:tc>
          <w:tcPr>
            <w:tcW w:w="17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5,215</w:t>
            </w:r>
          </w:p>
        </w:tc>
        <w:tc>
          <w:tcPr>
            <w:tcW w:w="34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Common Stock and Membership Units - 00.0%</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Vology, Inc - Class S</w:t>
            </w:r>
          </w:p>
        </w:tc>
        <w:tc>
          <w:tcPr>
            <w:tcW w:w="17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5,363,982</w:t>
            </w: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Stock and Membership Units</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Controlled Portfolio Companies^^</w:t>
            </w:r>
          </w:p>
        </w:tc>
        <w:tc>
          <w:tcPr>
            <w:tcW w:w="17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8,850</w:t>
            </w:r>
          </w:p>
        </w:tc>
        <w:tc>
          <w:tcPr>
            <w:tcW w:w="34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3,628</w:t>
            </w:r>
          </w:p>
        </w:tc>
        <w:tc>
          <w:tcPr>
            <w:tcW w:w="22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- 173.9%</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gridSpan w:val="3"/>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187,525</w:t>
            </w:r>
          </w:p>
        </w:tc>
        <w:tc>
          <w:tcPr>
            <w:tcW w:w="34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175,853</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-3282315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-3282315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-2853690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-2853690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-2142490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-2142490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-1199515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-1199515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-839470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-839470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-471170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-471170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-290830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-290830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-102235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-102235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firstLine="8"/>
        <w:spacing w:after="0" w:line="253" w:lineRule="auto"/>
        <w:tabs>
          <w:tab w:leader="none" w:pos="269"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defined in the Investment Company Act of 1940, as amended (the "1940 Act"), the investment is deemed to be an "affiliated person" of the Company because the Company owns, either directly or indirectly, 5% or more of the portfolio company's outstanding voting securities.</w:t>
      </w:r>
    </w:p>
    <w:p>
      <w:pPr>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As defined in the 1940 Act, the investment is deemed to be a "controlled affiliated person" of the Company because the Company owns, either directly or indirectly, 25% or more of the portfolio company's outstanding voting securities or has the power to exercise control over management or policies of such portfolio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-423545</wp:posOffset>
            </wp:positionV>
            <wp:extent cx="10115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jc w:val="both"/>
        <w:ind w:firstLine="8"/>
        <w:spacing w:after="0" w:line="244" w:lineRule="auto"/>
        <w:tabs>
          <w:tab w:leader="none" w:pos="353"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actual interest rate for partially or fully funded debt in effect as of the reporting date. Variable rate loans bear interest at a rate that may be determined by the larger of the floor of the reference to either LIBOR ("L"), SOFR or alternate base rate (commonly known as the U.S. Prime Rate ("P"), unless otherwise noted) at the borrower's option, which reset periodically based on the terms of the credit agreement. L loans are typically indexed to 6 month, 3 month, or 1 month L rates. SOFR loans are typically indexed to 6 month, 3 month, or 1 month SOFR rates. As of June 30, 2022, rates for the 6 month, 3 month, and 1 month L are 2.94%, 2.29%, and 1.79%, respectively. As of June 30, 2022, rates for the 6 month, 3 month and 1 month SOFR are 2.63%, 2.12% and 1.69%, respectively. As of June 30, 2022, P was 4.75%. For investments with multiple reference rates or alternate base rates, the interest rate shown is the weighted average interest rate in effect at June 30, 2022.</w:t>
      </w:r>
    </w:p>
    <w:p>
      <w:pPr>
        <w:spacing w:after="0" w:line="3" w:lineRule="exact"/>
        <w:rPr>
          <w:sz w:val="20"/>
          <w:szCs w:val="20"/>
          <w:color w:val="auto"/>
        </w:rPr>
      </w:pPr>
    </w:p>
    <w:p>
      <w:pPr>
        <w:ind w:left="440" w:hanging="432"/>
        <w:spacing w:after="0"/>
        <w:tabs>
          <w:tab w:leader="none" w:pos="4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 amount is presented for debt investments, while the number of shares or units owned is presented for equity investments.</w:t>
      </w:r>
    </w:p>
    <w:p>
      <w:pPr>
        <w:ind w:left="520" w:hanging="512"/>
        <w:spacing w:after="0" w:line="193" w:lineRule="auto"/>
        <w:tabs>
          <w:tab w:leader="none" w:pos="52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investments valued using unobservable inputs (Level 3), unless otherwise noted.</w:t>
      </w:r>
    </w:p>
    <w:p>
      <w:pPr>
        <w:ind w:left="520" w:hanging="512"/>
        <w:spacing w:after="0" w:line="187" w:lineRule="auto"/>
        <w:tabs>
          <w:tab w:leader="none" w:pos="52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All investments valued by Logan Ridge Finance Corporation's (the "Company") board of directors.</w:t>
      </w:r>
    </w:p>
    <w:p>
      <w:pPr>
        <w:ind w:left="520" w:hanging="512"/>
        <w:spacing w:after="0" w:line="187" w:lineRule="auto"/>
        <w:tabs>
          <w:tab w:leader="none" w:pos="52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All debt investments are income producing, unless otherwise noted. Equity and warrant investments are non-income producing, unless otherwise noted.</w:t>
      </w:r>
    </w:p>
    <w:p>
      <w:pPr>
        <w:ind w:left="520" w:hanging="512"/>
        <w:spacing w:after="0" w:line="189" w:lineRule="auto"/>
        <w:tabs>
          <w:tab w:leader="none" w:pos="52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Percentages are based on net assets as of June 30, 2022.</w:t>
      </w:r>
    </w:p>
    <w:p>
      <w:pPr>
        <w:spacing w:after="0" w:line="3" w:lineRule="exact"/>
        <w:rPr>
          <w:rFonts w:ascii="Times New Roman" w:cs="Times New Roman" w:eastAsia="Times New Roman" w:hAnsi="Times New Roman"/>
          <w:sz w:val="19"/>
          <w:szCs w:val="19"/>
          <w:color w:val="auto"/>
          <w:vertAlign w:val="superscript"/>
        </w:rPr>
      </w:pPr>
    </w:p>
    <w:p>
      <w:pPr>
        <w:ind w:left="520" w:hanging="512"/>
        <w:spacing w:after="0" w:line="204" w:lineRule="auto"/>
        <w:tabs>
          <w:tab w:leader="none" w:pos="52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spacing w:after="0" w:line="1" w:lineRule="exact"/>
        <w:rPr>
          <w:rFonts w:ascii="Times New Roman" w:cs="Times New Roman" w:eastAsia="Times New Roman" w:hAnsi="Times New Roman"/>
          <w:sz w:val="19"/>
          <w:szCs w:val="19"/>
          <w:color w:val="auto"/>
          <w:vertAlign w:val="superscript"/>
        </w:rPr>
      </w:pPr>
    </w:p>
    <w:p>
      <w:pPr>
        <w:ind w:left="520" w:hanging="512"/>
        <w:spacing w:after="0" w:line="187" w:lineRule="auto"/>
        <w:tabs>
          <w:tab w:leader="none" w:pos="52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Investment is held through our Taxable Subsidiary (See Note 1).</w:t>
      </w:r>
    </w:p>
    <w:p>
      <w:pPr>
        <w:ind w:left="520" w:hanging="512"/>
        <w:spacing w:after="0" w:line="189" w:lineRule="auto"/>
        <w:tabs>
          <w:tab w:leader="none" w:pos="52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Non-accrual investment.</w:t>
      </w:r>
    </w:p>
    <w:p>
      <w:pPr>
        <w:spacing w:after="0" w:line="3" w:lineRule="exact"/>
        <w:rPr>
          <w:rFonts w:ascii="Times New Roman" w:cs="Times New Roman" w:eastAsia="Times New Roman" w:hAnsi="Times New Roman"/>
          <w:sz w:val="19"/>
          <w:szCs w:val="19"/>
          <w:color w:val="auto"/>
          <w:vertAlign w:val="superscript"/>
        </w:rPr>
      </w:pPr>
    </w:p>
    <w:p>
      <w:pPr>
        <w:ind w:left="520" w:hanging="512"/>
        <w:spacing w:after="0" w:line="187" w:lineRule="auto"/>
        <w:tabs>
          <w:tab w:leader="none" w:pos="52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1.0% of interest rate payable in cash. 9.0% of interest rate payable in cash or paid-in-kind at borrower's election. The borrower is currently paying all interest in cash.</w:t>
      </w:r>
    </w:p>
    <w:p>
      <w:pPr>
        <w:ind w:left="520" w:hanging="512"/>
        <w:spacing w:after="0" w:line="187" w:lineRule="auto"/>
        <w:tabs>
          <w:tab w:leader="none" w:pos="52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15.0% of interest rate payable in cash or paid-in-kind at borrower's election.</w:t>
      </w:r>
    </w:p>
    <w:p>
      <w:pPr>
        <w:ind w:left="520" w:hanging="512"/>
        <w:spacing w:after="0" w:line="187" w:lineRule="auto"/>
        <w:tabs>
          <w:tab w:leader="none" w:pos="52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cash rate equals the approximate current yield on our last-out portion of the unitranche facility.</w:t>
      </w:r>
    </w:p>
    <w:p>
      <w:pPr>
        <w:ind w:left="520" w:hanging="512"/>
        <w:spacing w:after="0" w:line="189" w:lineRule="auto"/>
        <w:tabs>
          <w:tab w:leader="none" w:pos="52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investment has been exited or sold. The residual value reflects estimated earnout, escrow, or other proceeds expected post-closing.</w:t>
      </w:r>
    </w:p>
    <w:p>
      <w:pPr>
        <w:spacing w:after="0" w:line="3" w:lineRule="exact"/>
        <w:rPr>
          <w:rFonts w:ascii="Times New Roman" w:cs="Times New Roman" w:eastAsia="Times New Roman" w:hAnsi="Times New Roman"/>
          <w:sz w:val="19"/>
          <w:szCs w:val="19"/>
          <w:color w:val="auto"/>
          <w:vertAlign w:val="superscript"/>
        </w:rPr>
      </w:pPr>
    </w:p>
    <w:p>
      <w:pPr>
        <w:ind w:left="520" w:hanging="512"/>
        <w:spacing w:after="0" w:line="187" w:lineRule="auto"/>
        <w:tabs>
          <w:tab w:leader="none" w:pos="52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investment has a $2.2 million unfunded commitment.</w:t>
      </w:r>
    </w:p>
    <w:p>
      <w:pPr>
        <w:ind w:left="520" w:hanging="512"/>
        <w:spacing w:after="0" w:line="187" w:lineRule="auto"/>
        <w:tabs>
          <w:tab w:leader="none" w:pos="52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investment has a $2.3 million unfunded commitment.</w:t>
      </w:r>
    </w:p>
    <w:p>
      <w:pPr>
        <w:ind w:left="520" w:hanging="512"/>
        <w:spacing w:after="0" w:line="187" w:lineRule="auto"/>
        <w:tabs>
          <w:tab w:leader="none" w:pos="52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investment has a $0.8 million unfunded commitment.</w:t>
      </w:r>
    </w:p>
    <w:p>
      <w:pPr>
        <w:ind w:left="520" w:hanging="512"/>
        <w:spacing w:after="0" w:line="189" w:lineRule="auto"/>
        <w:tabs>
          <w:tab w:leader="none" w:pos="52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investment has a $2.1 million unfunded commitment.</w:t>
      </w:r>
    </w:p>
    <w:p>
      <w:pPr>
        <w:spacing w:after="0" w:line="3" w:lineRule="exact"/>
        <w:rPr>
          <w:rFonts w:ascii="Times New Roman" w:cs="Times New Roman" w:eastAsia="Times New Roman" w:hAnsi="Times New Roman"/>
          <w:sz w:val="19"/>
          <w:szCs w:val="19"/>
          <w:color w:val="auto"/>
          <w:vertAlign w:val="superscript"/>
        </w:rPr>
      </w:pPr>
    </w:p>
    <w:p>
      <w:pPr>
        <w:ind w:left="520" w:hanging="512"/>
        <w:spacing w:after="0" w:line="189" w:lineRule="auto"/>
        <w:tabs>
          <w:tab w:leader="none" w:pos="52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investment has a $1.0 million unfunded commitment.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8" w:name="page9"/>
    <w:bookmarkEnd w:id="8"/>
    <w:p>
      <w:pPr>
        <w:ind w:left="4552"/>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29" w:lineRule="exact"/>
        <w:rPr>
          <w:sz w:val="20"/>
          <w:szCs w:val="20"/>
          <w:color w:val="auto"/>
        </w:rPr>
      </w:pPr>
    </w:p>
    <w:p>
      <w:pPr>
        <w:ind w:left="4072"/>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spacing w:after="0" w:line="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(in thousands, excepts for units/shares)</w:t>
      </w:r>
    </w:p>
    <w:p>
      <w:pPr>
        <w:spacing w:after="0" w:line="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1" w:lineRule="exact"/>
        <w:rPr>
          <w:sz w:val="20"/>
          <w:szCs w:val="20"/>
          <w:color w:val="auto"/>
        </w:rPr>
      </w:pPr>
    </w:p>
    <w:p>
      <w:pPr>
        <w:ind w:left="512" w:hanging="512"/>
        <w:spacing w:after="0"/>
        <w:tabs>
          <w:tab w:leader="none" w:pos="512"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investment has a $0.9 million unfunded commitment.</w:t>
      </w:r>
    </w:p>
    <w:p>
      <w:pPr>
        <w:ind w:left="512" w:hanging="512"/>
        <w:spacing w:after="0" w:line="187" w:lineRule="auto"/>
        <w:tabs>
          <w:tab w:leader="none" w:pos="512"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investment has a $0.7 million unfunded commitment.</w:t>
      </w:r>
    </w:p>
    <w:p>
      <w:pPr>
        <w:jc w:val="both"/>
        <w:ind w:left="512" w:hanging="512"/>
        <w:spacing w:after="0" w:line="221" w:lineRule="auto"/>
        <w:tabs>
          <w:tab w:leader="none" w:pos="512"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Collateralized loan obligations ("CLO" or "CLO's")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Times New Roman" w:cs="Times New Roman" w:eastAsia="Times New Roman" w:hAnsi="Times New Roman"/>
          <w:sz w:val="19"/>
          <w:szCs w:val="19"/>
          <w:color w:val="auto"/>
          <w:vertAlign w:val="superscript"/>
        </w:rPr>
      </w:pPr>
    </w:p>
    <w:p>
      <w:pPr>
        <w:ind w:left="512" w:hanging="512"/>
        <w:spacing w:after="0" w:line="187" w:lineRule="auto"/>
        <w:tabs>
          <w:tab w:leader="none" w:pos="512"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investment has a $1.4 million unfunded commitment.</w:t>
      </w:r>
    </w:p>
    <w:p>
      <w:pPr>
        <w:ind w:left="512" w:hanging="512"/>
        <w:spacing w:after="0" w:line="189" w:lineRule="auto"/>
        <w:tabs>
          <w:tab w:leader="none" w:pos="512"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investment has a $1.2 million unfunded commitment.</w:t>
      </w:r>
    </w:p>
    <w:p>
      <w:pPr>
        <w:spacing w:after="0" w:line="3" w:lineRule="exact"/>
        <w:rPr>
          <w:rFonts w:ascii="Times New Roman" w:cs="Times New Roman" w:eastAsia="Times New Roman" w:hAnsi="Times New Roman"/>
          <w:sz w:val="19"/>
          <w:szCs w:val="19"/>
          <w:color w:val="auto"/>
          <w:vertAlign w:val="superscript"/>
        </w:rPr>
      </w:pPr>
    </w:p>
    <w:p>
      <w:pPr>
        <w:ind w:left="512" w:hanging="512"/>
        <w:spacing w:after="0" w:line="187" w:lineRule="auto"/>
        <w:tabs>
          <w:tab w:leader="none" w:pos="512"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investment has a $0.3 million unfunded commitment.</w:t>
      </w:r>
    </w:p>
    <w:p>
      <w:pPr>
        <w:ind w:left="512" w:hanging="512"/>
        <w:spacing w:after="0" w:line="187" w:lineRule="auto"/>
        <w:tabs>
          <w:tab w:leader="none" w:pos="512"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investment has a $0.7 million unfunded commitment.</w:t>
      </w:r>
    </w:p>
    <w:p>
      <w:pPr>
        <w:ind w:left="512" w:hanging="512"/>
        <w:spacing w:after="0" w:line="187" w:lineRule="auto"/>
        <w:tabs>
          <w:tab w:leader="none" w:pos="512"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investment has a $2.5 million unfunded commitment.</w:t>
      </w:r>
    </w:p>
    <w:p>
      <w:pPr>
        <w:jc w:val="both"/>
        <w:ind w:left="512" w:hanging="512"/>
        <w:spacing w:after="0" w:line="221" w:lineRule="auto"/>
        <w:tabs>
          <w:tab w:leader="none" w:pos="512"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is in liquidation. The fair value represents Management’s estimate of future expected proceeds on the term loan, which Management believes approximates the exit price. The Company received a cash payment of $0.5 million during the fourth quarter of 2021, which reduced the cost basis of the term loan. Additionally, during the second quarter of 2022, the Company received a cash payment of $0.6 million, which further reduced the cost basis of the term loan.</w:t>
      </w:r>
    </w:p>
    <w:p>
      <w:pPr>
        <w:spacing w:after="0" w:line="1" w:lineRule="exact"/>
        <w:rPr>
          <w:rFonts w:ascii="Times New Roman" w:cs="Times New Roman" w:eastAsia="Times New Roman" w:hAnsi="Times New Roman"/>
          <w:sz w:val="19"/>
          <w:szCs w:val="19"/>
          <w:color w:val="auto"/>
          <w:vertAlign w:val="superscript"/>
        </w:rPr>
      </w:pPr>
    </w:p>
    <w:p>
      <w:pPr>
        <w:ind w:left="512" w:hanging="512"/>
        <w:spacing w:after="0" w:line="187" w:lineRule="auto"/>
        <w:tabs>
          <w:tab w:leader="none" w:pos="512"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All or a portion of this security is pledged as collateral under the KeyBank Credit Facility and held through the Company's wholly-owned subsidiary Capitala Business Lending, LLC.</w:t>
      </w:r>
    </w:p>
    <w:p>
      <w:pPr>
        <w:ind w:left="512" w:hanging="512"/>
        <w:spacing w:after="0" w:line="189" w:lineRule="auto"/>
        <w:tabs>
          <w:tab w:leader="none" w:pos="512"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equity investment is income producing, based on rate disclosed.</w:t>
      </w:r>
    </w:p>
    <w:p>
      <w:pPr>
        <w:spacing w:after="0" w:line="3" w:lineRule="exact"/>
        <w:rPr>
          <w:rFonts w:ascii="Times New Roman" w:cs="Times New Roman" w:eastAsia="Times New Roman" w:hAnsi="Times New Roman"/>
          <w:sz w:val="19"/>
          <w:szCs w:val="19"/>
          <w:color w:val="auto"/>
          <w:vertAlign w:val="superscript"/>
        </w:rPr>
      </w:pPr>
    </w:p>
    <w:p>
      <w:pPr>
        <w:jc w:val="both"/>
        <w:ind w:left="512" w:hanging="512"/>
        <w:spacing w:after="0" w:line="220" w:lineRule="auto"/>
        <w:tabs>
          <w:tab w:leader="none" w:pos="565"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June 30, 2022, qualifying assets represent 97.0% of the Company’s total assets and non-qualifying assets represent 3.0% of the Company’s total assets.</w:t>
      </w:r>
    </w:p>
    <w:p>
      <w:pPr>
        <w:spacing w:after="0" w:line="1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17" w:right="339" w:bottom="1440" w:gutter="0" w:footer="0" w:header="0"/>
        </w:sectPr>
      </w:pPr>
    </w:p>
    <w:bookmarkStart w:id="9" w:name="page10"/>
    <w:bookmarkEnd w:id="9"/>
    <w:p>
      <w:pPr>
        <w:ind w:left="4560"/>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units/shares)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Reference Rate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2"/>
              </w:rPr>
              <w:t>Par/Shares</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(1), (2), (3), (4), (5)</w:t>
            </w:r>
          </w:p>
        </w:tc>
        <w:tc>
          <w:tcPr>
            <w:tcW w:w="100" w:type="dxa"/>
            <w:vAlign w:val="bottom"/>
          </w:tcPr>
          <w:p>
            <w:pPr>
              <w:spacing w:after="0"/>
              <w:rPr>
                <w:sz w:val="13"/>
                <w:szCs w:val="13"/>
                <w:color w:val="auto"/>
              </w:rPr>
            </w:pPr>
          </w:p>
        </w:tc>
        <w:tc>
          <w:tcPr>
            <w:tcW w:w="16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12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87"/>
              </w:rPr>
              <w:t>(+)</w:t>
            </w:r>
          </w:p>
        </w:tc>
        <w:tc>
          <w:tcPr>
            <w:tcW w:w="12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and Spread (+)</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Floor (+)</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Cost</w:t>
            </w:r>
          </w:p>
        </w:tc>
        <w:tc>
          <w:tcPr>
            <w:tcW w:w="36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200" w:type="dxa"/>
            <w:vAlign w:val="bottom"/>
          </w:tcPr>
          <w:p>
            <w:pPr>
              <w:spacing w:after="0"/>
              <w:rPr>
                <w:sz w:val="13"/>
                <w:szCs w:val="13"/>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33"/>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Investments in Non-Control, Non-Affiliate Portfolio</w:t>
            </w:r>
          </w:p>
        </w:tc>
        <w:tc>
          <w:tcPr>
            <w:tcW w:w="17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Companies - 121.5%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Lien/Senior Secured Debt - 82.5%</w:t>
            </w:r>
          </w:p>
        </w:tc>
        <w:tc>
          <w:tcPr>
            <w:tcW w:w="10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Accordion Partners LLC</w:t>
            </w:r>
          </w:p>
        </w:tc>
        <w:tc>
          <w:tcPr>
            <w:tcW w:w="100" w:type="dxa"/>
            <w:vAlign w:val="bottom"/>
          </w:tcPr>
          <w:p>
            <w:pPr>
              <w:spacing w:after="0"/>
              <w:rPr>
                <w:sz w:val="11"/>
                <w:szCs w:val="11"/>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Industrials</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L + 5.50%</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09/24/2027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13,965</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13,736</w:t>
            </w:r>
          </w:p>
        </w:tc>
        <w:tc>
          <w:tcPr>
            <w:tcW w:w="3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13,719</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Accordion Partners LLC (Revolver)</w:t>
            </w:r>
          </w:p>
        </w:tc>
        <w:tc>
          <w:tcPr>
            <w:tcW w:w="100" w:type="dxa"/>
            <w:vAlign w:val="bottom"/>
            <w:shd w:val="clear" w:color="auto" w:fill="CFF0FC"/>
          </w:tcPr>
          <w:p>
            <w:pPr>
              <w:spacing w:after="0"/>
              <w:rPr>
                <w:sz w:val="11"/>
                <w:szCs w:val="11"/>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Industrials</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L + 5.50%</w:t>
            </w:r>
          </w:p>
        </w:tc>
        <w:tc>
          <w:tcPr>
            <w:tcW w:w="6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09/30/2026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1"/>
                <w:szCs w:val="11"/>
                <w:color w:val="auto"/>
              </w:rPr>
              <w:t>(71 )</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(68 )</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Accurate Background, LLC</w:t>
            </w:r>
          </w:p>
        </w:tc>
        <w:tc>
          <w:tcPr>
            <w:tcW w:w="100" w:type="dxa"/>
            <w:vAlign w:val="bottom"/>
          </w:tcPr>
          <w:p>
            <w:pPr>
              <w:spacing w:after="0"/>
              <w:rPr>
                <w:sz w:val="11"/>
                <w:szCs w:val="11"/>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Information Technology</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L + 6.00%</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03/26/2027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2,999</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2,740</w:t>
            </w:r>
          </w:p>
        </w:tc>
        <w:tc>
          <w:tcPr>
            <w:tcW w:w="3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2,760</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Alternative Biomedical Solutions, LLC</w:t>
            </w:r>
          </w:p>
        </w:tc>
        <w:tc>
          <w:tcPr>
            <w:tcW w:w="100" w:type="dxa"/>
            <w:vAlign w:val="bottom"/>
            <w:shd w:val="clear" w:color="auto" w:fill="CFF0FC"/>
          </w:tcPr>
          <w:p>
            <w:pPr>
              <w:spacing w:after="0"/>
              <w:rPr>
                <w:sz w:val="11"/>
                <w:szCs w:val="11"/>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Healthcare</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8.00%</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12/18/2022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7,119</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7,119</w:t>
            </w:r>
          </w:p>
        </w:tc>
        <w:tc>
          <w:tcPr>
            <w:tcW w:w="3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6,824</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Clinical Solutions, LLC</w:t>
            </w:r>
          </w:p>
        </w:tc>
        <w:tc>
          <w:tcPr>
            <w:tcW w:w="100" w:type="dxa"/>
            <w:vAlign w:val="bottom"/>
          </w:tcPr>
          <w:p>
            <w:pPr>
              <w:spacing w:after="0"/>
              <w:rPr>
                <w:sz w:val="11"/>
                <w:szCs w:val="11"/>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Healthcare</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12/31/2022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3,500</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3,500</w:t>
            </w:r>
          </w:p>
        </w:tc>
        <w:tc>
          <w:tcPr>
            <w:tcW w:w="3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3,468</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AP Core Holdings II, LLC</w:t>
            </w:r>
          </w:p>
        </w:tc>
        <w:tc>
          <w:tcPr>
            <w:tcW w:w="100" w:type="dxa"/>
            <w:vAlign w:val="bottom"/>
            <w:shd w:val="clear" w:color="auto" w:fill="CFF0FC"/>
          </w:tcPr>
          <w:p>
            <w:pPr>
              <w:spacing w:after="0"/>
              <w:rPr>
                <w:sz w:val="11"/>
                <w:szCs w:val="11"/>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Information Technology</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6.25%</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L + 5.50%</w:t>
            </w:r>
          </w:p>
        </w:tc>
        <w:tc>
          <w:tcPr>
            <w:tcW w:w="6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0.75%</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07/21/2027</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1,234</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1,217</w:t>
            </w:r>
          </w:p>
        </w:tc>
        <w:tc>
          <w:tcPr>
            <w:tcW w:w="3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1,236</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 Core Holdings II, LLC</w:t>
            </w:r>
          </w:p>
        </w:tc>
        <w:tc>
          <w:tcPr>
            <w:tcW w:w="100" w:type="dxa"/>
            <w:vAlign w:val="bottom"/>
          </w:tcPr>
          <w:p>
            <w:pPr>
              <w:spacing w:after="0"/>
              <w:rPr>
                <w:sz w:val="11"/>
                <w:szCs w:val="11"/>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Information Technology</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6.25%</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L + 5.50%</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0.75%</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07/21/2027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1,250</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1,232</w:t>
            </w:r>
          </w:p>
        </w:tc>
        <w:tc>
          <w:tcPr>
            <w:tcW w:w="3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1,254</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BigMouth, Inc.</w:t>
            </w:r>
          </w:p>
        </w:tc>
        <w:tc>
          <w:tcPr>
            <w:tcW w:w="100" w:type="dxa"/>
            <w:vAlign w:val="bottom"/>
            <w:shd w:val="clear" w:color="auto" w:fill="CFF0FC"/>
          </w:tcPr>
          <w:p>
            <w:pPr>
              <w:spacing w:after="0"/>
              <w:rPr>
                <w:sz w:val="11"/>
                <w:szCs w:val="11"/>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Consumer Products</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11/14/2021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1,513</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758</w:t>
            </w:r>
          </w:p>
        </w:tc>
        <w:tc>
          <w:tcPr>
            <w:tcW w:w="3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623</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(7)(25)</w:t>
            </w: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Bradshaw International, Inc.</w:t>
            </w:r>
          </w:p>
        </w:tc>
        <w:tc>
          <w:tcPr>
            <w:tcW w:w="100" w:type="dxa"/>
            <w:vAlign w:val="bottom"/>
          </w:tcPr>
          <w:p>
            <w:pPr>
              <w:spacing w:after="0"/>
              <w:rPr>
                <w:sz w:val="11"/>
                <w:szCs w:val="11"/>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Consumer Discretionary</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L + 5.75%</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10/21/2027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506</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493</w:t>
            </w:r>
          </w:p>
        </w:tc>
        <w:tc>
          <w:tcPr>
            <w:tcW w:w="3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493</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Bradshaw International, Inc. (Revolver)</w:t>
            </w:r>
          </w:p>
        </w:tc>
        <w:tc>
          <w:tcPr>
            <w:tcW w:w="100" w:type="dxa"/>
            <w:vAlign w:val="bottom"/>
            <w:shd w:val="clear" w:color="auto" w:fill="CFF0FC"/>
          </w:tcPr>
          <w:p>
            <w:pPr>
              <w:spacing w:after="0"/>
              <w:rPr>
                <w:sz w:val="11"/>
                <w:szCs w:val="11"/>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Consumer Discretionary</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L + 5.75%</w:t>
            </w:r>
          </w:p>
        </w:tc>
        <w:tc>
          <w:tcPr>
            <w:tcW w:w="6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10/21/2026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177</w:t>
            </w:r>
          </w:p>
        </w:tc>
        <w:tc>
          <w:tcPr>
            <w:tcW w:w="3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177</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Critical Nurse Staffing, LLC</w:t>
            </w:r>
          </w:p>
        </w:tc>
        <w:tc>
          <w:tcPr>
            <w:tcW w:w="100" w:type="dxa"/>
            <w:vAlign w:val="bottom"/>
          </w:tcPr>
          <w:p>
            <w:pPr>
              <w:spacing w:after="0"/>
              <w:rPr>
                <w:sz w:val="11"/>
                <w:szCs w:val="11"/>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Healthcare</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L + 6.00%</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10/30/2026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5,923</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5,806</w:t>
            </w:r>
          </w:p>
        </w:tc>
        <w:tc>
          <w:tcPr>
            <w:tcW w:w="3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5,805</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Critical Nurse Staffing, LLC (Revolver)</w:t>
            </w:r>
          </w:p>
        </w:tc>
        <w:tc>
          <w:tcPr>
            <w:tcW w:w="100" w:type="dxa"/>
            <w:vAlign w:val="bottom"/>
            <w:shd w:val="clear" w:color="auto" w:fill="CFF0FC"/>
          </w:tcPr>
          <w:p>
            <w:pPr>
              <w:spacing w:after="0"/>
              <w:rPr>
                <w:sz w:val="11"/>
                <w:szCs w:val="11"/>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Healthcare</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L + 6.00%</w:t>
            </w:r>
          </w:p>
        </w:tc>
        <w:tc>
          <w:tcPr>
            <w:tcW w:w="6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10/30/2026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1"/>
                <w:szCs w:val="11"/>
                <w:color w:val="auto"/>
              </w:rPr>
              <w:t>(17 )</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(17 )</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Freedom Electronics, LLC (First Out)</w:t>
            </w:r>
          </w:p>
        </w:tc>
        <w:tc>
          <w:tcPr>
            <w:tcW w:w="100" w:type="dxa"/>
            <w:vAlign w:val="bottom"/>
          </w:tcPr>
          <w:p>
            <w:pPr>
              <w:spacing w:after="0"/>
              <w:rPr>
                <w:sz w:val="11"/>
                <w:szCs w:val="11"/>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Electronic Machine Repair</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L + 5.00%</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2.00%</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12/20/2023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2,588</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2,588</w:t>
            </w:r>
          </w:p>
        </w:tc>
        <w:tc>
          <w:tcPr>
            <w:tcW w:w="3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2,588</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Freedom Electronics, LLC (Last Out)</w:t>
            </w:r>
          </w:p>
        </w:tc>
        <w:tc>
          <w:tcPr>
            <w:tcW w:w="100" w:type="dxa"/>
            <w:vAlign w:val="bottom"/>
            <w:shd w:val="clear" w:color="auto" w:fill="CFF0FC"/>
          </w:tcPr>
          <w:p>
            <w:pPr>
              <w:spacing w:after="0"/>
              <w:rPr>
                <w:sz w:val="11"/>
                <w:szCs w:val="11"/>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Electronic Machine Repair</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8.67%</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12/20/2023</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5,647</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5,647</w:t>
            </w:r>
          </w:p>
        </w:tc>
        <w:tc>
          <w:tcPr>
            <w:tcW w:w="3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5,647</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(10)(26)</w:t>
            </w: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HUMC Opco, LLC</w:t>
            </w:r>
          </w:p>
        </w:tc>
        <w:tc>
          <w:tcPr>
            <w:tcW w:w="100" w:type="dxa"/>
            <w:vAlign w:val="bottom"/>
          </w:tcPr>
          <w:p>
            <w:pPr>
              <w:spacing w:after="0"/>
              <w:rPr>
                <w:sz w:val="11"/>
                <w:szCs w:val="11"/>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Healthcare</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9.00%</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01/14/2022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4,673</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4,673</w:t>
            </w:r>
          </w:p>
        </w:tc>
        <w:tc>
          <w:tcPr>
            <w:tcW w:w="3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4,619</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J5 Infrastructure Partners, LLC (Revolver)</w:t>
            </w:r>
          </w:p>
        </w:tc>
        <w:tc>
          <w:tcPr>
            <w:tcW w:w="100" w:type="dxa"/>
            <w:vAlign w:val="bottom"/>
            <w:shd w:val="clear" w:color="auto" w:fill="CFF0FC"/>
          </w:tcPr>
          <w:p>
            <w:pPr>
              <w:spacing w:after="0"/>
              <w:rPr>
                <w:sz w:val="11"/>
                <w:szCs w:val="11"/>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Wireless Deployment Services</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L + 6.50%</w:t>
            </w:r>
          </w:p>
        </w:tc>
        <w:tc>
          <w:tcPr>
            <w:tcW w:w="6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1.80%</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JO ET Holdings Limited</w:t>
            </w:r>
          </w:p>
        </w:tc>
        <w:tc>
          <w:tcPr>
            <w:tcW w:w="100" w:type="dxa"/>
            <w:vAlign w:val="bottom"/>
          </w:tcPr>
          <w:p>
            <w:pPr>
              <w:spacing w:after="0"/>
              <w:rPr>
                <w:sz w:val="11"/>
                <w:szCs w:val="11"/>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Information Technology</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14.00%</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L + 6.00%, 7.00 PIK</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12/15/2026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w:t>
            </w:r>
          </w:p>
        </w:tc>
        <w:tc>
          <w:tcPr>
            <w:tcW w:w="3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Jurassic Quest Holdings, LLC</w:t>
            </w:r>
          </w:p>
        </w:tc>
        <w:tc>
          <w:tcPr>
            <w:tcW w:w="100" w:type="dxa"/>
            <w:vAlign w:val="bottom"/>
            <w:shd w:val="clear" w:color="auto" w:fill="CFF0FC"/>
          </w:tcPr>
          <w:p>
            <w:pPr>
              <w:spacing w:after="0"/>
              <w:rPr>
                <w:sz w:val="11"/>
                <w:szCs w:val="11"/>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Entertainment</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9.50%</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L + 7.50%</w:t>
            </w:r>
          </w:p>
        </w:tc>
        <w:tc>
          <w:tcPr>
            <w:tcW w:w="6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2.00%</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05/01/2024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8,355</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8,355</w:t>
            </w:r>
          </w:p>
        </w:tc>
        <w:tc>
          <w:tcPr>
            <w:tcW w:w="3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8,397</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Keg Logistics LLC</w:t>
            </w:r>
          </w:p>
        </w:tc>
        <w:tc>
          <w:tcPr>
            <w:tcW w:w="100" w:type="dxa"/>
            <w:vAlign w:val="bottom"/>
          </w:tcPr>
          <w:p>
            <w:pPr>
              <w:spacing w:after="0"/>
              <w:rPr>
                <w:sz w:val="11"/>
                <w:szCs w:val="11"/>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Consumer Discretionary</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L + 6.00%</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11/23/2027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7,535</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7,424</w:t>
            </w:r>
          </w:p>
        </w:tc>
        <w:tc>
          <w:tcPr>
            <w:tcW w:w="3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7,422</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Keg Logistics LLC (Revolver)</w:t>
            </w:r>
          </w:p>
        </w:tc>
        <w:tc>
          <w:tcPr>
            <w:tcW w:w="100" w:type="dxa"/>
            <w:vAlign w:val="bottom"/>
            <w:shd w:val="clear" w:color="auto" w:fill="CFF0FC"/>
          </w:tcPr>
          <w:p>
            <w:pPr>
              <w:spacing w:after="0"/>
              <w:rPr>
                <w:sz w:val="11"/>
                <w:szCs w:val="11"/>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Consumer Discretionary</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L + 6.00%</w:t>
            </w:r>
          </w:p>
        </w:tc>
        <w:tc>
          <w:tcPr>
            <w:tcW w:w="6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11/23/2027</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1"/>
                <w:szCs w:val="11"/>
                <w:color w:val="auto"/>
              </w:rPr>
              <w:t>(13 )</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(13 )</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(18)</w:t>
            </w: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Lucky Bucks, LLC</w:t>
            </w:r>
          </w:p>
        </w:tc>
        <w:tc>
          <w:tcPr>
            <w:tcW w:w="100" w:type="dxa"/>
            <w:vAlign w:val="bottom"/>
          </w:tcPr>
          <w:p>
            <w:pPr>
              <w:spacing w:after="0"/>
              <w:rPr>
                <w:sz w:val="11"/>
                <w:szCs w:val="11"/>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Consumer Discretionary</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6.25%</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L + 5.50%</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0.75%</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07/21/2027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2,944</w:t>
            </w:r>
          </w:p>
        </w:tc>
        <w:tc>
          <w:tcPr>
            <w:tcW w:w="3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2,939</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Marble Point Credit Management LLC</w:t>
            </w:r>
          </w:p>
        </w:tc>
        <w:tc>
          <w:tcPr>
            <w:tcW w:w="100" w:type="dxa"/>
            <w:vAlign w:val="bottom"/>
            <w:shd w:val="clear" w:color="auto" w:fill="CFF0FC"/>
          </w:tcPr>
          <w:p>
            <w:pPr>
              <w:spacing w:after="0"/>
              <w:rPr>
                <w:sz w:val="11"/>
                <w:szCs w:val="11"/>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Financials</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L + 6.00%</w:t>
            </w:r>
          </w:p>
        </w:tc>
        <w:tc>
          <w:tcPr>
            <w:tcW w:w="6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08/11/2028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5,801</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5,651</w:t>
            </w:r>
          </w:p>
        </w:tc>
        <w:tc>
          <w:tcPr>
            <w:tcW w:w="3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5,656</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Marble Point Credit Management LLC (Revolver)</w:t>
            </w:r>
          </w:p>
        </w:tc>
        <w:tc>
          <w:tcPr>
            <w:tcW w:w="100" w:type="dxa"/>
            <w:vAlign w:val="bottom"/>
          </w:tcPr>
          <w:p>
            <w:pPr>
              <w:spacing w:after="0"/>
              <w:rPr>
                <w:sz w:val="11"/>
                <w:szCs w:val="11"/>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Financials</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L + 6.00%</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08/11/2028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(24 )</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(62 )</w:t>
            </w: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Premier Imaging, LLC</w:t>
            </w:r>
          </w:p>
        </w:tc>
        <w:tc>
          <w:tcPr>
            <w:tcW w:w="100" w:type="dxa"/>
            <w:vAlign w:val="bottom"/>
            <w:shd w:val="clear" w:color="auto" w:fill="CFF0FC"/>
          </w:tcPr>
          <w:p>
            <w:pPr>
              <w:spacing w:after="0"/>
              <w:rPr>
                <w:sz w:val="11"/>
                <w:szCs w:val="11"/>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Healthcare</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L + 6.00%</w:t>
            </w:r>
          </w:p>
        </w:tc>
        <w:tc>
          <w:tcPr>
            <w:tcW w:w="6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12/29/2028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2,063</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2,023</w:t>
            </w:r>
          </w:p>
        </w:tc>
        <w:tc>
          <w:tcPr>
            <w:tcW w:w="3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2,023</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Rotolo Consultants, Inc.</w:t>
            </w:r>
          </w:p>
        </w:tc>
        <w:tc>
          <w:tcPr>
            <w:tcW w:w="100" w:type="dxa"/>
            <w:vAlign w:val="bottom"/>
          </w:tcPr>
          <w:p>
            <w:pPr>
              <w:spacing w:after="0"/>
              <w:rPr>
                <w:sz w:val="11"/>
                <w:szCs w:val="11"/>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Industrials</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9.00%</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L + 8.00%</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12/21/2026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990</w:t>
            </w:r>
          </w:p>
        </w:tc>
        <w:tc>
          <w:tcPr>
            <w:tcW w:w="3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990</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Sequoia Healthcare Management, LLC</w:t>
            </w:r>
          </w:p>
        </w:tc>
        <w:tc>
          <w:tcPr>
            <w:tcW w:w="100" w:type="dxa"/>
            <w:vAlign w:val="bottom"/>
            <w:shd w:val="clear" w:color="auto" w:fill="CFF0FC"/>
          </w:tcPr>
          <w:p>
            <w:pPr>
              <w:spacing w:after="0"/>
              <w:rPr>
                <w:sz w:val="11"/>
                <w:szCs w:val="11"/>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Healthcare Management</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12.80%</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01/14/2022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11,935</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11,935</w:t>
            </w:r>
          </w:p>
        </w:tc>
        <w:tc>
          <w:tcPr>
            <w:tcW w:w="3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7,002</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Wealth Enhancement Group, LLC</w:t>
            </w:r>
          </w:p>
        </w:tc>
        <w:tc>
          <w:tcPr>
            <w:tcW w:w="100" w:type="dxa"/>
            <w:vAlign w:val="bottom"/>
          </w:tcPr>
          <w:p>
            <w:pPr>
              <w:spacing w:after="0"/>
              <w:rPr>
                <w:sz w:val="11"/>
                <w:szCs w:val="11"/>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Financials</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L + 5.75%</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10/02/2027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3,725</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3,699</w:t>
            </w:r>
          </w:p>
        </w:tc>
        <w:tc>
          <w:tcPr>
            <w:tcW w:w="3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3,686</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35"/>
        </w:trPr>
        <w:tc>
          <w:tcPr>
            <w:tcW w:w="2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Wealth Enhancement Group, LLC (Revolver)</w:t>
            </w:r>
          </w:p>
        </w:tc>
        <w:tc>
          <w:tcPr>
            <w:tcW w:w="100" w:type="dxa"/>
            <w:vAlign w:val="bottom"/>
            <w:tcBorders>
              <w:bottom w:val="single" w:sz="8" w:color="CFF0FC"/>
            </w:tcBorders>
            <w:shd w:val="clear" w:color="auto" w:fill="CFF0FC"/>
          </w:tcPr>
          <w:p>
            <w:pPr>
              <w:spacing w:after="0"/>
              <w:rPr>
                <w:sz w:val="11"/>
                <w:szCs w:val="11"/>
                <w:color w:val="auto"/>
              </w:rPr>
            </w:pPr>
          </w:p>
        </w:tc>
        <w:tc>
          <w:tcPr>
            <w:tcW w:w="1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Financials</w:t>
            </w:r>
          </w:p>
        </w:tc>
        <w:tc>
          <w:tcPr>
            <w:tcW w:w="760" w:type="dxa"/>
            <w:vAlign w:val="bottom"/>
            <w:tcBorders>
              <w:bottom w:val="single" w:sz="8" w:color="CFF0FC"/>
            </w:tcBorders>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L + 5.75%</w:t>
            </w:r>
          </w:p>
        </w:tc>
        <w:tc>
          <w:tcPr>
            <w:tcW w:w="620" w:type="dxa"/>
            <w:vAlign w:val="bottom"/>
            <w:tcBorders>
              <w:bottom w:val="single" w:sz="8" w:color="CFF0FC"/>
            </w:tcBorders>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1.00%</w:t>
            </w:r>
          </w:p>
        </w:tc>
        <w:tc>
          <w:tcPr>
            <w:tcW w:w="920" w:type="dxa"/>
            <w:vAlign w:val="bottom"/>
            <w:tcBorders>
              <w:bottom w:val="single" w:sz="8" w:color="CFF0FC"/>
            </w:tcBorders>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10/02/2027</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3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36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20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28"/>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Lien/Senior Secured Debt</w:t>
            </w: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93,728</w:t>
            </w:r>
          </w:p>
        </w:tc>
        <w:tc>
          <w:tcPr>
            <w:tcW w:w="360" w:type="dxa"/>
            <w:vAlign w:val="bottom"/>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88,312</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Lien/Senior Secured Debt - 11.9%</w:t>
            </w:r>
          </w:p>
        </w:tc>
        <w:tc>
          <w:tcPr>
            <w:tcW w:w="10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BLST Operating Company, LLC</w:t>
            </w:r>
          </w:p>
        </w:tc>
        <w:tc>
          <w:tcPr>
            <w:tcW w:w="100" w:type="dxa"/>
            <w:vAlign w:val="bottom"/>
          </w:tcPr>
          <w:p>
            <w:pPr>
              <w:spacing w:after="0"/>
              <w:rPr>
                <w:sz w:val="11"/>
                <w:szCs w:val="11"/>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Online Merchandise Retailer</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10.00%</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L + 8.50%</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1.50%</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08/28/2025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1,780</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1,780</w:t>
            </w:r>
          </w:p>
        </w:tc>
        <w:tc>
          <w:tcPr>
            <w:tcW w:w="3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1,780</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(8)(26)</w:t>
            </w: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Ivanti Software, Inc.</w:t>
            </w:r>
          </w:p>
        </w:tc>
        <w:tc>
          <w:tcPr>
            <w:tcW w:w="100" w:type="dxa"/>
            <w:vAlign w:val="bottom"/>
            <w:shd w:val="clear" w:color="auto" w:fill="CFF0FC"/>
          </w:tcPr>
          <w:p>
            <w:pPr>
              <w:spacing w:after="0"/>
              <w:rPr>
                <w:sz w:val="11"/>
                <w:szCs w:val="11"/>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Information Technology</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7.75%</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L + 7.25%</w:t>
            </w:r>
          </w:p>
        </w:tc>
        <w:tc>
          <w:tcPr>
            <w:tcW w:w="6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0.50%</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12/01/2028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7,000</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6,965</w:t>
            </w:r>
          </w:p>
        </w:tc>
        <w:tc>
          <w:tcPr>
            <w:tcW w:w="3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7,018</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Mandolin Technology Intermediate Holdings, Inc.</w:t>
            </w:r>
          </w:p>
        </w:tc>
        <w:tc>
          <w:tcPr>
            <w:tcW w:w="100" w:type="dxa"/>
            <w:vAlign w:val="bottom"/>
          </w:tcPr>
          <w:p>
            <w:pPr>
              <w:spacing w:after="0"/>
              <w:rPr>
                <w:sz w:val="11"/>
                <w:szCs w:val="11"/>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Information Technology</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L + 6.50%</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0.50%</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07/23/2029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3,971</w:t>
            </w:r>
          </w:p>
        </w:tc>
        <w:tc>
          <w:tcPr>
            <w:tcW w:w="360" w:type="dxa"/>
            <w:vAlign w:val="bottom"/>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3,980</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Lien/Senior Secured Debt</w:t>
            </w:r>
          </w:p>
        </w:tc>
        <w:tc>
          <w:tcPr>
            <w:tcW w:w="100" w:type="dxa"/>
            <w:vAlign w:val="bottom"/>
            <w:tcBorders>
              <w:bottom w:val="single" w:sz="8" w:color="CFF0FC"/>
            </w:tcBorders>
            <w:shd w:val="clear" w:color="auto" w:fill="CFF0FC"/>
          </w:tcPr>
          <w:p>
            <w:pPr>
              <w:spacing w:after="0"/>
              <w:rPr>
                <w:sz w:val="11"/>
                <w:szCs w:val="11"/>
                <w:color w:val="auto"/>
              </w:rPr>
            </w:pPr>
          </w:p>
        </w:tc>
        <w:tc>
          <w:tcPr>
            <w:tcW w:w="16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shd w:val="clear" w:color="auto" w:fill="CFF0FC"/>
          </w:tcPr>
          <w:p>
            <w:pPr>
              <w:spacing w:after="0"/>
              <w:rPr>
                <w:sz w:val="11"/>
                <w:szCs w:val="11"/>
                <w:color w:val="auto"/>
              </w:rPr>
            </w:pPr>
          </w:p>
        </w:tc>
        <w:tc>
          <w:tcPr>
            <w:tcW w:w="3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12,716</w:t>
            </w:r>
          </w:p>
        </w:tc>
        <w:tc>
          <w:tcPr>
            <w:tcW w:w="36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12,778</w:t>
            </w:r>
          </w:p>
        </w:tc>
        <w:tc>
          <w:tcPr>
            <w:tcW w:w="20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Subordinated Debt - 4.7%</w:t>
            </w: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Tubular Textile Machinery, Inc.</w:t>
            </w:r>
          </w:p>
        </w:tc>
        <w:tc>
          <w:tcPr>
            <w:tcW w:w="100" w:type="dxa"/>
            <w:vAlign w:val="bottom"/>
            <w:tcBorders>
              <w:bottom w:val="single" w:sz="8" w:color="CFF0FC"/>
            </w:tcBorders>
            <w:shd w:val="clear" w:color="auto" w:fill="CFF0FC"/>
          </w:tcPr>
          <w:p>
            <w:pPr>
              <w:spacing w:after="0"/>
              <w:rPr>
                <w:sz w:val="11"/>
                <w:szCs w:val="11"/>
                <w:color w:val="auto"/>
              </w:rPr>
            </w:pPr>
          </w:p>
        </w:tc>
        <w:tc>
          <w:tcPr>
            <w:tcW w:w="1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Textile Equipment Manufacturer</w:t>
            </w:r>
          </w:p>
        </w:tc>
        <w:tc>
          <w:tcPr>
            <w:tcW w:w="760" w:type="dxa"/>
            <w:vAlign w:val="bottom"/>
            <w:tcBorders>
              <w:bottom w:val="single" w:sz="8" w:color="CFF0FC"/>
            </w:tcBorders>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5.00%</w:t>
            </w:r>
          </w:p>
        </w:tc>
        <w:tc>
          <w:tcPr>
            <w:tcW w:w="12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tcBorders>
              <w:bottom w:val="single" w:sz="8" w:color="CFF0FC"/>
            </w:tcBorders>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10/29/2027</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5,050</w:t>
            </w:r>
          </w:p>
        </w:tc>
        <w:tc>
          <w:tcPr>
            <w:tcW w:w="3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5,050</w:t>
            </w:r>
          </w:p>
        </w:tc>
        <w:tc>
          <w:tcPr>
            <w:tcW w:w="36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5,050</w:t>
            </w:r>
          </w:p>
        </w:tc>
        <w:tc>
          <w:tcPr>
            <w:tcW w:w="20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Subordinated Debt</w:t>
            </w: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5,050</w:t>
            </w:r>
          </w:p>
        </w:tc>
        <w:tc>
          <w:tcPr>
            <w:tcW w:w="360" w:type="dxa"/>
            <w:vAlign w:val="bottom"/>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5,050</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Preferred Stock and Units - 2.5%</w:t>
            </w:r>
          </w:p>
        </w:tc>
        <w:tc>
          <w:tcPr>
            <w:tcW w:w="10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Alternative Biomedical Solutions, LLC - Series A</w:t>
            </w:r>
          </w:p>
        </w:tc>
        <w:tc>
          <w:tcPr>
            <w:tcW w:w="100" w:type="dxa"/>
            <w:vAlign w:val="bottom"/>
          </w:tcPr>
          <w:p>
            <w:pPr>
              <w:spacing w:after="0"/>
              <w:rPr>
                <w:sz w:val="11"/>
                <w:szCs w:val="11"/>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Healthcare</w:t>
            </w:r>
          </w:p>
        </w:tc>
        <w:tc>
          <w:tcPr>
            <w:tcW w:w="1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13,811</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1,275</w:t>
            </w:r>
          </w:p>
        </w:tc>
        <w:tc>
          <w:tcPr>
            <w:tcW w:w="3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542</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Alternative Biomedical Solutions, LLC - Series B</w:t>
            </w:r>
          </w:p>
        </w:tc>
        <w:tc>
          <w:tcPr>
            <w:tcW w:w="100" w:type="dxa"/>
            <w:vAlign w:val="bottom"/>
            <w:shd w:val="clear" w:color="auto" w:fill="CFF0FC"/>
          </w:tcPr>
          <w:p>
            <w:pPr>
              <w:spacing w:after="0"/>
              <w:rPr>
                <w:sz w:val="11"/>
                <w:szCs w:val="11"/>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Healthcare</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48,025</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3,943</w:t>
            </w:r>
          </w:p>
        </w:tc>
        <w:tc>
          <w:tcPr>
            <w:tcW w:w="3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Alternative Biomedical Solutions, LLC - Series C</w:t>
            </w:r>
          </w:p>
        </w:tc>
        <w:tc>
          <w:tcPr>
            <w:tcW w:w="100" w:type="dxa"/>
            <w:vAlign w:val="bottom"/>
          </w:tcPr>
          <w:p>
            <w:pPr>
              <w:spacing w:after="0"/>
              <w:rPr>
                <w:sz w:val="11"/>
                <w:szCs w:val="11"/>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Healthcare</w:t>
            </w:r>
          </w:p>
        </w:tc>
        <w:tc>
          <w:tcPr>
            <w:tcW w:w="1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78,900</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Jurassic Quest Holdings, LLC</w:t>
            </w:r>
          </w:p>
        </w:tc>
        <w:tc>
          <w:tcPr>
            <w:tcW w:w="100" w:type="dxa"/>
            <w:vAlign w:val="bottom"/>
            <w:shd w:val="clear" w:color="auto" w:fill="CFF0FC"/>
          </w:tcPr>
          <w:p>
            <w:pPr>
              <w:spacing w:after="0"/>
              <w:rPr>
                <w:sz w:val="11"/>
                <w:szCs w:val="11"/>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Entertainment</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467,784</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480</w:t>
            </w:r>
          </w:p>
        </w:tc>
        <w:tc>
          <w:tcPr>
            <w:tcW w:w="3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497</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MicroHoldco, LLC</w:t>
            </w:r>
          </w:p>
        </w:tc>
        <w:tc>
          <w:tcPr>
            <w:tcW w:w="100" w:type="dxa"/>
            <w:vAlign w:val="bottom"/>
          </w:tcPr>
          <w:p>
            <w:pPr>
              <w:spacing w:after="0"/>
              <w:rPr>
                <w:sz w:val="11"/>
                <w:szCs w:val="11"/>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General Industrial</w:t>
            </w:r>
          </w:p>
        </w:tc>
        <w:tc>
          <w:tcPr>
            <w:tcW w:w="1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740,237</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749</w:t>
            </w:r>
          </w:p>
        </w:tc>
        <w:tc>
          <w:tcPr>
            <w:tcW w:w="3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Taylor Precision Products, Inc. - Series C</w:t>
            </w:r>
          </w:p>
        </w:tc>
        <w:tc>
          <w:tcPr>
            <w:tcW w:w="100" w:type="dxa"/>
            <w:vAlign w:val="bottom"/>
            <w:shd w:val="clear" w:color="auto" w:fill="CFF0FC"/>
          </w:tcPr>
          <w:p>
            <w:pPr>
              <w:spacing w:after="0"/>
              <w:rPr>
                <w:sz w:val="11"/>
                <w:szCs w:val="11"/>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Household Product Manufacturer</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379</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758</w:t>
            </w:r>
          </w:p>
        </w:tc>
        <w:tc>
          <w:tcPr>
            <w:tcW w:w="3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287</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BioTek Laboratories, LLC - Class A</w:t>
            </w:r>
          </w:p>
        </w:tc>
        <w:tc>
          <w:tcPr>
            <w:tcW w:w="100" w:type="dxa"/>
            <w:vAlign w:val="bottom"/>
          </w:tcPr>
          <w:p>
            <w:pPr>
              <w:spacing w:after="0"/>
              <w:rPr>
                <w:sz w:val="11"/>
                <w:szCs w:val="11"/>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Testing Laboratories</w:t>
            </w:r>
          </w:p>
        </w:tc>
        <w:tc>
          <w:tcPr>
            <w:tcW w:w="1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3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609</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U.S. BioTek Laboratories, LLC - Class D</w:t>
            </w:r>
          </w:p>
        </w:tc>
        <w:tc>
          <w:tcPr>
            <w:tcW w:w="100" w:type="dxa"/>
            <w:vAlign w:val="bottom"/>
            <w:tcBorders>
              <w:bottom w:val="single" w:sz="8" w:color="CFF0FC"/>
            </w:tcBorders>
            <w:shd w:val="clear" w:color="auto" w:fill="CFF0FC"/>
          </w:tcPr>
          <w:p>
            <w:pPr>
              <w:spacing w:after="0"/>
              <w:rPr>
                <w:sz w:val="11"/>
                <w:szCs w:val="11"/>
                <w:color w:val="auto"/>
              </w:rPr>
            </w:pPr>
          </w:p>
        </w:tc>
        <w:tc>
          <w:tcPr>
            <w:tcW w:w="1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Testing Laboratories</w:t>
            </w:r>
          </w:p>
        </w:tc>
        <w:tc>
          <w:tcPr>
            <w:tcW w:w="12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3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36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20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Stock and Units</w:t>
            </w: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7,823</w:t>
            </w:r>
          </w:p>
        </w:tc>
        <w:tc>
          <w:tcPr>
            <w:tcW w:w="360" w:type="dxa"/>
            <w:vAlign w:val="bottom"/>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2,681</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Common Stock and Membership Units - 19.8%</w:t>
            </w:r>
          </w:p>
        </w:tc>
        <w:tc>
          <w:tcPr>
            <w:tcW w:w="10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Alternative Biomedical Solutions, LLC</w:t>
            </w:r>
          </w:p>
        </w:tc>
        <w:tc>
          <w:tcPr>
            <w:tcW w:w="100" w:type="dxa"/>
            <w:vAlign w:val="bottom"/>
          </w:tcPr>
          <w:p>
            <w:pPr>
              <w:spacing w:after="0"/>
              <w:rPr>
                <w:sz w:val="11"/>
                <w:szCs w:val="11"/>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Healthcare</w:t>
            </w:r>
          </w:p>
        </w:tc>
        <w:tc>
          <w:tcPr>
            <w:tcW w:w="1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20,092</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36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6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Alternative Biomedical Solutions, LLC - Membership</w:t>
            </w:r>
          </w:p>
        </w:tc>
        <w:tc>
          <w:tcPr>
            <w:tcW w:w="100" w:type="dxa"/>
            <w:vAlign w:val="bottom"/>
            <w:shd w:val="clear" w:color="auto" w:fill="CFF0FC"/>
          </w:tcPr>
          <w:p>
            <w:pPr>
              <w:spacing w:after="0"/>
              <w:rPr>
                <w:sz w:val="8"/>
                <w:szCs w:val="8"/>
                <w:color w:val="auto"/>
              </w:rPr>
            </w:pPr>
          </w:p>
        </w:tc>
        <w:tc>
          <w:tcPr>
            <w:tcW w:w="166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Healthcare</w:t>
            </w:r>
          </w:p>
        </w:tc>
        <w:tc>
          <w:tcPr>
            <w:tcW w:w="120" w:type="dxa"/>
            <w:vAlign w:val="bottom"/>
            <w:shd w:val="clear" w:color="auto" w:fill="CFF0FC"/>
          </w:tcPr>
          <w:p>
            <w:pPr>
              <w:spacing w:after="0"/>
              <w:rPr>
                <w:sz w:val="8"/>
                <w:szCs w:val="8"/>
                <w:color w:val="auto"/>
              </w:rPr>
            </w:pPr>
          </w:p>
        </w:tc>
        <w:tc>
          <w:tcPr>
            <w:tcW w:w="6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8"/>
                <w:szCs w:val="8"/>
                <w:color w:val="auto"/>
              </w:rPr>
            </w:pPr>
          </w:p>
        </w:tc>
        <w:tc>
          <w:tcPr>
            <w:tcW w:w="9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8"/>
                <w:szCs w:val="8"/>
                <w:color w:val="auto"/>
              </w:rPr>
            </w:pPr>
          </w:p>
        </w:tc>
        <w:tc>
          <w:tcPr>
            <w:tcW w:w="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5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Unit Warrants</w:t>
            </w:r>
          </w:p>
        </w:tc>
        <w:tc>
          <w:tcPr>
            <w:tcW w:w="100" w:type="dxa"/>
            <w:vAlign w:val="bottom"/>
            <w:shd w:val="clear" w:color="auto" w:fill="CFF0FC"/>
          </w:tcPr>
          <w:p>
            <w:pPr>
              <w:spacing w:after="0"/>
              <w:rPr>
                <w:sz w:val="7"/>
                <w:szCs w:val="7"/>
                <w:color w:val="auto"/>
              </w:rPr>
            </w:pPr>
          </w:p>
        </w:tc>
        <w:tc>
          <w:tcPr>
            <w:tcW w:w="16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4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94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2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2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49,295</w:t>
            </w:r>
          </w:p>
        </w:tc>
        <w:tc>
          <w:tcPr>
            <w:tcW w:w="36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840" w:type="dxa"/>
            <w:vAlign w:val="bottom"/>
            <w:gridSpan w:val="2"/>
            <w:vMerge w:val="restart"/>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56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6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9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20" w:type="dxa"/>
            <w:vAlign w:val="bottom"/>
            <w:vMerge w:val="continue"/>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40" w:type="dxa"/>
            <w:vAlign w:val="bottom"/>
            <w:gridSpan w:val="2"/>
            <w:vMerge w:val="continue"/>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Clinical Solutions, LLC - Class A</w:t>
            </w:r>
          </w:p>
        </w:tc>
        <w:tc>
          <w:tcPr>
            <w:tcW w:w="100" w:type="dxa"/>
            <w:vAlign w:val="bottom"/>
          </w:tcPr>
          <w:p>
            <w:pPr>
              <w:spacing w:after="0"/>
              <w:rPr>
                <w:sz w:val="11"/>
                <w:szCs w:val="11"/>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Healthcare</w:t>
            </w:r>
          </w:p>
        </w:tc>
        <w:tc>
          <w:tcPr>
            <w:tcW w:w="1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6,030,384</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3,198</w:t>
            </w:r>
          </w:p>
        </w:tc>
        <w:tc>
          <w:tcPr>
            <w:tcW w:w="3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5,587</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BLST Operating Company, LLC - Class A</w:t>
            </w:r>
          </w:p>
        </w:tc>
        <w:tc>
          <w:tcPr>
            <w:tcW w:w="100" w:type="dxa"/>
            <w:vAlign w:val="bottom"/>
            <w:shd w:val="clear" w:color="auto" w:fill="CFF0FC"/>
          </w:tcPr>
          <w:p>
            <w:pPr>
              <w:spacing w:after="0"/>
              <w:rPr>
                <w:sz w:val="11"/>
                <w:szCs w:val="11"/>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Online Merchandise Retailer</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217,013</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3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4,171</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Burke America Parts Group, LLC</w:t>
            </w:r>
          </w:p>
        </w:tc>
        <w:tc>
          <w:tcPr>
            <w:tcW w:w="100" w:type="dxa"/>
            <w:vAlign w:val="bottom"/>
          </w:tcPr>
          <w:p>
            <w:pPr>
              <w:spacing w:after="0"/>
              <w:rPr>
                <w:sz w:val="11"/>
                <w:szCs w:val="11"/>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Home Repair Parts Manufacturer</w:t>
            </w:r>
          </w:p>
        </w:tc>
        <w:tc>
          <w:tcPr>
            <w:tcW w:w="1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3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3,062</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Freedom Electronics, LLC</w:t>
            </w:r>
          </w:p>
        </w:tc>
        <w:tc>
          <w:tcPr>
            <w:tcW w:w="100" w:type="dxa"/>
            <w:vAlign w:val="bottom"/>
            <w:shd w:val="clear" w:color="auto" w:fill="CFF0FC"/>
          </w:tcPr>
          <w:p>
            <w:pPr>
              <w:spacing w:after="0"/>
              <w:rPr>
                <w:sz w:val="11"/>
                <w:szCs w:val="11"/>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Electronic Machine Repair</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181,818</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3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230</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JMP CLO IV Ltd.</w:t>
            </w:r>
          </w:p>
        </w:tc>
        <w:tc>
          <w:tcPr>
            <w:tcW w:w="100" w:type="dxa"/>
            <w:vAlign w:val="bottom"/>
          </w:tcPr>
          <w:p>
            <w:pPr>
              <w:spacing w:after="0"/>
              <w:rPr>
                <w:sz w:val="11"/>
                <w:szCs w:val="11"/>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Financials</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17.72%</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07/17/2029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7,891</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3,592</w:t>
            </w:r>
          </w:p>
        </w:tc>
        <w:tc>
          <w:tcPr>
            <w:tcW w:w="3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3,474</w:t>
            </w:r>
          </w:p>
        </w:tc>
        <w:tc>
          <w:tcPr>
            <w:tcW w:w="2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(24)(27)</w:t>
            </w:r>
          </w:p>
        </w:tc>
        <w:tc>
          <w:tcPr>
            <w:tcW w:w="0" w:type="dxa"/>
            <w:vAlign w:val="bottom"/>
          </w:tcPr>
          <w:p>
            <w:pPr>
              <w:spacing w:after="0"/>
              <w:rPr>
                <w:sz w:val="1"/>
                <w:szCs w:val="1"/>
                <w:color w:val="auto"/>
              </w:rPr>
            </w:pPr>
          </w:p>
        </w:tc>
      </w:tr>
      <w:tr>
        <w:trPr>
          <w:trHeight w:val="135"/>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JMP CLO V Ltd.</w:t>
            </w:r>
          </w:p>
        </w:tc>
        <w:tc>
          <w:tcPr>
            <w:tcW w:w="100" w:type="dxa"/>
            <w:vAlign w:val="bottom"/>
            <w:shd w:val="clear" w:color="auto" w:fill="CFF0FC"/>
          </w:tcPr>
          <w:p>
            <w:pPr>
              <w:spacing w:after="0"/>
              <w:rPr>
                <w:sz w:val="11"/>
                <w:szCs w:val="11"/>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Financials</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20.89%</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07/17/2030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7,320</w:t>
            </w: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4,448</w:t>
            </w:r>
          </w:p>
        </w:tc>
        <w:tc>
          <w:tcPr>
            <w:tcW w:w="3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4,243</w:t>
            </w: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(24)(27)</w:t>
            </w: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BioTek Laboratories, LLC - Class C</w:t>
            </w:r>
          </w:p>
        </w:tc>
        <w:tc>
          <w:tcPr>
            <w:tcW w:w="100" w:type="dxa"/>
            <w:vAlign w:val="bottom"/>
          </w:tcPr>
          <w:p>
            <w:pPr>
              <w:spacing w:after="0"/>
              <w:rPr>
                <w:sz w:val="11"/>
                <w:szCs w:val="11"/>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Testing Laboratories</w:t>
            </w:r>
          </w:p>
        </w:tc>
        <w:tc>
          <w:tcPr>
            <w:tcW w:w="1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578</w:t>
            </w: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360" w:type="dxa"/>
            <w:vAlign w:val="bottom"/>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403</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Stock and Membership Units</w:t>
            </w:r>
          </w:p>
        </w:tc>
        <w:tc>
          <w:tcPr>
            <w:tcW w:w="100" w:type="dxa"/>
            <w:vAlign w:val="bottom"/>
            <w:tcBorders>
              <w:bottom w:val="single" w:sz="8" w:color="CFF0FC"/>
            </w:tcBorders>
            <w:shd w:val="clear" w:color="auto" w:fill="CFF0FC"/>
          </w:tcPr>
          <w:p>
            <w:pPr>
              <w:spacing w:after="0"/>
              <w:rPr>
                <w:sz w:val="11"/>
                <w:szCs w:val="11"/>
                <w:color w:val="auto"/>
              </w:rPr>
            </w:pPr>
          </w:p>
        </w:tc>
        <w:tc>
          <w:tcPr>
            <w:tcW w:w="16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shd w:val="clear" w:color="auto" w:fill="CFF0FC"/>
          </w:tcPr>
          <w:p>
            <w:pPr>
              <w:spacing w:after="0"/>
              <w:rPr>
                <w:sz w:val="11"/>
                <w:szCs w:val="11"/>
                <w:color w:val="auto"/>
              </w:rPr>
            </w:pPr>
          </w:p>
        </w:tc>
        <w:tc>
          <w:tcPr>
            <w:tcW w:w="3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12,512</w:t>
            </w:r>
          </w:p>
        </w:tc>
        <w:tc>
          <w:tcPr>
            <w:tcW w:w="36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21,170</w:t>
            </w:r>
          </w:p>
        </w:tc>
        <w:tc>
          <w:tcPr>
            <w:tcW w:w="20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Non-Control, Non-Affiliate Portfolio Companies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131,829</w:t>
            </w:r>
          </w:p>
        </w:tc>
        <w:tc>
          <w:tcPr>
            <w:tcW w:w="360" w:type="dxa"/>
            <w:vAlign w:val="bottom"/>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129,991</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-2828290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-2828290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-2287905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-2287905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-2108200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-2108200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-1233805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-1233805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-102235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-102235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0" w:name="page11"/>
    <w:bookmarkEnd w:id="10"/>
    <w:p>
      <w:pPr>
        <w:ind w:left="4560"/>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excepts for units/shares)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142240</wp:posOffset>
            </wp:positionV>
            <wp:extent cx="10115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Reference Rate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Par/Shares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(1), (2), (3), (4), (5)</w:t>
            </w:r>
          </w:p>
        </w:tc>
        <w:tc>
          <w:tcPr>
            <w:tcW w:w="1700" w:type="dxa"/>
            <w:vAlign w:val="bottom"/>
          </w:tcPr>
          <w:p>
            <w:pPr>
              <w:ind w:left="660"/>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and Spread (+)</w:t>
            </w:r>
          </w:p>
        </w:tc>
        <w:tc>
          <w:tcPr>
            <w:tcW w:w="10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Floor (+)</w:t>
            </w:r>
          </w:p>
        </w:tc>
        <w:tc>
          <w:tcPr>
            <w:tcW w:w="1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80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20" w:type="dxa"/>
            <w:vAlign w:val="bottom"/>
          </w:tcPr>
          <w:p>
            <w:pPr>
              <w:spacing w:after="0"/>
              <w:rPr>
                <w:sz w:val="13"/>
                <w:szCs w:val="13"/>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35"/>
        </w:trPr>
        <w:tc>
          <w:tcPr>
            <w:tcW w:w="26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w w:val="97"/>
              </w:rPr>
              <w:t>Investments in Affiliated Portfolio Companies - 57.3%^</w:t>
            </w:r>
          </w:p>
        </w:tc>
        <w:tc>
          <w:tcPr>
            <w:tcW w:w="100" w:type="dxa"/>
            <w:vAlign w:val="bottom"/>
            <w:shd w:val="clear" w:color="auto" w:fill="CFF0FC"/>
          </w:tcPr>
          <w:p>
            <w:pPr>
              <w:spacing w:after="0"/>
              <w:rPr>
                <w:sz w:val="11"/>
                <w:szCs w:val="11"/>
                <w:color w:val="auto"/>
              </w:rPr>
            </w:pPr>
          </w:p>
        </w:tc>
        <w:tc>
          <w:tcPr>
            <w:tcW w:w="17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Lien/Senior Secured Debt - 5.9%</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MMI Holdings, LLC</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Medical Device Distributor</w:t>
            </w:r>
          </w:p>
        </w:tc>
        <w:tc>
          <w:tcPr>
            <w:tcW w:w="760" w:type="dxa"/>
            <w:vAlign w:val="bottom"/>
            <w:gridSpan w:val="2"/>
            <w:shd w:val="clear" w:color="auto" w:fill="CFF0FC"/>
          </w:tcPr>
          <w:p>
            <w:pPr>
              <w:jc w:val="center"/>
              <w:ind w:left="47"/>
              <w:spacing w:after="0"/>
              <w:rPr>
                <w:sz w:val="20"/>
                <w:szCs w:val="20"/>
                <w:color w:val="auto"/>
              </w:rPr>
            </w:pPr>
            <w:r>
              <w:rPr>
                <w:rFonts w:ascii="Times New Roman" w:cs="Times New Roman" w:eastAsia="Times New Roman" w:hAnsi="Times New Roman"/>
                <w:sz w:val="11"/>
                <w:szCs w:val="11"/>
                <w:color w:val="auto"/>
              </w:rPr>
              <w:t>12.00%</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FF0FC"/>
          </w:tcPr>
          <w:p>
            <w:pPr>
              <w:jc w:val="center"/>
              <w:ind w:left="47"/>
              <w:spacing w:after="0"/>
              <w:rPr>
                <w:sz w:val="20"/>
                <w:szCs w:val="20"/>
                <w:color w:val="auto"/>
              </w:rPr>
            </w:pPr>
            <w:r>
              <w:rPr>
                <w:rFonts w:ascii="Times New Roman" w:cs="Times New Roman" w:eastAsia="Times New Roman" w:hAnsi="Times New Roman"/>
                <w:sz w:val="11"/>
                <w:szCs w:val="11"/>
                <w:color w:val="auto"/>
                <w:w w:val="99"/>
              </w:rPr>
              <w:t>01/31/2022</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2,600</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2,600</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2,600</w:t>
            </w: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RAM Payment, LLC (First Out)</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Financial Services</w:t>
            </w:r>
          </w:p>
        </w:tc>
        <w:tc>
          <w:tcPr>
            <w:tcW w:w="760" w:type="dxa"/>
            <w:vAlign w:val="bottom"/>
            <w:gridSpan w:val="2"/>
          </w:tcPr>
          <w:p>
            <w:pPr>
              <w:jc w:val="center"/>
              <w:ind w:left="67"/>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L + 5.00%</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1.50%</w:t>
            </w:r>
          </w:p>
        </w:tc>
        <w:tc>
          <w:tcPr>
            <w:tcW w:w="920" w:type="dxa"/>
            <w:vAlign w:val="bottom"/>
            <w:gridSpan w:val="2"/>
          </w:tcPr>
          <w:p>
            <w:pPr>
              <w:jc w:val="center"/>
              <w:ind w:left="47"/>
              <w:spacing w:after="0"/>
              <w:rPr>
                <w:sz w:val="20"/>
                <w:szCs w:val="20"/>
                <w:color w:val="auto"/>
              </w:rPr>
            </w:pPr>
            <w:r>
              <w:rPr>
                <w:rFonts w:ascii="Times New Roman" w:cs="Times New Roman" w:eastAsia="Times New Roman" w:hAnsi="Times New Roman"/>
                <w:sz w:val="11"/>
                <w:szCs w:val="11"/>
                <w:color w:val="auto"/>
                <w:w w:val="99"/>
              </w:rPr>
              <w:t>01/04/2024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998</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35"/>
        </w:trPr>
        <w:tc>
          <w:tcPr>
            <w:tcW w:w="2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RAM Payment, LLC (Last Out)</w:t>
            </w:r>
          </w:p>
        </w:tc>
        <w:tc>
          <w:tcPr>
            <w:tcW w:w="1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Financial Services</w:t>
            </w:r>
          </w:p>
        </w:tc>
        <w:tc>
          <w:tcPr>
            <w:tcW w:w="760" w:type="dxa"/>
            <w:vAlign w:val="bottom"/>
            <w:tcBorders>
              <w:bottom w:val="single" w:sz="8" w:color="CFF0FC"/>
            </w:tcBorders>
            <w:gridSpan w:val="2"/>
            <w:shd w:val="clear" w:color="auto" w:fill="CFF0FC"/>
          </w:tcPr>
          <w:p>
            <w:pPr>
              <w:jc w:val="center"/>
              <w:ind w:left="67"/>
              <w:spacing w:after="0"/>
              <w:rPr>
                <w:sz w:val="20"/>
                <w:szCs w:val="20"/>
                <w:color w:val="auto"/>
              </w:rPr>
            </w:pPr>
            <w:r>
              <w:rPr>
                <w:rFonts w:ascii="Times New Roman" w:cs="Times New Roman" w:eastAsia="Times New Roman" w:hAnsi="Times New Roman"/>
                <w:sz w:val="11"/>
                <w:szCs w:val="11"/>
                <w:color w:val="auto"/>
                <w:w w:val="98"/>
              </w:rPr>
              <w:t>9.86%</w:t>
            </w:r>
          </w:p>
        </w:tc>
        <w:tc>
          <w:tcPr>
            <w:tcW w:w="12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CFF0FC"/>
            </w:tcBorders>
            <w:gridSpan w:val="2"/>
            <w:shd w:val="clear" w:color="auto" w:fill="CFF0FC"/>
          </w:tcPr>
          <w:p>
            <w:pPr>
              <w:jc w:val="center"/>
              <w:ind w:left="47"/>
              <w:spacing w:after="0"/>
              <w:rPr>
                <w:sz w:val="20"/>
                <w:szCs w:val="20"/>
                <w:color w:val="auto"/>
              </w:rPr>
            </w:pPr>
            <w:r>
              <w:rPr>
                <w:rFonts w:ascii="Times New Roman" w:cs="Times New Roman" w:eastAsia="Times New Roman" w:hAnsi="Times New Roman"/>
                <w:sz w:val="11"/>
                <w:szCs w:val="11"/>
                <w:color w:val="auto"/>
                <w:w w:val="99"/>
              </w:rPr>
              <w:t>01/04/2024</w:t>
            </w: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2,706</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2,706</w:t>
            </w:r>
          </w:p>
        </w:tc>
        <w:tc>
          <w:tcPr>
            <w:tcW w:w="34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2,706</w:t>
            </w:r>
          </w:p>
        </w:tc>
        <w:tc>
          <w:tcPr>
            <w:tcW w:w="86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(10)(26)</w:t>
            </w:r>
          </w:p>
        </w:tc>
        <w:tc>
          <w:tcPr>
            <w:tcW w:w="0" w:type="dxa"/>
            <w:vAlign w:val="bottom"/>
          </w:tcPr>
          <w:p>
            <w:pPr>
              <w:spacing w:after="0"/>
              <w:rPr>
                <w:sz w:val="1"/>
                <w:szCs w:val="1"/>
                <w:color w:val="auto"/>
              </w:rPr>
            </w:pPr>
          </w:p>
        </w:tc>
      </w:tr>
      <w:tr>
        <w:trPr>
          <w:trHeight w:val="12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Lien/Senior Secured Debt</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6,304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6,304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Lien/Senior Secured Debt - 16.3%</w:t>
            </w:r>
          </w:p>
        </w:tc>
        <w:tc>
          <w:tcPr>
            <w:tcW w:w="1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Eastport Holdings, LLC</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Business Services</w:t>
            </w:r>
          </w:p>
        </w:tc>
        <w:tc>
          <w:tcPr>
            <w:tcW w:w="760" w:type="dxa"/>
            <w:vAlign w:val="bottom"/>
            <w:gridSpan w:val="2"/>
          </w:tcPr>
          <w:p>
            <w:pPr>
              <w:jc w:val="center"/>
              <w:ind w:left="47"/>
              <w:spacing w:after="0"/>
              <w:rPr>
                <w:sz w:val="20"/>
                <w:szCs w:val="20"/>
                <w:color w:val="auto"/>
              </w:rPr>
            </w:pPr>
            <w:r>
              <w:rPr>
                <w:rFonts w:ascii="Times New Roman" w:cs="Times New Roman" w:eastAsia="Times New Roman" w:hAnsi="Times New Roman"/>
                <w:sz w:val="11"/>
                <w:szCs w:val="11"/>
                <w:color w:val="auto"/>
              </w:rPr>
              <w:t>13.50%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L + 13.00%</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0.50%</w:t>
            </w:r>
          </w:p>
        </w:tc>
        <w:tc>
          <w:tcPr>
            <w:tcW w:w="920" w:type="dxa"/>
            <w:vAlign w:val="bottom"/>
            <w:gridSpan w:val="2"/>
          </w:tcPr>
          <w:p>
            <w:pPr>
              <w:jc w:val="center"/>
              <w:ind w:left="47"/>
              <w:spacing w:after="0"/>
              <w:rPr>
                <w:sz w:val="20"/>
                <w:szCs w:val="20"/>
                <w:color w:val="auto"/>
              </w:rPr>
            </w:pPr>
            <w:r>
              <w:rPr>
                <w:rFonts w:ascii="Times New Roman" w:cs="Times New Roman" w:eastAsia="Times New Roman" w:hAnsi="Times New Roman"/>
                <w:sz w:val="11"/>
                <w:szCs w:val="11"/>
                <w:color w:val="auto"/>
                <w:w w:val="99"/>
              </w:rPr>
              <w:t>04/30/2022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16,500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16,451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16,500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35"/>
        </w:trPr>
        <w:tc>
          <w:tcPr>
            <w:tcW w:w="2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MMI Holdings, LLC</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Medical Device Distributor</w:t>
            </w:r>
          </w:p>
        </w:tc>
        <w:tc>
          <w:tcPr>
            <w:tcW w:w="760" w:type="dxa"/>
            <w:vAlign w:val="bottom"/>
            <w:gridSpan w:val="2"/>
            <w:shd w:val="clear" w:color="auto" w:fill="CFF0FC"/>
          </w:tcPr>
          <w:p>
            <w:pPr>
              <w:jc w:val="center"/>
              <w:ind w:left="67"/>
              <w:spacing w:after="0"/>
              <w:rPr>
                <w:sz w:val="20"/>
                <w:szCs w:val="20"/>
                <w:color w:val="auto"/>
              </w:rPr>
            </w:pPr>
            <w:r>
              <w:rPr>
                <w:rFonts w:ascii="Times New Roman" w:cs="Times New Roman" w:eastAsia="Times New Roman" w:hAnsi="Times New Roman"/>
                <w:sz w:val="11"/>
                <w:szCs w:val="11"/>
                <w:color w:val="auto"/>
                <w:w w:val="98"/>
              </w:rPr>
              <w:t>6.00%</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FF0FC"/>
          </w:tcPr>
          <w:p>
            <w:pPr>
              <w:jc w:val="center"/>
              <w:ind w:left="47"/>
              <w:spacing w:after="0"/>
              <w:rPr>
                <w:sz w:val="20"/>
                <w:szCs w:val="20"/>
                <w:color w:val="auto"/>
              </w:rPr>
            </w:pPr>
            <w:r>
              <w:rPr>
                <w:rFonts w:ascii="Times New Roman" w:cs="Times New Roman" w:eastAsia="Times New Roman" w:hAnsi="Times New Roman"/>
                <w:sz w:val="11"/>
                <w:szCs w:val="11"/>
                <w:color w:val="auto"/>
                <w:w w:val="99"/>
              </w:rPr>
              <w:t>01/31/2022</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388</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70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10"/>
                <w:szCs w:val="10"/>
                <w:color w:val="auto"/>
              </w:rPr>
              <w:t>Sierra Hamilton Holdings Corporation</w:t>
            </w:r>
          </w:p>
        </w:tc>
        <w:tc>
          <w:tcPr>
            <w:tcW w:w="170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Oil &amp; Gas Engineering and</w:t>
            </w:r>
          </w:p>
        </w:tc>
        <w:tc>
          <w:tcPr>
            <w:tcW w:w="760" w:type="dxa"/>
            <w:vAlign w:val="bottom"/>
            <w:gridSpan w:val="2"/>
          </w:tcPr>
          <w:p>
            <w:pPr>
              <w:jc w:val="center"/>
              <w:ind w:left="47"/>
              <w:spacing w:after="0" w:line="95" w:lineRule="exact"/>
              <w:rPr>
                <w:sz w:val="20"/>
                <w:szCs w:val="20"/>
                <w:color w:val="auto"/>
              </w:rPr>
            </w:pPr>
            <w:r>
              <w:rPr>
                <w:rFonts w:ascii="Times New Roman" w:cs="Times New Roman" w:eastAsia="Times New Roman" w:hAnsi="Times New Roman"/>
                <w:sz w:val="10"/>
                <w:szCs w:val="10"/>
                <w:color w:val="auto"/>
              </w:rPr>
              <w:t>15.00%</w:t>
            </w:r>
          </w:p>
        </w:tc>
        <w:tc>
          <w:tcPr>
            <w:tcW w:w="12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center"/>
              <w:ind w:left="47"/>
              <w:spacing w:after="0" w:line="95" w:lineRule="exact"/>
              <w:rPr>
                <w:sz w:val="20"/>
                <w:szCs w:val="20"/>
                <w:color w:val="auto"/>
              </w:rPr>
            </w:pPr>
            <w:r>
              <w:rPr>
                <w:rFonts w:ascii="Times New Roman" w:cs="Times New Roman" w:eastAsia="Times New Roman" w:hAnsi="Times New Roman"/>
                <w:sz w:val="10"/>
                <w:szCs w:val="10"/>
                <w:color w:val="auto"/>
              </w:rPr>
              <w:t>09/12/2023</w:t>
            </w: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Consulting Services</w:t>
            </w: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72"/>
        </w:trPr>
        <w:tc>
          <w:tcPr>
            <w:tcW w:w="2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V12 Holdings, Inc.</w:t>
            </w:r>
          </w:p>
        </w:tc>
        <w:tc>
          <w:tcPr>
            <w:tcW w:w="1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Data Processing &amp; Digital Marketing</w:t>
            </w:r>
          </w:p>
        </w:tc>
        <w:tc>
          <w:tcPr>
            <w:tcW w:w="10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34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86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2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Lien/Senior Secured Debt</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17,332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17,412</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Preferred Stock and Units - 10.1%</w:t>
            </w:r>
          </w:p>
        </w:tc>
        <w:tc>
          <w:tcPr>
            <w:tcW w:w="1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GA Communications, Inc. - Series A-1</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Advertising &amp; Marketing Services</w:t>
            </w:r>
          </w:p>
        </w:tc>
        <w:tc>
          <w:tcPr>
            <w:tcW w:w="100" w:type="dxa"/>
            <w:vAlign w:val="bottom"/>
          </w:tcPr>
          <w:p>
            <w:pPr>
              <w:spacing w:after="0"/>
              <w:rPr>
                <w:sz w:val="11"/>
                <w:szCs w:val="11"/>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1,998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4,394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LJS Partners, LLC</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QSR Franchisor</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202,336</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437</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843</w:t>
            </w: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MMI Holdings, LLC</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Medical Device Distributor</w:t>
            </w:r>
          </w:p>
        </w:tc>
        <w:tc>
          <w:tcPr>
            <w:tcW w:w="10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6.00% PIK</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1,898</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135"/>
        </w:trPr>
        <w:tc>
          <w:tcPr>
            <w:tcW w:w="2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RAM Payment, LLC</w:t>
            </w:r>
          </w:p>
        </w:tc>
        <w:tc>
          <w:tcPr>
            <w:tcW w:w="1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Financial Services</w:t>
            </w: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8.00% PIK</w:t>
            </w:r>
          </w:p>
        </w:tc>
        <w:tc>
          <w:tcPr>
            <w:tcW w:w="12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86,000</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1,066</w:t>
            </w:r>
          </w:p>
        </w:tc>
        <w:tc>
          <w:tcPr>
            <w:tcW w:w="34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3,726</w:t>
            </w:r>
          </w:p>
        </w:tc>
        <w:tc>
          <w:tcPr>
            <w:tcW w:w="86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12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Stock and Units</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6,766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10,861</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Common Stock and Membership Units - 25.0%</w:t>
            </w:r>
          </w:p>
        </w:tc>
        <w:tc>
          <w:tcPr>
            <w:tcW w:w="1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Burgaflex Holdings, LLC - Class A</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Automobile Part Manufacturer</w:t>
            </w:r>
          </w:p>
        </w:tc>
        <w:tc>
          <w:tcPr>
            <w:tcW w:w="100" w:type="dxa"/>
            <w:vAlign w:val="bottom"/>
          </w:tcPr>
          <w:p>
            <w:pPr>
              <w:spacing w:after="0"/>
              <w:rPr>
                <w:sz w:val="11"/>
                <w:szCs w:val="11"/>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1,253,198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1,193</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Burgaflex Holdings, LLC - Class B</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Automobile Part Manufacturer</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1,085,073</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362</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1,528</w:t>
            </w: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Eastport Holdings, LLC</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Business Services</w:t>
            </w:r>
          </w:p>
        </w:tc>
        <w:tc>
          <w:tcPr>
            <w:tcW w:w="100" w:type="dxa"/>
            <w:vAlign w:val="bottom"/>
          </w:tcPr>
          <w:p>
            <w:pPr>
              <w:spacing w:after="0"/>
              <w:rPr>
                <w:sz w:val="11"/>
                <w:szCs w:val="11"/>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16,319</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GA Communications, Inc. - Series B-1</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Advertising &amp; Marketing Services</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200,000</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LJS Partners, LLC</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QSR Franchisor</w:t>
            </w:r>
          </w:p>
        </w:tc>
        <w:tc>
          <w:tcPr>
            <w:tcW w:w="100" w:type="dxa"/>
            <w:vAlign w:val="bottom"/>
          </w:tcPr>
          <w:p>
            <w:pPr>
              <w:spacing w:after="0"/>
              <w:rPr>
                <w:sz w:val="11"/>
                <w:szCs w:val="11"/>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2,593,234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7,164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MMI Holdings, LLC</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Medical Device Distributor</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Nth Degree Investment Group, LLC</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Business Services</w:t>
            </w:r>
          </w:p>
        </w:tc>
        <w:tc>
          <w:tcPr>
            <w:tcW w:w="100" w:type="dxa"/>
            <w:vAlign w:val="bottom"/>
          </w:tcPr>
          <w:p>
            <w:pPr>
              <w:spacing w:after="0"/>
              <w:rPr>
                <w:sz w:val="11"/>
                <w:szCs w:val="11"/>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6,088,000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6,088</w:t>
            </w:r>
          </w:p>
        </w:tc>
        <w:tc>
          <w:tcPr>
            <w:tcW w:w="3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700" w:type="dxa"/>
            <w:vAlign w:val="bottom"/>
            <w:gridSpan w:val="2"/>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Sierra Hamilton Holdings Corporation</w:t>
            </w:r>
          </w:p>
        </w:tc>
        <w:tc>
          <w:tcPr>
            <w:tcW w:w="170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Oil &amp; Gas Engineering and</w:t>
            </w:r>
          </w:p>
        </w:tc>
        <w:tc>
          <w:tcPr>
            <w:tcW w:w="100" w:type="dxa"/>
            <w:vAlign w:val="bottom"/>
            <w:shd w:val="clear" w:color="auto" w:fill="CFF0FC"/>
          </w:tcPr>
          <w:p>
            <w:pPr>
              <w:spacing w:after="0"/>
              <w:rPr>
                <w:sz w:val="8"/>
                <w:szCs w:val="8"/>
                <w:color w:val="auto"/>
              </w:rPr>
            </w:pPr>
          </w:p>
        </w:tc>
        <w:tc>
          <w:tcPr>
            <w:tcW w:w="660" w:type="dxa"/>
            <w:vAlign w:val="bottom"/>
            <w:vMerge w:val="restart"/>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8"/>
                <w:szCs w:val="8"/>
                <w:color w:val="auto"/>
              </w:rPr>
            </w:pPr>
          </w:p>
        </w:tc>
        <w:tc>
          <w:tcPr>
            <w:tcW w:w="9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6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7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Consulting Services</w:t>
            </w:r>
          </w:p>
        </w:tc>
        <w:tc>
          <w:tcPr>
            <w:tcW w:w="100" w:type="dxa"/>
            <w:vAlign w:val="bottom"/>
            <w:shd w:val="clear" w:color="auto" w:fill="CFF0FC"/>
          </w:tcPr>
          <w:p>
            <w:pPr>
              <w:spacing w:after="0"/>
              <w:rPr>
                <w:sz w:val="7"/>
                <w:szCs w:val="7"/>
                <w:color w:val="auto"/>
              </w:rPr>
            </w:pPr>
          </w:p>
        </w:tc>
        <w:tc>
          <w:tcPr>
            <w:tcW w:w="66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96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2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20" w:type="dxa"/>
            <w:vAlign w:val="bottom"/>
            <w:vMerge w:val="continue"/>
            <w:shd w:val="clear" w:color="auto" w:fill="CFF0FC"/>
          </w:tcPr>
          <w:p>
            <w:pPr>
              <w:spacing w:after="0"/>
              <w:rPr>
                <w:sz w:val="7"/>
                <w:szCs w:val="7"/>
                <w:color w:val="auto"/>
              </w:rPr>
            </w:pPr>
          </w:p>
        </w:tc>
        <w:tc>
          <w:tcPr>
            <w:tcW w:w="8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15,068,000</w:t>
            </w:r>
          </w:p>
        </w:tc>
        <w:tc>
          <w:tcPr>
            <w:tcW w:w="2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6,958</w:t>
            </w:r>
          </w:p>
        </w:tc>
        <w:tc>
          <w:tcPr>
            <w:tcW w:w="340" w:type="dxa"/>
            <w:vAlign w:val="bottom"/>
            <w:vMerge w:val="restart"/>
            <w:shd w:val="clear" w:color="auto" w:fill="CFF0FC"/>
          </w:tcPr>
          <w:p>
            <w:pPr>
              <w:spacing w:after="0"/>
              <w:rPr>
                <w:sz w:val="7"/>
                <w:szCs w:val="7"/>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22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600" w:type="dxa"/>
            <w:vAlign w:val="bottom"/>
            <w:tcBorders>
              <w:bottom w:val="single" w:sz="8" w:color="CFF0FC"/>
            </w:tcBorders>
            <w:shd w:val="clear" w:color="auto" w:fill="CFF0FC"/>
          </w:tcPr>
          <w:p>
            <w:pPr>
              <w:spacing w:after="0"/>
              <w:rPr>
                <w:sz w:val="5"/>
                <w:szCs w:val="5"/>
                <w:color w:val="auto"/>
              </w:rPr>
            </w:pPr>
          </w:p>
        </w:tc>
        <w:tc>
          <w:tcPr>
            <w:tcW w:w="100" w:type="dxa"/>
            <w:vAlign w:val="bottom"/>
            <w:tcBorders>
              <w:bottom w:val="single" w:sz="8" w:color="CFF0FC"/>
            </w:tcBorders>
            <w:shd w:val="clear" w:color="auto" w:fill="CFF0FC"/>
          </w:tcPr>
          <w:p>
            <w:pPr>
              <w:spacing w:after="0"/>
              <w:rPr>
                <w:sz w:val="5"/>
                <w:szCs w:val="5"/>
                <w:color w:val="auto"/>
              </w:rPr>
            </w:pPr>
          </w:p>
        </w:tc>
        <w:tc>
          <w:tcPr>
            <w:tcW w:w="1700" w:type="dxa"/>
            <w:vAlign w:val="bottom"/>
            <w:tcBorders>
              <w:bottom w:val="single" w:sz="8" w:color="CFF0FC"/>
            </w:tcBorders>
            <w:vMerge w:val="continue"/>
            <w:shd w:val="clear" w:color="auto" w:fill="CFF0FC"/>
          </w:tcPr>
          <w:p>
            <w:pPr>
              <w:spacing w:after="0"/>
              <w:rPr>
                <w:sz w:val="5"/>
                <w:szCs w:val="5"/>
                <w:color w:val="auto"/>
              </w:rPr>
            </w:pPr>
          </w:p>
        </w:tc>
        <w:tc>
          <w:tcPr>
            <w:tcW w:w="100" w:type="dxa"/>
            <w:vAlign w:val="bottom"/>
            <w:tcBorders>
              <w:bottom w:val="single" w:sz="8" w:color="CFF0FC"/>
            </w:tcBorders>
            <w:shd w:val="clear" w:color="auto" w:fill="CFF0FC"/>
          </w:tcPr>
          <w:p>
            <w:pPr>
              <w:spacing w:after="0"/>
              <w:rPr>
                <w:sz w:val="5"/>
                <w:szCs w:val="5"/>
                <w:color w:val="auto"/>
              </w:rPr>
            </w:pPr>
          </w:p>
        </w:tc>
        <w:tc>
          <w:tcPr>
            <w:tcW w:w="660" w:type="dxa"/>
            <w:vAlign w:val="bottom"/>
            <w:tcBorders>
              <w:bottom w:val="single" w:sz="8" w:color="CFF0FC"/>
            </w:tcBorders>
            <w:shd w:val="clear" w:color="auto" w:fill="CFF0FC"/>
          </w:tcPr>
          <w:p>
            <w:pPr>
              <w:spacing w:after="0"/>
              <w:rPr>
                <w:sz w:val="5"/>
                <w:szCs w:val="5"/>
                <w:color w:val="auto"/>
              </w:rPr>
            </w:pPr>
          </w:p>
        </w:tc>
        <w:tc>
          <w:tcPr>
            <w:tcW w:w="120" w:type="dxa"/>
            <w:vAlign w:val="bottom"/>
            <w:tcBorders>
              <w:bottom w:val="single" w:sz="8" w:color="CFF0FC"/>
            </w:tcBorders>
            <w:shd w:val="clear" w:color="auto" w:fill="CFF0FC"/>
          </w:tcPr>
          <w:p>
            <w:pPr>
              <w:spacing w:after="0"/>
              <w:rPr>
                <w:sz w:val="5"/>
                <w:szCs w:val="5"/>
                <w:color w:val="auto"/>
              </w:rPr>
            </w:pPr>
          </w:p>
        </w:tc>
        <w:tc>
          <w:tcPr>
            <w:tcW w:w="960" w:type="dxa"/>
            <w:vAlign w:val="bottom"/>
            <w:tcBorders>
              <w:bottom w:val="single" w:sz="8" w:color="CFF0FC"/>
            </w:tcBorders>
            <w:shd w:val="clear" w:color="auto" w:fill="CFF0FC"/>
          </w:tcPr>
          <w:p>
            <w:pPr>
              <w:spacing w:after="0"/>
              <w:rPr>
                <w:sz w:val="5"/>
                <w:szCs w:val="5"/>
                <w:color w:val="auto"/>
              </w:rPr>
            </w:pPr>
          </w:p>
        </w:tc>
        <w:tc>
          <w:tcPr>
            <w:tcW w:w="100" w:type="dxa"/>
            <w:vAlign w:val="bottom"/>
            <w:tcBorders>
              <w:bottom w:val="single" w:sz="8" w:color="CFF0FC"/>
            </w:tcBorders>
            <w:shd w:val="clear" w:color="auto" w:fill="CFF0FC"/>
          </w:tcPr>
          <w:p>
            <w:pPr>
              <w:spacing w:after="0"/>
              <w:rPr>
                <w:sz w:val="5"/>
                <w:szCs w:val="5"/>
                <w:color w:val="auto"/>
              </w:rPr>
            </w:pPr>
          </w:p>
        </w:tc>
        <w:tc>
          <w:tcPr>
            <w:tcW w:w="520" w:type="dxa"/>
            <w:vAlign w:val="bottom"/>
            <w:tcBorders>
              <w:bottom w:val="single" w:sz="8" w:color="CFF0FC"/>
            </w:tcBorders>
            <w:shd w:val="clear" w:color="auto" w:fill="CFF0FC"/>
          </w:tcPr>
          <w:p>
            <w:pPr>
              <w:spacing w:after="0"/>
              <w:rPr>
                <w:sz w:val="5"/>
                <w:szCs w:val="5"/>
                <w:color w:val="auto"/>
              </w:rPr>
            </w:pPr>
          </w:p>
        </w:tc>
        <w:tc>
          <w:tcPr>
            <w:tcW w:w="100" w:type="dxa"/>
            <w:vAlign w:val="bottom"/>
            <w:tcBorders>
              <w:bottom w:val="single" w:sz="8" w:color="CFF0FC"/>
            </w:tcBorders>
            <w:shd w:val="clear" w:color="auto" w:fill="CFF0FC"/>
          </w:tcPr>
          <w:p>
            <w:pPr>
              <w:spacing w:after="0"/>
              <w:rPr>
                <w:sz w:val="5"/>
                <w:szCs w:val="5"/>
                <w:color w:val="auto"/>
              </w:rPr>
            </w:pPr>
          </w:p>
        </w:tc>
        <w:tc>
          <w:tcPr>
            <w:tcW w:w="820" w:type="dxa"/>
            <w:vAlign w:val="bottom"/>
            <w:tcBorders>
              <w:bottom w:val="single" w:sz="8" w:color="CFF0FC"/>
            </w:tcBorders>
            <w:shd w:val="clear" w:color="auto" w:fill="CFF0FC"/>
          </w:tcPr>
          <w:p>
            <w:pPr>
              <w:spacing w:after="0"/>
              <w:rPr>
                <w:sz w:val="5"/>
                <w:szCs w:val="5"/>
                <w:color w:val="auto"/>
              </w:rPr>
            </w:pPr>
          </w:p>
        </w:tc>
        <w:tc>
          <w:tcPr>
            <w:tcW w:w="800" w:type="dxa"/>
            <w:vAlign w:val="bottom"/>
            <w:tcBorders>
              <w:bottom w:val="single" w:sz="8" w:color="CFF0FC"/>
            </w:tcBorders>
            <w:gridSpan w:val="2"/>
            <w:vMerge w:val="continue"/>
            <w:shd w:val="clear" w:color="auto" w:fill="CFF0FC"/>
          </w:tcPr>
          <w:p>
            <w:pPr>
              <w:spacing w:after="0"/>
              <w:rPr>
                <w:sz w:val="5"/>
                <w:szCs w:val="5"/>
                <w:color w:val="auto"/>
              </w:rPr>
            </w:pPr>
          </w:p>
        </w:tc>
        <w:tc>
          <w:tcPr>
            <w:tcW w:w="220" w:type="dxa"/>
            <w:vAlign w:val="bottom"/>
            <w:tcBorders>
              <w:bottom w:val="single" w:sz="8" w:color="CFF0FC"/>
            </w:tcBorders>
            <w:shd w:val="clear" w:color="auto" w:fill="CFF0FC"/>
          </w:tcPr>
          <w:p>
            <w:pPr>
              <w:spacing w:after="0"/>
              <w:rPr>
                <w:sz w:val="5"/>
                <w:szCs w:val="5"/>
                <w:color w:val="auto"/>
              </w:rPr>
            </w:pPr>
          </w:p>
        </w:tc>
        <w:tc>
          <w:tcPr>
            <w:tcW w:w="140" w:type="dxa"/>
            <w:vAlign w:val="bottom"/>
            <w:tcBorders>
              <w:bottom w:val="single" w:sz="8" w:color="auto"/>
            </w:tcBorders>
            <w:shd w:val="clear" w:color="auto" w:fill="CFF0FC"/>
          </w:tcPr>
          <w:p>
            <w:pPr>
              <w:spacing w:after="0"/>
              <w:rPr>
                <w:sz w:val="5"/>
                <w:szCs w:val="5"/>
                <w:color w:val="auto"/>
              </w:rPr>
            </w:pPr>
          </w:p>
        </w:tc>
        <w:tc>
          <w:tcPr>
            <w:tcW w:w="520" w:type="dxa"/>
            <w:vAlign w:val="bottom"/>
            <w:tcBorders>
              <w:bottom w:val="single" w:sz="8" w:color="auto"/>
            </w:tcBorders>
            <w:vMerge w:val="continue"/>
            <w:shd w:val="clear" w:color="auto" w:fill="CFF0FC"/>
          </w:tcPr>
          <w:p>
            <w:pPr>
              <w:spacing w:after="0"/>
              <w:rPr>
                <w:sz w:val="5"/>
                <w:szCs w:val="5"/>
                <w:color w:val="auto"/>
              </w:rPr>
            </w:pPr>
          </w:p>
        </w:tc>
        <w:tc>
          <w:tcPr>
            <w:tcW w:w="340" w:type="dxa"/>
            <w:vAlign w:val="bottom"/>
            <w:tcBorders>
              <w:bottom w:val="single" w:sz="8" w:color="CFF0FC"/>
            </w:tcBorders>
            <w:vMerge w:val="continue"/>
            <w:shd w:val="clear" w:color="auto" w:fill="CFF0FC"/>
          </w:tcPr>
          <w:p>
            <w:pPr>
              <w:spacing w:after="0"/>
              <w:rPr>
                <w:sz w:val="5"/>
                <w:szCs w:val="5"/>
                <w:color w:val="auto"/>
              </w:rPr>
            </w:pPr>
          </w:p>
        </w:tc>
        <w:tc>
          <w:tcPr>
            <w:tcW w:w="580" w:type="dxa"/>
            <w:vAlign w:val="bottom"/>
            <w:tcBorders>
              <w:bottom w:val="single" w:sz="8" w:color="auto"/>
            </w:tcBorders>
            <w:vMerge w:val="continue"/>
            <w:shd w:val="clear" w:color="auto" w:fill="CFF0FC"/>
          </w:tcPr>
          <w:p>
            <w:pPr>
              <w:spacing w:after="0"/>
              <w:rPr>
                <w:sz w:val="5"/>
                <w:szCs w:val="5"/>
                <w:color w:val="auto"/>
              </w:rPr>
            </w:pPr>
          </w:p>
        </w:tc>
        <w:tc>
          <w:tcPr>
            <w:tcW w:w="220" w:type="dxa"/>
            <w:vAlign w:val="bottom"/>
            <w:tcBorders>
              <w:bottom w:val="single" w:sz="8" w:color="CFF0FC"/>
            </w:tcBorders>
            <w:shd w:val="clear" w:color="auto" w:fill="CFF0FC"/>
          </w:tcPr>
          <w:p>
            <w:pPr>
              <w:spacing w:after="0"/>
              <w:rPr>
                <w:sz w:val="5"/>
                <w:szCs w:val="5"/>
                <w:color w:val="auto"/>
              </w:rPr>
            </w:pPr>
          </w:p>
        </w:tc>
        <w:tc>
          <w:tcPr>
            <w:tcW w:w="640" w:type="dxa"/>
            <w:vAlign w:val="bottom"/>
            <w:tcBorders>
              <w:bottom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Stock and Membership Units</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19,401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26,782</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Affiliated Portfolio Companies^</w:t>
            </w:r>
          </w:p>
        </w:tc>
        <w:tc>
          <w:tcPr>
            <w:tcW w:w="17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49,803</w:t>
            </w:r>
          </w:p>
        </w:tc>
        <w:tc>
          <w:tcPr>
            <w:tcW w:w="34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61,359</w:t>
            </w:r>
          </w:p>
        </w:tc>
        <w:tc>
          <w:tcPr>
            <w:tcW w:w="22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9"/>
              </w:rPr>
              <w:t>Investments in Controlled Portfolio Companies - 6.4%^^</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Lien/Senior Secured Debt - 3.4%</w:t>
            </w:r>
          </w:p>
        </w:tc>
        <w:tc>
          <w:tcPr>
            <w:tcW w:w="1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Vology, Inc.</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Information Technology</w:t>
            </w:r>
          </w:p>
        </w:tc>
        <w:tc>
          <w:tcPr>
            <w:tcW w:w="760" w:type="dxa"/>
            <w:vAlign w:val="bottom"/>
            <w:gridSpan w:val="2"/>
          </w:tcPr>
          <w:p>
            <w:pPr>
              <w:jc w:val="center"/>
              <w:ind w:left="47"/>
              <w:spacing w:after="0"/>
              <w:rPr>
                <w:sz w:val="20"/>
                <w:szCs w:val="20"/>
                <w:color w:val="auto"/>
              </w:rPr>
            </w:pPr>
            <w:r>
              <w:rPr>
                <w:rFonts w:ascii="Times New Roman" w:cs="Times New Roman" w:eastAsia="Times New Roman" w:hAnsi="Times New Roman"/>
                <w:sz w:val="11"/>
                <w:szCs w:val="11"/>
                <w:color w:val="auto"/>
              </w:rPr>
              <w:t>10.50%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L + 8.50%</w:t>
            </w:r>
          </w:p>
        </w:tc>
        <w:tc>
          <w:tcPr>
            <w:tcW w:w="6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2.00%</w:t>
            </w:r>
          </w:p>
        </w:tc>
        <w:tc>
          <w:tcPr>
            <w:tcW w:w="920" w:type="dxa"/>
            <w:vAlign w:val="bottom"/>
            <w:gridSpan w:val="2"/>
          </w:tcPr>
          <w:p>
            <w:pPr>
              <w:jc w:val="center"/>
              <w:ind w:left="47"/>
              <w:spacing w:after="0"/>
              <w:rPr>
                <w:sz w:val="20"/>
                <w:szCs w:val="20"/>
                <w:color w:val="auto"/>
              </w:rPr>
            </w:pPr>
            <w:r>
              <w:rPr>
                <w:rFonts w:ascii="Times New Roman" w:cs="Times New Roman" w:eastAsia="Times New Roman" w:hAnsi="Times New Roman"/>
                <w:sz w:val="11"/>
                <w:szCs w:val="11"/>
                <w:color w:val="auto"/>
                <w:w w:val="99"/>
              </w:rPr>
              <w:t>03/31/2022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3,635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3,635</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Lien/Senior Secured Debt</w:t>
            </w:r>
          </w:p>
        </w:tc>
        <w:tc>
          <w:tcPr>
            <w:tcW w:w="17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3,635</w:t>
            </w:r>
          </w:p>
        </w:tc>
        <w:tc>
          <w:tcPr>
            <w:tcW w:w="34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3,635</w:t>
            </w:r>
          </w:p>
        </w:tc>
        <w:tc>
          <w:tcPr>
            <w:tcW w:w="22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Preferred Stock and Units - 3.0%</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Vology, Inc. - Class A</w:t>
            </w:r>
          </w:p>
        </w:tc>
        <w:tc>
          <w:tcPr>
            <w:tcW w:w="1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Information Technology</w:t>
            </w: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9,041,810</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5,215</w:t>
            </w:r>
          </w:p>
        </w:tc>
        <w:tc>
          <w:tcPr>
            <w:tcW w:w="34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3,204</w:t>
            </w:r>
          </w:p>
        </w:tc>
        <w:tc>
          <w:tcPr>
            <w:tcW w:w="22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Stock and Units</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5,215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3,204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Controlled Portfolio Companies^^</w:t>
            </w:r>
          </w:p>
        </w:tc>
        <w:tc>
          <w:tcPr>
            <w:tcW w:w="17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8,850</w:t>
            </w:r>
          </w:p>
        </w:tc>
        <w:tc>
          <w:tcPr>
            <w:tcW w:w="34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6,839</w:t>
            </w:r>
          </w:p>
        </w:tc>
        <w:tc>
          <w:tcPr>
            <w:tcW w:w="22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- 185.2%</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190,482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198,189</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-3119755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-3119755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-2510790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-2510790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-1979295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-1979295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-1036320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-1036320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-847725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-847725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-488315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-488315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-307975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-307975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-119380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-119380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ind w:right="20" w:firstLine="8"/>
        <w:spacing w:after="0" w:line="253" w:lineRule="auto"/>
        <w:tabs>
          <w:tab w:leader="none" w:pos="349"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defined in the 1940 Act, the investment is deemed to be an "affiliated person" of the Company because the Company owns, either directly or indirectly, 5% or more of the portfolio company's outstanding voting securities.</w:t>
      </w:r>
    </w:p>
    <w:p>
      <w:pPr>
        <w:spacing w:after="0" w:line="24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As defined in the 1940 Act, the investment is deemed to be a "controlled affiliated person" of the Company because the Company owns, either directly or indirectly, 25% or more of the portfolio company's outstanding voting securities or has the power to exercise control over management or policies of such portfolio company.</w:t>
      </w:r>
    </w:p>
    <w:p>
      <w:pPr>
        <w:jc w:val="both"/>
        <w:ind w:firstLine="8"/>
        <w:spacing w:after="0" w:line="246" w:lineRule="auto"/>
        <w:tabs>
          <w:tab w:leader="none" w:pos="353"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actual interest rate for partially or fully funded debt in effect as of the reporting date. Variable rate loans bear interest at a rate that may be determined by the larger of the floor of the reference to either LIBOR ("L") or alternate base rate (commonly known as the U.S. Prime Rate ("P"), unless otherwise noted) at the borrower's option, which reset periodically based on the terms of the credit agreement. L loans are typically indexed to 12 month, 6 month, 3 month, 2 month, or 1 month L rates. As of December 31, 2021, rates for the 12 month, 6 month, 3 month, 2 month and 1 month L are 0.58%, 0.34%, 0.21%, 0.15% and 0.10%, respectively. As of December 31, 2021, P was 3.25%. For investments with multiple reference rates or alternate base rates, the interest rate shown is the weighted average interest rate in effect at December 31, 2021.</w:t>
      </w:r>
    </w:p>
    <w:p>
      <w:pPr>
        <w:spacing w:after="0" w:line="2" w:lineRule="exact"/>
        <w:rPr>
          <w:sz w:val="20"/>
          <w:szCs w:val="20"/>
          <w:color w:val="auto"/>
        </w:rPr>
      </w:pPr>
    </w:p>
    <w:p>
      <w:pPr>
        <w:ind w:left="440" w:hanging="432"/>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 amount is presented for debt investments, while the number of shares or units owned is presented for equity investments.</w:t>
      </w:r>
    </w:p>
    <w:p>
      <w:pPr>
        <w:ind w:left="520" w:hanging="512"/>
        <w:spacing w:after="0" w:line="189" w:lineRule="auto"/>
        <w:tabs>
          <w:tab w:leader="none" w:pos="52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All investments valued using unobservable inputs (Level 3), unless otherwise noted.</w:t>
      </w:r>
    </w:p>
    <w:p>
      <w:pPr>
        <w:ind w:left="520" w:hanging="512"/>
        <w:spacing w:after="0" w:line="189" w:lineRule="auto"/>
        <w:tabs>
          <w:tab w:leader="none" w:pos="52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investments valued by the Company's board of directors.</w:t>
      </w:r>
    </w:p>
    <w:p>
      <w:pPr>
        <w:spacing w:after="0" w:line="3" w:lineRule="exact"/>
        <w:rPr>
          <w:rFonts w:ascii="Times New Roman" w:cs="Times New Roman" w:eastAsia="Times New Roman" w:hAnsi="Times New Roman"/>
          <w:sz w:val="19"/>
          <w:szCs w:val="19"/>
          <w:color w:val="auto"/>
          <w:vertAlign w:val="superscript"/>
        </w:rPr>
      </w:pPr>
    </w:p>
    <w:p>
      <w:pPr>
        <w:ind w:left="520" w:hanging="512"/>
        <w:spacing w:after="0" w:line="187" w:lineRule="auto"/>
        <w:tabs>
          <w:tab w:leader="none" w:pos="52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All debt investments are income producing, unless otherwise noted. Equity and warrant investments are non-income producing, unless otherwise noted.</w:t>
      </w:r>
    </w:p>
    <w:p>
      <w:pPr>
        <w:ind w:left="520" w:hanging="512"/>
        <w:spacing w:after="0" w:line="187" w:lineRule="auto"/>
        <w:tabs>
          <w:tab w:leader="none" w:pos="52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Percentages are based on net assets as of December 31, 2021.</w:t>
      </w:r>
    </w:p>
    <w:p>
      <w:pPr>
        <w:ind w:left="520" w:hanging="512"/>
        <w:spacing w:after="0" w:line="211" w:lineRule="auto"/>
        <w:tabs>
          <w:tab w:leader="none" w:pos="52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ind w:left="520" w:hanging="512"/>
        <w:spacing w:after="0" w:line="181" w:lineRule="auto"/>
        <w:tabs>
          <w:tab w:leader="none" w:pos="52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Investment is held through our Taxable Subsidiary (See Note 1).</w:t>
      </w:r>
    </w:p>
    <w:p>
      <w:pPr>
        <w:ind w:left="520" w:hanging="512"/>
        <w:spacing w:after="0" w:line="187" w:lineRule="auto"/>
        <w:tabs>
          <w:tab w:leader="none" w:pos="52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Non-accrual investment.</w:t>
      </w:r>
    </w:p>
    <w:p>
      <w:pPr>
        <w:ind w:left="520" w:hanging="512"/>
        <w:spacing w:after="0" w:line="187" w:lineRule="auto"/>
        <w:tabs>
          <w:tab w:leader="none" w:pos="52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1.0% interest rate payable in cash. 9.0% interest rate payable in cash or paid-in-kind at borrower's election.</w:t>
      </w:r>
    </w:p>
    <w:p>
      <w:pPr>
        <w:ind w:left="520" w:hanging="512"/>
        <w:spacing w:after="0" w:line="189" w:lineRule="auto"/>
        <w:tabs>
          <w:tab w:leader="none" w:pos="52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15.0% interest rate payable in cash or paid-in-kind at borrower's election.</w:t>
      </w:r>
    </w:p>
    <w:p>
      <w:pPr>
        <w:spacing w:after="0" w:line="3" w:lineRule="exact"/>
        <w:rPr>
          <w:rFonts w:ascii="Times New Roman" w:cs="Times New Roman" w:eastAsia="Times New Roman" w:hAnsi="Times New Roman"/>
          <w:sz w:val="19"/>
          <w:szCs w:val="19"/>
          <w:color w:val="auto"/>
          <w:vertAlign w:val="superscript"/>
        </w:rPr>
      </w:pPr>
    </w:p>
    <w:p>
      <w:pPr>
        <w:ind w:left="520" w:hanging="512"/>
        <w:spacing w:after="0" w:line="187" w:lineRule="auto"/>
        <w:tabs>
          <w:tab w:leader="none" w:pos="52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cash rate equals the approximate current yield on our last-out portion of the unitranche facility.</w:t>
      </w:r>
    </w:p>
    <w:p>
      <w:pPr>
        <w:ind w:left="520" w:hanging="512"/>
        <w:spacing w:after="0" w:line="187" w:lineRule="auto"/>
        <w:tabs>
          <w:tab w:leader="none" w:pos="52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investment has been exited or sold. The residual value reflects estimated earnout, escrow, or other proceeds expected post-closing.</w:t>
      </w:r>
    </w:p>
    <w:p>
      <w:pPr>
        <w:ind w:left="520" w:hanging="512"/>
        <w:spacing w:after="0" w:line="187" w:lineRule="auto"/>
        <w:tabs>
          <w:tab w:leader="none" w:pos="52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investment has a $4.0 million unfunded commitment.</w:t>
      </w:r>
    </w:p>
    <w:p>
      <w:pPr>
        <w:ind w:left="520" w:hanging="512"/>
        <w:spacing w:after="0" w:line="189" w:lineRule="auto"/>
        <w:tabs>
          <w:tab w:leader="none" w:pos="52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investment has a $5.0 million unfunded commitment.</w:t>
      </w:r>
    </w:p>
    <w:p>
      <w:pPr>
        <w:spacing w:after="0" w:line="3" w:lineRule="exact"/>
        <w:rPr>
          <w:rFonts w:ascii="Times New Roman" w:cs="Times New Roman" w:eastAsia="Times New Roman" w:hAnsi="Times New Roman"/>
          <w:sz w:val="19"/>
          <w:szCs w:val="19"/>
          <w:color w:val="auto"/>
          <w:vertAlign w:val="superscript"/>
        </w:rPr>
      </w:pPr>
    </w:p>
    <w:p>
      <w:pPr>
        <w:ind w:left="520" w:hanging="512"/>
        <w:spacing w:after="0" w:line="187" w:lineRule="auto"/>
        <w:tabs>
          <w:tab w:leader="none" w:pos="52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investment has a $0.7 million unfunded commitment.</w:t>
      </w:r>
    </w:p>
    <w:p>
      <w:pPr>
        <w:ind w:left="520" w:hanging="512"/>
        <w:spacing w:after="0" w:line="187" w:lineRule="auto"/>
        <w:tabs>
          <w:tab w:leader="none" w:pos="52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investment has a $2.1 million unfunded commitment.</w:t>
      </w:r>
    </w:p>
    <w:p>
      <w:pPr>
        <w:ind w:left="520" w:hanging="512"/>
        <w:spacing w:after="0" w:line="187" w:lineRule="auto"/>
        <w:tabs>
          <w:tab w:leader="none" w:pos="52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investment has a $1.0 million unfunded commitment.</w:t>
      </w:r>
    </w:p>
    <w:p>
      <w:pPr>
        <w:ind w:left="520" w:hanging="512"/>
        <w:spacing w:after="0" w:line="189" w:lineRule="auto"/>
        <w:tabs>
          <w:tab w:leader="none" w:pos="52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investment has a $3.5 million unfunded commitment.</w:t>
      </w:r>
    </w:p>
    <w:p>
      <w:pPr>
        <w:spacing w:after="0" w:line="3" w:lineRule="exact"/>
        <w:rPr>
          <w:rFonts w:ascii="Times New Roman" w:cs="Times New Roman" w:eastAsia="Times New Roman" w:hAnsi="Times New Roman"/>
          <w:sz w:val="19"/>
          <w:szCs w:val="19"/>
          <w:color w:val="auto"/>
          <w:vertAlign w:val="superscript"/>
        </w:rPr>
      </w:pPr>
    </w:p>
    <w:p>
      <w:pPr>
        <w:ind w:left="520" w:hanging="512"/>
        <w:spacing w:after="0" w:line="187" w:lineRule="auto"/>
        <w:tabs>
          <w:tab w:leader="none" w:pos="52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investment has a $0.9 million unfunded commitment.</w:t>
      </w:r>
    </w:p>
    <w:p>
      <w:pPr>
        <w:ind w:left="520" w:hanging="512"/>
        <w:spacing w:after="0" w:line="189" w:lineRule="auto"/>
        <w:tabs>
          <w:tab w:leader="none" w:pos="52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investment has a $2.5 million unfunded commitment.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1" w:name="page12"/>
    <w:bookmarkEnd w:id="11"/>
    <w:p>
      <w:pPr>
        <w:ind w:left="4560"/>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excepts for units/shares)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p>
      <w:pPr>
        <w:spacing w:after="0" w:line="161"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investment has a $1.9 million unfunded commitment.</w:t>
      </w:r>
    </w:p>
    <w:p>
      <w:pPr>
        <w:ind w:left="520" w:hanging="512"/>
        <w:spacing w:after="0" w:line="187" w:lineRule="auto"/>
        <w:tabs>
          <w:tab w:leader="none" w:pos="52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investment has a $3.3 million unfunded commitment.</w:t>
      </w:r>
    </w:p>
    <w:p>
      <w:pPr>
        <w:ind w:left="520" w:hanging="512"/>
        <w:spacing w:after="0" w:line="187" w:lineRule="auto"/>
        <w:tabs>
          <w:tab w:leader="none" w:pos="52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investment has a $0.2 million unfunded commitment</w:t>
      </w:r>
    </w:p>
    <w:p>
      <w:pPr>
        <w:ind w:left="520" w:hanging="512"/>
        <w:spacing w:after="0" w:line="189" w:lineRule="auto"/>
        <w:tabs>
          <w:tab w:leader="none" w:pos="52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equity investment is income producing, based on rate disclosed.</w:t>
      </w:r>
    </w:p>
    <w:p>
      <w:pPr>
        <w:spacing w:after="0" w:line="3" w:lineRule="exact"/>
        <w:rPr>
          <w:rFonts w:ascii="Times New Roman" w:cs="Times New Roman" w:eastAsia="Times New Roman" w:hAnsi="Times New Roman"/>
          <w:sz w:val="19"/>
          <w:szCs w:val="19"/>
          <w:color w:val="auto"/>
          <w:vertAlign w:val="superscript"/>
        </w:rPr>
      </w:pPr>
    </w:p>
    <w:p>
      <w:pPr>
        <w:jc w:val="both"/>
        <w:ind w:left="520" w:hanging="512"/>
        <w:spacing w:after="0" w:line="215" w:lineRule="auto"/>
        <w:tabs>
          <w:tab w:leader="none" w:pos="52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2021, qualifying assets represent 96.2% of the Company’s total assets and non-qualifying assets represent 3.2% of the Company’s total assets.</w:t>
      </w:r>
    </w:p>
    <w:p>
      <w:pPr>
        <w:spacing w:after="0" w:line="1" w:lineRule="exact"/>
        <w:rPr>
          <w:rFonts w:ascii="Times New Roman" w:cs="Times New Roman" w:eastAsia="Times New Roman" w:hAnsi="Times New Roman"/>
          <w:sz w:val="19"/>
          <w:szCs w:val="19"/>
          <w:color w:val="auto"/>
          <w:vertAlign w:val="superscript"/>
        </w:rPr>
      </w:pPr>
    </w:p>
    <w:p>
      <w:pPr>
        <w:ind w:left="520" w:hanging="512"/>
        <w:spacing w:after="0" w:line="213" w:lineRule="auto"/>
        <w:tabs>
          <w:tab w:leader="none" w:pos="52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is in liquidation. The fair value represents Management’s estimate of future expected proceeds on the term loan, which Management believes approximates the exit price. The Company received a cash payment of $0.5 million during the fourth quarter of 2021, which reduced the cost basis of the term loan.</w:t>
      </w:r>
    </w:p>
    <w:p>
      <w:pPr>
        <w:ind w:left="520" w:hanging="512"/>
        <w:spacing w:after="0" w:line="187" w:lineRule="auto"/>
        <w:tabs>
          <w:tab w:leader="none" w:pos="52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All or a portion of this security is pledged as collateral under the KeyBank Credit Facility and held through the Company's wholly-owned subsidiary Capitala Business Lending, LLC.</w:t>
      </w:r>
    </w:p>
    <w:p>
      <w:pPr>
        <w:jc w:val="both"/>
        <w:ind w:left="520" w:hanging="512"/>
        <w:spacing w:after="0" w:line="226" w:lineRule="auto"/>
        <w:tabs>
          <w:tab w:leader="none" w:pos="52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4"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right"/>
        <w:ind w:right="52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Organization</w:t>
      </w:r>
    </w:p>
    <w:p>
      <w:pPr>
        <w:spacing w:after="0" w:line="111" w:lineRule="exact"/>
        <w:rPr>
          <w:sz w:val="20"/>
          <w:szCs w:val="20"/>
          <w:color w:val="auto"/>
        </w:rPr>
      </w:pPr>
    </w:p>
    <w:p>
      <w:pPr>
        <w:jc w:val="both"/>
        <w:ind w:firstLine="792"/>
        <w:spacing w:after="0" w:line="253" w:lineRule="auto"/>
        <w:rPr>
          <w:sz w:val="20"/>
          <w:szCs w:val="20"/>
          <w:color w:val="auto"/>
        </w:rPr>
      </w:pPr>
      <w:r>
        <w:rPr>
          <w:rFonts w:ascii="Times New Roman" w:cs="Times New Roman" w:eastAsia="Times New Roman" w:hAnsi="Times New Roman"/>
          <w:sz w:val="14"/>
          <w:szCs w:val="14"/>
          <w:color w:val="auto"/>
        </w:rPr>
        <w:t>Logan Ridge Finance Corporation (the “Company”, “we”, “us”, and “our”) is an externally managed non-diversified closed-end management investment company incorporated in Maryland that has elected to be regulated as a business development company (“BDC”) under the Investment Company Act of 1940, as amended (the “1940 Act”). The Company commenced operations on May 24, 2013 and completed its initial public offering (“IPO”) on September 30, 2013. The Company is managed by Mount Logan Management LLC (the “Investment Advisor”), an investment adviser that is registered as an investment adviser under the Investment Advisers Act of 1940, as amended, and BC Partners Management LLC (the “Administrator”) provides the administrative services necessary for the Company to operate. For United States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75"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4"/>
          <w:szCs w:val="14"/>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w:t>
      </w:r>
    </w:p>
    <w:p>
      <w:pPr>
        <w:spacing w:after="0" w:line="6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4"/>
          <w:szCs w:val="14"/>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7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4"/>
          <w:szCs w:val="14"/>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small business investment company ("SBIC") licenses, continued to hold their existing investments at the time of the IPO and have continued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(the “SBA-guaranteed debentures”) and relinquished its SBIC license. On June 10, 2021, Fund III repaid its SBA-guaranteed debentures and relinquished its SBIC license. As of June 30, 2022, there were no SBA-guaranteed debentures outstanding.</w:t>
      </w:r>
    </w:p>
    <w:p>
      <w:pPr>
        <w:spacing w:after="0" w:line="73"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4"/>
          <w:szCs w:val="14"/>
          <w:color w:val="auto"/>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spacing w:after="0" w:line="6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4"/>
          <w:szCs w:val="14"/>
          <w:color w:val="auto"/>
        </w:rPr>
        <w:t>Capitala Business Lending, LLC (“CBL”), a wholly-owned subsidiary of the Company, was established on October 30, 2020, for the sole purpose of holding certain investments pledged as collateral under the Company's line of credit with KeyBank National Association (the “KeyBank Credit Facility”). See Note 8 for more details about the KeyBank Credit Facility. The financial statements of CBL are consolidated with those of Logan Ridge Finance Corporation.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Definitive Agreement</w:t>
      </w:r>
    </w:p>
    <w:p>
      <w:pPr>
        <w:spacing w:after="0" w:line="11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4"/>
          <w:szCs w:val="14"/>
          <w:color w:val="auto"/>
        </w:rPr>
        <w:t>On April 20, 2021, Capitala Investment Advisors, LLC (“Capitala”), the Company’s former investment adviser, entered into a definitive agreement (the “Definitive Agreement”) with the Investment Advisor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Advisor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w:t>
      </w:r>
    </w:p>
    <w:p>
      <w:pPr>
        <w:spacing w:after="0" w:line="25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4"/>
          <w:szCs w:val="14"/>
          <w:color w:val="auto"/>
        </w:rPr>
        <w:t>As part of the Transaction, the Investment Advisor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spacing w:after="0" w:line="54"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4"/>
          <w:szCs w:val="14"/>
          <w:color w:val="auto"/>
        </w:rPr>
        <w:t>On the date of the Closing, the Company changed its name from Capitala Finance Corp. to Logan Ridge Finance Corporation and on July 2, 2021, the Company’s common stock began trading on the NASDAQ Global Select Market under the symbol “LRFC.”</w:t>
      </w:r>
    </w:p>
    <w:p>
      <w:pPr>
        <w:spacing w:after="0" w:line="6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4"/>
          <w:szCs w:val="14"/>
          <w:color w:val="auto"/>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 Warshauer, were appointed as members of the Board (the “Directors”). The Directors were appointed by the Board to fill the vacancies created by the resignations 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p>
    <w:p>
      <w:pPr>
        <w:spacing w:after="0" w:line="7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 On November 9, 2021, Jason Roos was replaced as Secretary and Treasurer of the Company by Brandon Satoren, who was also appointed as Chief Accounting Officer. Mr. Roos continues to serve as Chief Financial Officer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Summary of Significant Accounting Policies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109" w:lineRule="exact"/>
        <w:rPr>
          <w:sz w:val="20"/>
          <w:szCs w:val="20"/>
          <w:color w:val="auto"/>
        </w:rPr>
      </w:pPr>
    </w:p>
    <w:p>
      <w:pPr>
        <w:jc w:val="both"/>
        <w:ind w:firstLine="749"/>
        <w:spacing w:after="0" w:line="305" w:lineRule="auto"/>
        <w:rPr>
          <w:sz w:val="20"/>
          <w:szCs w:val="20"/>
          <w:color w:val="auto"/>
        </w:rPr>
      </w:pPr>
      <w:r>
        <w:rPr>
          <w:rFonts w:ascii="Times New Roman" w:cs="Times New Roman" w:eastAsia="Times New Roman" w:hAnsi="Times New Roman"/>
          <w:sz w:val="14"/>
          <w:szCs w:val="14"/>
          <w:color w:val="auto"/>
        </w:rPr>
        <w:t xml:space="preserve">The Company is considered an investment company as defined in Accounting Standards Codification (“ASC”) Topic 946 — </w:t>
      </w:r>
      <w:r>
        <w:rPr>
          <w:rFonts w:ascii="Times New Roman" w:cs="Times New Roman" w:eastAsia="Times New Roman" w:hAnsi="Times New Roman"/>
          <w:sz w:val="14"/>
          <w:szCs w:val="14"/>
          <w:i w:val="1"/>
          <w:iCs w:val="1"/>
          <w:color w:val="auto"/>
        </w:rPr>
        <w:t>Financial Services — Investment Companies</w:t>
      </w:r>
      <w:r>
        <w:rPr>
          <w:rFonts w:ascii="Times New Roman" w:cs="Times New Roman" w:eastAsia="Times New Roman" w:hAnsi="Times New Roman"/>
          <w:sz w:val="14"/>
          <w:szCs w:val="14"/>
          <w:color w:val="auto"/>
        </w:rPr>
        <w:t xml:space="preserve"> (“ASC 946”)</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accompanying unaudited consolidated financial statements have been prepared on the accrual basis of accounting in conformity with U.S.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4"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right"/>
        <w:ind w:right="52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CBL, and the Taxable Subsidiaries.</w:t>
      </w:r>
    </w:p>
    <w:p>
      <w:pPr>
        <w:spacing w:after="0" w:line="6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The Company’s financial statements as of June 30, 2022 and December 31, 2021 and for the periods ended June 30, 2022 and 2021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69"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4"/>
          <w:szCs w:val="14"/>
          <w:color w:val="auto"/>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2021, filed with the U.S. Securities and Exchange Commission (“SEC”) on March 14, 2022.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 in the Preparation of Financial Statements</w:t>
      </w:r>
    </w:p>
    <w:p>
      <w:pPr>
        <w:spacing w:after="0" w:line="111"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4"/>
          <w:szCs w:val="14"/>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Consolidation</w:t>
      </w:r>
    </w:p>
    <w:p>
      <w:pPr>
        <w:spacing w:after="0" w:line="111"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4"/>
          <w:szCs w:val="14"/>
          <w:color w:val="auto"/>
        </w:rPr>
        <w:t>As provided under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Segments</w:t>
      </w:r>
    </w:p>
    <w:p>
      <w:pPr>
        <w:spacing w:after="0" w:line="10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14"/>
          <w:szCs w:val="14"/>
          <w:color w:val="auto"/>
        </w:rPr>
        <w:t xml:space="preserve">In accordance with ASC Topic 280 —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xml:space="preserve"> (“ASC 280”), the Company has determined that it has a single reporting segment and operating unit structure. While the Company invests in several industries and geographic locations, all investments share similar business and economic risks. As such, all investment activities have been aggregated into a single segment.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111" w:lineRule="exact"/>
        <w:rPr>
          <w:sz w:val="20"/>
          <w:szCs w:val="20"/>
          <w:color w:val="auto"/>
        </w:rPr>
      </w:pPr>
    </w:p>
    <w:p>
      <w:pPr>
        <w:jc w:val="both"/>
        <w:ind w:firstLine="749"/>
        <w:spacing w:after="0" w:line="302" w:lineRule="auto"/>
        <w:rPr>
          <w:sz w:val="20"/>
          <w:szCs w:val="20"/>
          <w:color w:val="auto"/>
        </w:rPr>
      </w:pPr>
      <w:r>
        <w:rPr>
          <w:rFonts w:ascii="Times New Roman" w:cs="Times New Roman" w:eastAsia="Times New Roman" w:hAnsi="Times New Roman"/>
          <w:sz w:val="14"/>
          <w:szCs w:val="14"/>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 Classification</w:t>
      </w:r>
    </w:p>
    <w:p>
      <w:pPr>
        <w:spacing w:after="0" w:line="11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4"/>
          <w:szCs w:val="14"/>
          <w:color w:val="auto"/>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5% or more of the voting securities of such company.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Valuation of Investments</w:t>
      </w:r>
    </w:p>
    <w:p>
      <w:pPr>
        <w:spacing w:after="0" w:line="109"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4"/>
          <w:szCs w:val="14"/>
          <w:color w:val="auto"/>
        </w:rPr>
        <w:t xml:space="preserve">The Company applies fair value accounting to all of its financial instruments in accordance with the 1940 Act and ASC Topic 820 — </w:t>
      </w:r>
      <w:r>
        <w:rPr>
          <w:rFonts w:ascii="Times New Roman" w:cs="Times New Roman" w:eastAsia="Times New Roman" w:hAnsi="Times New Roman"/>
          <w:sz w:val="14"/>
          <w:szCs w:val="14"/>
          <w:i w:val="1"/>
          <w:iCs w:val="1"/>
          <w:color w:val="auto"/>
        </w:rPr>
        <w:t>Fair Value Measurements and Disclosures</w:t>
      </w:r>
      <w:r>
        <w:rPr>
          <w:rFonts w:ascii="Times New Roman" w:cs="Times New Roman" w:eastAsia="Times New Roman" w:hAnsi="Times New Roman"/>
          <w:sz w:val="14"/>
          <w:szCs w:val="14"/>
          <w:color w:val="auto"/>
        </w:rPr>
        <w:t xml:space="preserve"> (“ASC 820”). ASC 820 defines fair value, establishes a framework used to measure fair value, and requires disclosures for fair value measurements. In accordance with ASC 820, the Company has categorized its financial instruments carried at fair value, based on the priority of the valuation technique, into a three-level fair value hierarchy, as discussed in Note 4.</w:t>
      </w:r>
    </w:p>
    <w:p>
      <w:pPr>
        <w:spacing w:after="0" w:line="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In determining fair value, the Board uses various valuation approaches, and engages a third-party valuation firm, which provides an independent valuation of certain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69" w:lineRule="exact"/>
        <w:rPr>
          <w:sz w:val="20"/>
          <w:szCs w:val="20"/>
          <w:color w:val="auto"/>
        </w:rPr>
      </w:pPr>
    </w:p>
    <w:p>
      <w:pPr>
        <w:jc w:val="both"/>
        <w:ind w:firstLine="749"/>
        <w:spacing w:after="0" w:line="302" w:lineRule="auto"/>
        <w:rPr>
          <w:sz w:val="20"/>
          <w:szCs w:val="20"/>
          <w:color w:val="auto"/>
        </w:rPr>
      </w:pPr>
      <w:r>
        <w:rPr>
          <w:rFonts w:ascii="Times New Roman" w:cs="Times New Roman" w:eastAsia="Times New Roman" w:hAnsi="Times New Roman"/>
          <w:sz w:val="14"/>
          <w:szCs w:val="14"/>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4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4"/>
          <w:szCs w:val="14"/>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9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periods of market dislocation. In periods of market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4"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right"/>
        <w:ind w:right="52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dislocation, the observability of prices and inputs may be reduced for many securities. This condition could cause a security to be reclassified to a lower level within the fair value hierarchy.</w:t>
      </w:r>
    </w:p>
    <w:p>
      <w:pPr>
        <w:spacing w:after="0" w:line="10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valuation methodologies summarized below are utilized by the Company in estimating fair value.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Enterprise Value Waterfall Approach</w:t>
      </w:r>
    </w:p>
    <w:p>
      <w:pPr>
        <w:spacing w:after="0" w:line="11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4"/>
          <w:szCs w:val="14"/>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Approach</w:t>
      </w:r>
    </w:p>
    <w:p>
      <w:pPr>
        <w:spacing w:after="0" w:line="11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4"/>
          <w:szCs w:val="14"/>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Asset Approach</w:t>
      </w:r>
    </w:p>
    <w:p>
      <w:pPr>
        <w:spacing w:after="0" w:line="1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asset approach values an investment based on the value of the underlying collateral securing the investment.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1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Company’s revenue recognition policies are as follows:</w:t>
      </w:r>
    </w:p>
    <w:p>
      <w:pPr>
        <w:spacing w:after="0" w:line="107"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Interest income and paid-in-kind interest income: </w:t>
      </w:r>
      <w:r>
        <w:rPr>
          <w:rFonts w:ascii="Times New Roman" w:cs="Times New Roman" w:eastAsia="Times New Roman" w:hAnsi="Times New Roman"/>
          <w:sz w:val="14"/>
          <w:szCs w:val="14"/>
          <w:color w:val="auto"/>
        </w:rPr>
        <w:t>Interest income is recorded on the accrual basis to the extent that such amounts are expected to be collected. The Company has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loans in the portfolio that contain a PIK interest provision.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spacing w:after="0" w:line="23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Non-accrual investments: </w:t>
      </w:r>
      <w:r>
        <w:rPr>
          <w:rFonts w:ascii="Times New Roman" w:cs="Times New Roman" w:eastAsia="Times New Roman" w:hAnsi="Times New Roman"/>
          <w:sz w:val="14"/>
          <w:szCs w:val="14"/>
          <w:color w:val="auto"/>
        </w:rPr>
        <w:t>Management reviews all loans that become 90 days or more past due, or when there is reasonable doubt that principal or interest will be collected,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Non-accrual loans are returned to accrual status when the borrower’s financial condition improves such that management believes current interest and principal payments are expected to be collected.</w:t>
      </w:r>
    </w:p>
    <w:p>
      <w:pPr>
        <w:spacing w:after="0" w:line="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 xml:space="preserve">Gains and losses on investment sales: </w:t>
      </w:r>
      <w:r>
        <w:rPr>
          <w:rFonts w:ascii="Times New Roman" w:cs="Times New Roman" w:eastAsia="Times New Roman" w:hAnsi="Times New Roman"/>
          <w:sz w:val="14"/>
          <w:szCs w:val="14"/>
          <w:color w:val="auto"/>
        </w:rPr>
        <w:t>Realized gains and losses on investments are recognized using the specific identification method.</w:t>
      </w:r>
    </w:p>
    <w:p>
      <w:pPr>
        <w:spacing w:after="0" w:line="109"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Dividend income and paid-in-kind dividends: </w:t>
      </w:r>
      <w:r>
        <w:rPr>
          <w:rFonts w:ascii="Times New Roman" w:cs="Times New Roman" w:eastAsia="Times New Roman" w:hAnsi="Times New Roman"/>
          <w:sz w:val="14"/>
          <w:szCs w:val="14"/>
          <w:color w:val="auto"/>
        </w:rPr>
        <w:t>Dividend income is recognized on the date dividends are declared. The Company holds preferred equity investments in the portfolio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p>
    <w:p>
      <w:pPr>
        <w:spacing w:after="0" w:line="70" w:lineRule="exact"/>
        <w:rPr>
          <w:sz w:val="20"/>
          <w:szCs w:val="20"/>
          <w:color w:val="auto"/>
        </w:rPr>
      </w:pPr>
    </w:p>
    <w:p>
      <w:pPr>
        <w:jc w:val="both"/>
        <w:ind w:firstLine="749"/>
        <w:spacing w:after="0" w:line="285" w:lineRule="auto"/>
        <w:rPr>
          <w:sz w:val="20"/>
          <w:szCs w:val="20"/>
          <w:color w:val="auto"/>
        </w:rPr>
      </w:pPr>
      <w:r>
        <w:rPr>
          <w:rFonts w:ascii="Times New Roman" w:cs="Times New Roman" w:eastAsia="Times New Roman" w:hAnsi="Times New Roman"/>
          <w:sz w:val="14"/>
          <w:szCs w:val="14"/>
          <w:i w:val="1"/>
          <w:iCs w:val="1"/>
          <w:color w:val="auto"/>
        </w:rPr>
        <w:t xml:space="preserve">Original issue discount: </w:t>
      </w:r>
      <w:r>
        <w:rPr>
          <w:rFonts w:ascii="Times New Roman" w:cs="Times New Roman" w:eastAsia="Times New Roman" w:hAnsi="Times New Roman"/>
          <w:sz w:val="14"/>
          <w:szCs w:val="14"/>
          <w:color w:val="auto"/>
        </w:rPr>
        <w:t>Discounts received to par on loans purchased are capitalized and accreted into income over the life of the loan. Any remaining discount is accreted into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income upon prepayment of the loan.</w:t>
      </w:r>
    </w:p>
    <w:p>
      <w:pPr>
        <w:spacing w:after="0" w:line="63" w:lineRule="exact"/>
        <w:rPr>
          <w:sz w:val="20"/>
          <w:szCs w:val="20"/>
          <w:color w:val="auto"/>
        </w:rPr>
      </w:pPr>
    </w:p>
    <w:p>
      <w:pPr>
        <w:jc w:val="both"/>
        <w:ind w:firstLine="749"/>
        <w:spacing w:after="0" w:line="285" w:lineRule="auto"/>
        <w:rPr>
          <w:sz w:val="20"/>
          <w:szCs w:val="20"/>
          <w:color w:val="auto"/>
        </w:rPr>
      </w:pPr>
      <w:r>
        <w:rPr>
          <w:rFonts w:ascii="Times New Roman" w:cs="Times New Roman" w:eastAsia="Times New Roman" w:hAnsi="Times New Roman"/>
          <w:sz w:val="14"/>
          <w:szCs w:val="14"/>
          <w:i w:val="1"/>
          <w:iCs w:val="1"/>
          <w:color w:val="auto"/>
        </w:rPr>
        <w:t xml:space="preserve">Other income: </w:t>
      </w:r>
      <w:r>
        <w:rPr>
          <w:rFonts w:ascii="Times New Roman" w:cs="Times New Roman" w:eastAsia="Times New Roman" w:hAnsi="Times New Roman"/>
          <w:sz w:val="14"/>
          <w:szCs w:val="14"/>
          <w:color w:val="auto"/>
        </w:rPr>
        <w:t>Origination fees (to the extent services are performed to earn such income), amendment fees, consent fees, and other fees associated with investments in portfolio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companies are recognized as income when they are earned. Prepayment penalties received by the Company for debt instruments repaid prior to maturity date are recorded as income upon receipt.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and Administrative Expenses</w:t>
      </w:r>
    </w:p>
    <w:p>
      <w:pPr>
        <w:spacing w:after="0" w:line="111"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4"/>
          <w:szCs w:val="14"/>
          <w:color w:val="auto"/>
        </w:rPr>
        <w:t>General and administrative expenses are accrued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director fees, and director and officer insurance are generally paid directly by the Company.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4"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right"/>
        <w:ind w:right="52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Deferred Financing Fees</w:t>
      </w:r>
    </w:p>
    <w:p>
      <w:pPr>
        <w:spacing w:after="0" w:line="11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4"/>
          <w:szCs w:val="14"/>
          <w:color w:val="auto"/>
        </w:rPr>
        <w:t>Costs incurred to issue the Company’s debt obligations are capitalized and are amortized over the term of the debt agreements under the effective interest method. Deferred financing fees are presented as a direct deduction from the carrying amount of the corresponding debt liability in the Statement of Assets and Liabilities.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Earnings per share</w:t>
      </w:r>
    </w:p>
    <w:p>
      <w:pPr>
        <w:spacing w:after="0" w:line="1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4"/>
          <w:szCs w:val="14"/>
          <w:color w:val="auto"/>
        </w:rPr>
        <w:t>The Company’s earnings per share (“EPS”) amounts have been computed based on the weighted-average number of shares of the Company’s common stock outstanding for the period. Basic EPS is computed by dividing net increase (decrease) in net assets resulting from operations by the weighted average number of shares of the Company’s common stock outstanding during the period of computation. Diluted EPS is computed by dividing net increase (decrease) in net assets resulting from operations, adjusted for the change in net assets resulting from the exercise of the dilutive shares, by the weighted average number of shares of the Company’s common stock assuming all potentially dilutive shares had been issued. Diluted EPS reflects the potential dilution, using the as-if-converted method for convertible debt, which could occur if all potentially dilutive securities were exercised.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p>
      <w:pPr>
        <w:spacing w:after="0" w:line="11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4"/>
          <w:szCs w:val="14"/>
          <w:color w:val="auto"/>
        </w:rPr>
        <w:t>As of June 30, 2022, the Company had outstanding unfunded commitments related to debt investments in existing portfolio companies of $4.5 million to Accordion Partners LLC, $0.8 million to Bradshaw International, Inc., $3.1 million to Critical Nurse Staffing, LLC, $0.9 million to Epic Staffing Group, $0.7 million to GreenPark Infrastructure, LLC, $0.7 million to Keg Logistics LLC, $2.5 million to Marble Point Credit Management LLC, $1.4 million to Premiere Imaging, LLC, and $1.5 million to Wealth Enhancement Group, LLC. As of December 31, 2021, the Company had outstanding unfunded commitments related to debt investments in existing portfolio companies of $9.0 million to Accordion Partners LLC, $0.7 million to Bradshaw International, Inc., $3.1 million to Critical Nursing Staffing, LLC, $3.5 million to J5 Infrastructure Partners, LLC, $0.9 million to Keg Logistics LLC, $2.5 million to Marble Point Credit Management LLC, $1.9 million to Premiere Imaging, LLC, and $3.5 million to Wealth Enhancement Group, LLC.</w:t>
      </w:r>
    </w:p>
    <w:p>
      <w:pPr>
        <w:spacing w:after="0" w:line="8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4"/>
          <w:szCs w:val="14"/>
          <w:color w:val="auto"/>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spacing w:after="0" w:line="5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4"/>
          <w:szCs w:val="14"/>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The nature of litigation can make it difficult to predict the impact a particular lawsuit will have on the Company. There are many reasons that the Company cannot make these assessments, including, among others, one or more of the following: the proceeding is in its early stages; the damages sought are unspecified, unsupportable, unexplained or uncertain; discovery has not started or is not complete; there are significant facts in dispute; and there are other parties who may share in any ultimate liability.</w:t>
      </w:r>
    </w:p>
    <w:p>
      <w:pPr>
        <w:spacing w:after="0" w:line="73"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4"/>
          <w:szCs w:val="14"/>
          <w:color w:val="auto"/>
        </w:rPr>
        <w:t>In management’s opinion, no direct losses with respect to litigation contingencies were probable as of June 30, 2022 and December 31, 2021.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111" w:lineRule="exact"/>
        <w:rPr>
          <w:sz w:val="20"/>
          <w:szCs w:val="20"/>
          <w:color w:val="auto"/>
        </w:rPr>
      </w:pPr>
    </w:p>
    <w:p>
      <w:pPr>
        <w:jc w:val="both"/>
        <w:ind w:firstLine="749"/>
        <w:spacing w:after="0" w:line="302" w:lineRule="auto"/>
        <w:rPr>
          <w:sz w:val="20"/>
          <w:szCs w:val="20"/>
          <w:color w:val="auto"/>
        </w:rPr>
      </w:pPr>
      <w:r>
        <w:rPr>
          <w:rFonts w:ascii="Times New Roman" w:cs="Times New Roman" w:eastAsia="Times New Roman" w:hAnsi="Times New Roman"/>
          <w:sz w:val="14"/>
          <w:szCs w:val="14"/>
          <w:color w:val="auto"/>
        </w:rPr>
        <w:t>The Company has elected to be treated for U.S. federal income tax purposes and intends to comply with the requirements to qualify annually as a RIC under subchapter M of the Code and, among other things, intends to make the requisite distributions to its stockholders which will relieve the Company from U.S. federal income taxes.</w:t>
      </w:r>
    </w:p>
    <w:p>
      <w:pPr>
        <w:spacing w:after="0" w:line="4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8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4"/>
          <w:szCs w:val="14"/>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spacing w:after="0" w:line="8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The tax years ended December 31, 2020, 2019, 2018 and 2017 remain subject to examination by U.S. federal, state, and local tax authorities. No interest expense or penalties have been assessed for the three and six months ended June 30, 2022 and 2021. If the Company was required to recognize interest and penalties, if any, related to unrecognized tax benefits this would be recognized as income tax expense in the consolidated statements of operations.</w:t>
      </w:r>
    </w:p>
    <w:p>
      <w:pPr>
        <w:spacing w:after="0" w:line="69"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4"/>
          <w:szCs w:val="14"/>
          <w:color w:val="auto"/>
        </w:rPr>
        <w:t>For U.S. federal income tax purposes, as of June 30, 2022, the aggregate net unrealized depreciation for all securities was $16.3 million. As of June 30, 2022, gross unrealized appreciation was $25.3 million and gross unrealized depreciation was $41.6 million. The aggregate cost of securities for U.S. federal income tax purposes was $192.3 million as of June 30, 2022. For U.S. federal income tax purposes, as of December 31, 2021, the aggregate net unrealized appreciation for all securities was $3.6 million. As of December 31, 2021, gross unrealized appreciation was $38.6 million and gross unrealized depreciation was $35.0 million. The aggregate cost of securities for U.S. federal income tax purposes was $194.6 million as of December 31, 2021.</w:t>
      </w:r>
    </w:p>
    <w:p>
      <w:pPr>
        <w:spacing w:after="0" w:line="25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4"/>
          <w:szCs w:val="14"/>
          <w:color w:val="auto"/>
        </w:rPr>
        <w:t>The Company’s Taxable Subsidiaries record deferred tax assets or liabilities related to temporary book versus tax differences on the income or loss generated by the underlying equity investments held by the Taxable Subsidiaries. As of both June 30, 2022 and December 31, 2021, the Company recorded a net deferred tax asset of zero. For both the three and six months ended June 30, 2022 and 2021, the Company recorded a tax provision of zero. As of June 30, 2022 and December 31, 2021, the valuation allowance on the Company’s deferred tax asset was $2.9 million and $2.5 million, respectively. During both the three and six months ended June 30, 2022, the Company recognized an increase in the valuation allowance of $0.4 million, respectively. During the three and six months ended June 30, 2021, the Company recognized a decrease in the valuation allowance of $(0.4) million and $(1.4) million, respectively.</w:t>
      </w:r>
    </w:p>
    <w:p>
      <w:pPr>
        <w:spacing w:after="0" w:line="7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4"/>
          <w:szCs w:val="14"/>
          <w:color w:val="auto"/>
        </w:rPr>
        <w:t>In accordance with certain applicable U.S. Treasury regulations and guidance issued by the Internal Revenue Service, a RIC may treat a distribution of its own stock as fulfilling its RIC distribution requirements if each stockholder may elect to receive its entire distribution in either cash or stock of the RIC, subject to a limitation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4"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right"/>
        <w:ind w:right="52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on the aggregate amount of cash to be distributed to all stockholders, which limitation must be at least 20.0%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w:t>
      </w:r>
    </w:p>
    <w:p>
      <w:pPr>
        <w:spacing w:after="0" w:line="71"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4"/>
          <w:szCs w:val="14"/>
          <w:color w:val="auto"/>
        </w:rPr>
        <w:t xml:space="preserve">ASC Topic 740 —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June 30, 2022 and December 31, 2021, there were no uncertain tax positions.</w:t>
      </w:r>
    </w:p>
    <w:p>
      <w:pPr>
        <w:spacing w:after="0" w:line="7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111" w:lineRule="exact"/>
        <w:rPr>
          <w:sz w:val="20"/>
          <w:szCs w:val="20"/>
          <w:color w:val="auto"/>
        </w:rPr>
      </w:pPr>
    </w:p>
    <w:p>
      <w:pPr>
        <w:jc w:val="both"/>
        <w:ind w:firstLine="749"/>
        <w:spacing w:after="0" w:line="302" w:lineRule="auto"/>
        <w:rPr>
          <w:sz w:val="20"/>
          <w:szCs w:val="20"/>
          <w:color w:val="auto"/>
        </w:rPr>
      </w:pPr>
      <w:r>
        <w:rPr>
          <w:rFonts w:ascii="Times New Roman" w:cs="Times New Roman" w:eastAsia="Times New Roman" w:hAnsi="Times New Roman"/>
          <w:sz w:val="14"/>
          <w:szCs w:val="14"/>
          <w:color w:val="auto"/>
        </w:rPr>
        <w:t>Distributions to the Company’s common stockholders are recorded on the record date. The amount to be paid out as a dividend is determined by the Board. Net capital gains, if any, are generally distributed at least annually, although we may decide to retain such capital gains for reinvestment.</w:t>
      </w:r>
    </w:p>
    <w:p>
      <w:pPr>
        <w:spacing w:after="0" w:line="40"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4"/>
          <w:szCs w:val="14"/>
          <w:color w:val="auto"/>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Investment Risk, Concentration of Credit Risk and Liquidity Risk</w:t>
      </w:r>
    </w:p>
    <w:p>
      <w:pPr>
        <w:spacing w:after="0" w:line="11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6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The value of the Company’s investments may be detrimentally affected to the extent, among other things, that a borrower defaults on its obligations, there is insufficient collateral and/or there are extensive legal and other costs incurred in collecting on a defaulted loan. The value of the Company’s investments may also be detrimentally affected to the extent observable primary or secondary market yields for similar instruments issued by comparable companies increase materially or risk premiums in the market between smaller companies, such as our borrowers, and those for which market yields are observable increase materially.</w:t>
      </w:r>
    </w:p>
    <w:p>
      <w:pPr>
        <w:spacing w:after="0" w:line="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Investment Advisor may attempt to minimize this risk by maintaining low debt-to-liquidation values with each debt investment and the collateral underlying the debt investment.</w:t>
      </w:r>
    </w:p>
    <w:p>
      <w:pPr>
        <w:spacing w:after="0" w:line="12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Recent Accounting Pronouncements</w:t>
      </w:r>
    </w:p>
    <w:p>
      <w:pPr>
        <w:spacing w:after="0" w:line="1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4"/>
          <w:szCs w:val="14"/>
          <w:color w:val="auto"/>
        </w:rPr>
        <w:t>In June 2022, the Financial Accounting Standards Board issued Accounting Standards Update 2022-03, Fair Value Measurement (Topic 820) – Fair Value Measurement of Equity Securities Subject to Contractual Sale Restrictions (ASU 2022-03). The accounting standard update clarifies the guidance in Topic 820 when measuring the fair value of an equity security subject to contractual restrictions that prohibit the sale of an equity security and introduces new disclosure requirements for equity securities subject to contractual sale restrictions and measured at fair value in accordance with Topic 820. The amendments are effective for fiscal years beginning after December 15, 2023, and interim periods within those fiscal years. The Company is currently evaluating the impact that adoption of this new accounting standard will have on its consolidated financial statements, but the impact of the adoption is not expected to be material.</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Note 4. Investments and Fair Value Measurements</w:t>
      </w:r>
    </w:p>
    <w:p>
      <w:pPr>
        <w:spacing w:after="0" w:line="11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 As of June 30, 2022, our portfolio consisted of investments in 44 portfolio companies with a fair value of approximately $175.9 million.</w:t>
      </w:r>
    </w:p>
    <w:p>
      <w:pPr>
        <w:spacing w:after="0" w:line="6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4"/>
          <w:szCs w:val="14"/>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June 30, 2022, 2.7% of the fair value of our first lien loans consisted of last-out loans. As of December 31, 2021, 8.5% of the fair value of our first lien loans consisted of last-out loans. In some cases, first lien loans may be subordinated, solely with respect to the payment of cash interest, to an asset based revolving credit facility.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4" w:lineRule="exact"/>
        <w:rPr>
          <w:sz w:val="20"/>
          <w:szCs w:val="20"/>
          <w:color w:val="auto"/>
        </w:rPr>
      </w:pPr>
    </w:p>
    <w:p>
      <w:pPr>
        <w:jc w:val="right"/>
        <w:ind w:right="524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right"/>
        <w:ind w:righ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09" w:lineRule="exact"/>
        <w:rPr>
          <w:sz w:val="20"/>
          <w:szCs w:val="20"/>
          <w:color w:val="auto"/>
        </w:rPr>
      </w:pPr>
    </w:p>
    <w:p>
      <w:pPr>
        <w:jc w:val="both"/>
        <w:ind w:right="40" w:firstLine="749"/>
        <w:spacing w:after="0" w:line="282" w:lineRule="auto"/>
        <w:rPr>
          <w:sz w:val="20"/>
          <w:szCs w:val="20"/>
          <w:color w:val="auto"/>
        </w:rPr>
      </w:pPr>
      <w:r>
        <w:rPr>
          <w:rFonts w:ascii="Times New Roman" w:cs="Times New Roman" w:eastAsia="Times New Roman" w:hAnsi="Times New Roman"/>
          <w:sz w:val="14"/>
          <w:szCs w:val="14"/>
          <w:color w:val="auto"/>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spacing w:after="0" w:line="54"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14"/>
          <w:szCs w:val="14"/>
          <w:color w:val="auto"/>
        </w:rPr>
        <w:t>During the three months ended June 30, 2022, we made approximately $30.7 million of investments and had approximately $58.3 million in repayments and sales, resulting in net repayments and sales of approximately $27.6 million for the period. During the three months ended June 30, 2021, the Company made $10.0 million of investments and had approximately $33.5 million in repayments and sales, resulting in net repayments and sales of approximately $23.5 million for the period.</w:t>
      </w:r>
    </w:p>
    <w:p>
      <w:pPr>
        <w:spacing w:after="0" w:line="62"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4"/>
          <w:szCs w:val="14"/>
          <w:color w:val="auto"/>
        </w:rPr>
        <w:t>During the six months ended June 30, 2022, we made approximately $47.1 million of investments and had approximately $66.7 million in repayments and sales, resulting in net repayments and sales of approximately $19.6 million for the period. During the six months ended June 30, 2021, the Company made $10.0 million of investments and had approximately $63.4 million in repayments and sales, resulting in net repayments and sales of approximately $53.4 million for the period.</w:t>
      </w:r>
    </w:p>
    <w:p>
      <w:pPr>
        <w:spacing w:after="0" w:line="82"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4"/>
          <w:szCs w:val="14"/>
          <w:color w:val="auto"/>
        </w:rPr>
        <w:t>As of June 30, 2022, the Company’s Board approved the fair value of the Company’s investment portfolio of approximately $175.9 million in good faith in accordance with the Company’s valuation procedures. The Company’s Board approved the fair value of the Company’s investment portfolio as of June 30, 2022 with input from a third-party valuation firm and the Investment Advisor based on information known or knowable as of the valuation date, including trailing and forward looking data.</w:t>
      </w:r>
    </w:p>
    <w:p>
      <w:pPr>
        <w:spacing w:after="0" w:line="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composition of our investments as of June 30, 2022, at amortized cost and fair value was as follows (dollars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60"/>
        </w:trPr>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328"/>
              <w:spacing w:after="0" w:line="160"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320" w:type="dxa"/>
            <w:vAlign w:val="bottom"/>
          </w:tcPr>
          <w:p>
            <w:pPr>
              <w:spacing w:after="0"/>
              <w:rPr>
                <w:sz w:val="13"/>
                <w:szCs w:val="13"/>
                <w:color w:val="auto"/>
              </w:rPr>
            </w:pPr>
          </w:p>
        </w:tc>
        <w:tc>
          <w:tcPr>
            <w:tcW w:w="1320" w:type="dxa"/>
            <w:vAlign w:val="bottom"/>
          </w:tcPr>
          <w:p>
            <w:pPr>
              <w:jc w:val="center"/>
              <w:ind w:left="268"/>
              <w:spacing w:after="0" w:line="160"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28"/>
              <w:spacing w:after="0" w:line="160"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280" w:type="dxa"/>
            <w:vAlign w:val="bottom"/>
          </w:tcPr>
          <w:p>
            <w:pPr>
              <w:spacing w:after="0"/>
              <w:rPr>
                <w:sz w:val="13"/>
                <w:szCs w:val="13"/>
                <w:color w:val="auto"/>
              </w:rPr>
            </w:pPr>
          </w:p>
        </w:tc>
        <w:tc>
          <w:tcPr>
            <w:tcW w:w="178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Pr>
          <w:p>
            <w:pPr>
              <w:spacing w:after="0"/>
              <w:rPr>
                <w:sz w:val="16"/>
                <w:szCs w:val="16"/>
                <w:color w:val="auto"/>
              </w:rPr>
            </w:pPr>
          </w:p>
        </w:tc>
        <w:tc>
          <w:tcPr>
            <w:tcW w:w="13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6"/>
                <w:szCs w:val="16"/>
                <w:color w:val="auto"/>
              </w:rPr>
            </w:pP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0" w:type="dxa"/>
            <w:vAlign w:val="bottom"/>
          </w:tcPr>
          <w:p>
            <w:pPr>
              <w:spacing w:after="0"/>
              <w:rPr>
                <w:sz w:val="1"/>
                <w:szCs w:val="1"/>
                <w:color w:val="auto"/>
              </w:rPr>
            </w:pPr>
          </w:p>
        </w:tc>
      </w:tr>
      <w:tr>
        <w:trPr>
          <w:trHeight w:val="169"/>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 Lien Debt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104,341</w:t>
            </w:r>
          </w:p>
        </w:tc>
        <w:tc>
          <w:tcPr>
            <w:tcW w:w="320" w:type="dxa"/>
            <w:vAlign w:val="bottom"/>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2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97,460</w:t>
            </w:r>
          </w:p>
        </w:tc>
        <w:tc>
          <w:tcPr>
            <w:tcW w:w="280" w:type="dxa"/>
            <w:vAlign w:val="bottom"/>
            <w:shd w:val="clear" w:color="auto" w:fill="CFF0FC"/>
          </w:tcPr>
          <w:p>
            <w:pPr>
              <w:spacing w:after="0"/>
              <w:rPr>
                <w:sz w:val="14"/>
                <w:szCs w:val="14"/>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8,888</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4.7 %</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8,249</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26,433</w:t>
            </w:r>
          </w:p>
        </w:tc>
        <w:tc>
          <w:tcPr>
            <w:tcW w:w="3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14.1 %</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26,250</w:t>
            </w:r>
          </w:p>
        </w:tc>
        <w:tc>
          <w:tcPr>
            <w:tcW w:w="2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Collateralized Loan Obligations</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7,160</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3.8 %</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6,296</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40,703</w:t>
            </w:r>
          </w:p>
        </w:tc>
        <w:tc>
          <w:tcPr>
            <w:tcW w:w="3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21.7 %</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37,598</w:t>
            </w:r>
          </w:p>
        </w:tc>
        <w:tc>
          <w:tcPr>
            <w:tcW w:w="2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187,525</w:t>
            </w: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w w:val="98"/>
              </w:rPr>
              <w:t>100.0 %</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175,853</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-144780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-144780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-144780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composition of our investments as of December 31, 2021, at amortized cost and fair value was as follows (dollars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60"/>
        </w:trPr>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328"/>
              <w:spacing w:after="0" w:line="160"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320" w:type="dxa"/>
            <w:vAlign w:val="bottom"/>
          </w:tcPr>
          <w:p>
            <w:pPr>
              <w:spacing w:after="0"/>
              <w:rPr>
                <w:sz w:val="13"/>
                <w:szCs w:val="13"/>
                <w:color w:val="auto"/>
              </w:rPr>
            </w:pPr>
          </w:p>
        </w:tc>
        <w:tc>
          <w:tcPr>
            <w:tcW w:w="1320" w:type="dxa"/>
            <w:vAlign w:val="bottom"/>
          </w:tcPr>
          <w:p>
            <w:pPr>
              <w:jc w:val="center"/>
              <w:ind w:left="268"/>
              <w:spacing w:after="0" w:line="160"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28"/>
              <w:spacing w:after="0" w:line="160"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280" w:type="dxa"/>
            <w:vAlign w:val="bottom"/>
          </w:tcPr>
          <w:p>
            <w:pPr>
              <w:spacing w:after="0"/>
              <w:rPr>
                <w:sz w:val="13"/>
                <w:szCs w:val="13"/>
                <w:color w:val="auto"/>
              </w:rPr>
            </w:pPr>
          </w:p>
        </w:tc>
        <w:tc>
          <w:tcPr>
            <w:tcW w:w="178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89"/>
        </w:trPr>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Pr>
          <w:p>
            <w:pPr>
              <w:spacing w:after="0"/>
              <w:rPr>
                <w:sz w:val="16"/>
                <w:szCs w:val="16"/>
                <w:color w:val="auto"/>
              </w:rPr>
            </w:pPr>
          </w:p>
        </w:tc>
        <w:tc>
          <w:tcPr>
            <w:tcW w:w="13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6"/>
                <w:szCs w:val="16"/>
                <w:color w:val="auto"/>
              </w:rPr>
            </w:pP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Portfolio</w:t>
            </w:r>
          </w:p>
        </w:tc>
      </w:tr>
      <w:tr>
        <w:trPr>
          <w:trHeight w:val="169"/>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 Lien Debt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103,667</w:t>
            </w:r>
          </w:p>
        </w:tc>
        <w:tc>
          <w:tcPr>
            <w:tcW w:w="320" w:type="dxa"/>
            <w:vAlign w:val="bottom"/>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2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98,251</w:t>
            </w:r>
          </w:p>
        </w:tc>
        <w:tc>
          <w:tcPr>
            <w:tcW w:w="280" w:type="dxa"/>
            <w:vAlign w:val="bottom"/>
            <w:shd w:val="clear" w:color="auto" w:fill="CFF0FC"/>
          </w:tcPr>
          <w:p>
            <w:pPr>
              <w:spacing w:after="0"/>
              <w:rPr>
                <w:sz w:val="14"/>
                <w:szCs w:val="14"/>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4"/>
                <w:szCs w:val="14"/>
                <w:color w:val="auto"/>
              </w:rPr>
            </w:pPr>
          </w:p>
        </w:tc>
      </w:tr>
      <w:tr>
        <w:trPr>
          <w:trHeight w:val="17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30,048</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15.8 %</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30,190</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20" w:type="dxa"/>
            <w:vAlign w:val="bottom"/>
          </w:tcPr>
          <w:p>
            <w:pPr>
              <w:spacing w:after="0"/>
              <w:rPr>
                <w:sz w:val="15"/>
                <w:szCs w:val="15"/>
                <w:color w:val="auto"/>
              </w:rPr>
            </w:pPr>
          </w:p>
        </w:tc>
      </w:tr>
      <w:tr>
        <w:trPr>
          <w:trHeight w:val="175"/>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5,050</w:t>
            </w:r>
          </w:p>
        </w:tc>
        <w:tc>
          <w:tcPr>
            <w:tcW w:w="3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2.6 %</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5,050</w:t>
            </w:r>
          </w:p>
        </w:tc>
        <w:tc>
          <w:tcPr>
            <w:tcW w:w="2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20" w:type="dxa"/>
            <w:vAlign w:val="bottom"/>
          </w:tcPr>
          <w:p>
            <w:pPr>
              <w:spacing w:after="0"/>
              <w:rPr>
                <w:sz w:val="15"/>
                <w:szCs w:val="15"/>
                <w:color w:val="auto"/>
              </w:rPr>
            </w:pPr>
          </w:p>
        </w:tc>
      </w:tr>
      <w:tr>
        <w:trPr>
          <w:trHeight w:val="17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51,717</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27.2 %</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64,698</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32.6 %</w:t>
            </w:r>
          </w:p>
        </w:tc>
        <w:tc>
          <w:tcPr>
            <w:tcW w:w="20" w:type="dxa"/>
            <w:vAlign w:val="bottom"/>
          </w:tcPr>
          <w:p>
            <w:pPr>
              <w:spacing w:after="0"/>
              <w:rPr>
                <w:sz w:val="15"/>
                <w:szCs w:val="15"/>
                <w:color w:val="auto"/>
              </w:rPr>
            </w:pPr>
          </w:p>
        </w:tc>
      </w:tr>
      <w:tr>
        <w:trPr>
          <w:trHeight w:val="209"/>
        </w:trPr>
        <w:tc>
          <w:tcPr>
            <w:tcW w:w="3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190,482</w:t>
            </w:r>
          </w:p>
        </w:tc>
        <w:tc>
          <w:tcPr>
            <w:tcW w:w="3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8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198,189</w:t>
            </w:r>
          </w:p>
        </w:tc>
        <w:tc>
          <w:tcPr>
            <w:tcW w:w="28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-24765</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-7620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jc w:val="both"/>
        <w:ind w:right="40" w:firstLine="749"/>
        <w:spacing w:after="0" w:line="261" w:lineRule="auto"/>
        <w:rPr>
          <w:sz w:val="20"/>
          <w:szCs w:val="20"/>
          <w:color w:val="auto"/>
        </w:rPr>
      </w:pPr>
      <w:r>
        <w:rPr>
          <w:rFonts w:ascii="Times New Roman" w:cs="Times New Roman" w:eastAsia="Times New Roman" w:hAnsi="Times New Roman"/>
          <w:sz w:val="14"/>
          <w:szCs w:val="14"/>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82"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14"/>
          <w:szCs w:val="14"/>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25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14"/>
          <w:szCs w:val="14"/>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247" w:lineRule="exact"/>
        <w:rPr>
          <w:sz w:val="20"/>
          <w:szCs w:val="20"/>
          <w:color w:val="auto"/>
        </w:rPr>
      </w:pPr>
    </w:p>
    <w:p>
      <w:pPr>
        <w:ind w:left="880" w:hanging="427"/>
        <w:spacing w:after="0"/>
        <w:tabs>
          <w:tab w:leader="none" w:pos="8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 Valuations based on quoted prices in active markets for identical assets or liabilities that the Company has the ability to access.</w:t>
      </w:r>
    </w:p>
    <w:p>
      <w:pPr>
        <w:spacing w:after="0" w:line="230" w:lineRule="exact"/>
        <w:rPr>
          <w:rFonts w:ascii="Times New Roman" w:cs="Times New Roman" w:eastAsia="Times New Roman" w:hAnsi="Times New Roman"/>
          <w:sz w:val="14"/>
          <w:szCs w:val="14"/>
          <w:color w:val="auto"/>
        </w:rPr>
      </w:pPr>
    </w:p>
    <w:p>
      <w:pPr>
        <w:ind w:left="880" w:hanging="427"/>
        <w:spacing w:after="0"/>
        <w:tabs>
          <w:tab w:leader="none" w:pos="8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 Valuations based on inputs other than quoted prices in active markets, which are either directly or indirectly observable.</w:t>
      </w:r>
    </w:p>
    <w:p>
      <w:pPr>
        <w:spacing w:after="0" w:line="217" w:lineRule="exact"/>
        <w:rPr>
          <w:rFonts w:ascii="Times New Roman" w:cs="Times New Roman" w:eastAsia="Times New Roman" w:hAnsi="Times New Roman"/>
          <w:sz w:val="14"/>
          <w:szCs w:val="14"/>
          <w:color w:val="auto"/>
        </w:rPr>
      </w:pPr>
    </w:p>
    <w:p>
      <w:pPr>
        <w:ind w:left="880" w:hanging="427"/>
        <w:spacing w:after="0"/>
        <w:tabs>
          <w:tab w:leader="none" w:pos="8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 Valuations based on inputs that are unobservable and significant to the overall fair value measurement.</w:t>
      </w:r>
    </w:p>
    <w:p>
      <w:pPr>
        <w:spacing w:after="0" w:line="10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4"/>
          <w:szCs w:val="14"/>
          <w:color w:val="auto"/>
        </w:rPr>
        <w:t>The Company employs the valuation policy approved by the Board that is consistent with ASC 820 (see Note 2). Consistent with the Company’s valuation policy, the Company evaluates the source of inputs, including any markets in which its investments are trading, in determining fair value.</w:t>
      </w:r>
    </w:p>
    <w:p>
      <w:pPr>
        <w:spacing w:after="0" w:line="67"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4"/>
          <w:szCs w:val="14"/>
          <w:color w:val="auto"/>
        </w:rPr>
        <w:t>In estimating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17"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4"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right"/>
        <w:ind w:right="52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following table presents the fair value measurements of investments, by major class, as of June 30, 2022, according to the fair value hierarchy (dollars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660" w:type="dxa"/>
            <w:vAlign w:val="bottom"/>
          </w:tcPr>
          <w:p>
            <w:pPr>
              <w:spacing w:after="0"/>
              <w:rPr>
                <w:sz w:val="14"/>
                <w:szCs w:val="14"/>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 Lien Debt</w:t>
            </w:r>
          </w:p>
        </w:tc>
        <w:tc>
          <w:tcPr>
            <w:tcW w:w="940" w:type="dxa"/>
            <w:vAlign w:val="bottom"/>
            <w:shd w:val="clear" w:color="auto" w:fill="CFF0FC"/>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97,460</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97,460</w:t>
            </w:r>
          </w:p>
        </w:tc>
        <w:tc>
          <w:tcPr>
            <w:tcW w:w="100" w:type="dxa"/>
            <w:vAlign w:val="bottom"/>
            <w:shd w:val="clear" w:color="auto" w:fill="CFF0FC"/>
          </w:tcPr>
          <w:p>
            <w:pPr>
              <w:spacing w:after="0"/>
              <w:rPr>
                <w:sz w:val="14"/>
                <w:szCs w:val="14"/>
                <w:color w:val="auto"/>
              </w:rPr>
            </w:pPr>
          </w:p>
        </w:tc>
      </w:tr>
      <w:tr>
        <w:trPr>
          <w:trHeight w:val="176"/>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94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8,249</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8,249</w:t>
            </w:r>
          </w:p>
        </w:tc>
        <w:tc>
          <w:tcPr>
            <w:tcW w:w="100" w:type="dxa"/>
            <w:vAlign w:val="bottom"/>
          </w:tcPr>
          <w:p>
            <w:pPr>
              <w:spacing w:after="0"/>
              <w:rPr>
                <w:sz w:val="15"/>
                <w:szCs w:val="15"/>
                <w:color w:val="auto"/>
              </w:rPr>
            </w:pPr>
          </w:p>
        </w:tc>
      </w:tr>
      <w:tr>
        <w:trPr>
          <w:trHeight w:val="175"/>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26,250</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26,250</w:t>
            </w:r>
          </w:p>
        </w:tc>
        <w:tc>
          <w:tcPr>
            <w:tcW w:w="100" w:type="dxa"/>
            <w:vAlign w:val="bottom"/>
            <w:shd w:val="clear" w:color="auto" w:fill="CFF0FC"/>
          </w:tcPr>
          <w:p>
            <w:pPr>
              <w:spacing w:after="0"/>
              <w:rPr>
                <w:sz w:val="15"/>
                <w:szCs w:val="15"/>
                <w:color w:val="auto"/>
              </w:rPr>
            </w:pPr>
          </w:p>
        </w:tc>
      </w:tr>
      <w:tr>
        <w:trPr>
          <w:trHeight w:val="176"/>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Collateralized Loan Obligations</w:t>
            </w:r>
          </w:p>
        </w:tc>
        <w:tc>
          <w:tcPr>
            <w:tcW w:w="94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6,296</w:t>
            </w:r>
          </w:p>
        </w:tc>
        <w:tc>
          <w:tcPr>
            <w:tcW w:w="100" w:type="dxa"/>
            <w:vAlign w:val="bottom"/>
          </w:tcPr>
          <w:p>
            <w:pPr>
              <w:spacing w:after="0"/>
              <w:rPr>
                <w:sz w:val="15"/>
                <w:szCs w:val="15"/>
                <w:color w:val="auto"/>
              </w:rPr>
            </w:pPr>
          </w:p>
        </w:tc>
      </w:tr>
      <w:tr>
        <w:trPr>
          <w:trHeight w:val="176"/>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94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37,598</w:t>
            </w: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37,598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gridSpan w:val="2"/>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175,853</w:t>
            </w:r>
          </w:p>
        </w:tc>
        <w:tc>
          <w:tcPr>
            <w:tcW w:w="4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175,853</w:t>
            </w:r>
          </w:p>
        </w:tc>
        <w:tc>
          <w:tcPr>
            <w:tcW w:w="100" w:type="dxa"/>
            <w:vAlign w:val="bottom"/>
          </w:tcPr>
          <w:p>
            <w:pPr>
              <w:spacing w:after="0"/>
              <w:rPr>
                <w:sz w:val="14"/>
                <w:szCs w:val="14"/>
                <w:color w:val="auto"/>
              </w:rPr>
            </w:pPr>
          </w:p>
        </w:tc>
      </w:tr>
      <w:tr>
        <w:trPr>
          <w:trHeight w:val="20"/>
        </w:trPr>
        <w:tc>
          <w:tcPr>
            <w:tcW w:w="5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-144780</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-144780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-144780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following table presents fair value measurements of investments, by major class, as of December 31, 2021, according to the fair value hierarchy (dollars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10"/>
          </w:tcPr>
          <w:p>
            <w:pPr>
              <w:ind w:left="28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 Lien Debt</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98,251</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98,251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30,190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60" w:type="dxa"/>
            <w:vAlign w:val="bottom"/>
            <w:gridSpan w:val="4"/>
            <w:shd w:val="clear" w:color="auto" w:fill="CFF0FC"/>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5,050</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64,698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198,189</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198,189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11240" w:type="dxa"/>
            <w:vAlign w:val="bottom"/>
            <w:gridSpan w:val="34"/>
          </w:tcPr>
          <w:p>
            <w:pPr>
              <w:ind w:left="760"/>
              <w:spacing w:after="0"/>
              <w:rPr>
                <w:sz w:val="20"/>
                <w:szCs w:val="20"/>
                <w:color w:val="auto"/>
              </w:rPr>
            </w:pPr>
            <w:r>
              <w:rPr>
                <w:rFonts w:ascii="Times New Roman" w:cs="Times New Roman" w:eastAsia="Times New Roman" w:hAnsi="Times New Roman"/>
                <w:sz w:val="14"/>
                <w:szCs w:val="14"/>
                <w:color w:val="auto"/>
              </w:rPr>
              <w:t>The following table provides a reconciliation of the beginning and ending balances for investments that use Level 3 inputs for the six months ended June 30, 2022 (dollars in</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First Lien</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Second Lien</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Subordinated</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Collateralized</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Debt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Debt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Loan Obligations</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as of January 1, 2022</w:t>
            </w: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98,251</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30,190</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5,050</w:t>
            </w:r>
          </w:p>
        </w:tc>
        <w:tc>
          <w:tcPr>
            <w:tcW w:w="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7,717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56,981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198,189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Repayments/sales</w:t>
            </w:r>
          </w:p>
        </w:tc>
        <w:tc>
          <w:tcPr>
            <w:tcW w:w="18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(21,991 )</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(24,429 )</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(522 )</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(19,727 )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(66,669 )</w:t>
            </w:r>
          </w:p>
        </w:tc>
        <w:tc>
          <w:tcPr>
            <w:tcW w:w="0" w:type="dxa"/>
            <w:vAlign w:val="bottom"/>
          </w:tcPr>
          <w:p>
            <w:pPr>
              <w:spacing w:after="0"/>
              <w:rPr>
                <w:sz w:val="1"/>
                <w:szCs w:val="1"/>
                <w:color w:val="auto"/>
              </w:rPr>
            </w:pPr>
          </w:p>
        </w:tc>
      </w:tr>
      <w:tr>
        <w:trPr>
          <w:trHeight w:val="176"/>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Purchases</w:t>
            </w: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22,448</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3,086</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21,272</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6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Payment-in-kind interest and dividends accrued</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Accretion of original issue discount</w:t>
            </w: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(1 )</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(940 )</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16,386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0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Net unrealized (depreciation) appreciation on</w:t>
            </w:r>
          </w:p>
        </w:tc>
        <w:tc>
          <w:tcPr>
            <w:tcW w:w="180" w:type="dxa"/>
            <w:vAlign w:val="bottom"/>
            <w:shd w:val="clear" w:color="auto" w:fill="CFF0FC"/>
          </w:tcPr>
          <w:p>
            <w:pPr>
              <w:spacing w:after="0"/>
              <w:rPr>
                <w:sz w:val="12"/>
                <w:szCs w:val="12"/>
                <w:color w:val="auto"/>
              </w:rPr>
            </w:pPr>
          </w:p>
        </w:tc>
        <w:tc>
          <w:tcPr>
            <w:tcW w:w="10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(1,465 )</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3"/>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(780 )</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5"/>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(183 )</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gridSpan w:val="4"/>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(542 )</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gridSpan w:val="3"/>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(16,409 )</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(19,379 )</w:t>
            </w:r>
          </w:p>
        </w:tc>
        <w:tc>
          <w:tcPr>
            <w:tcW w:w="0" w:type="dxa"/>
            <w:vAlign w:val="bottom"/>
          </w:tcPr>
          <w:p>
            <w:pPr>
              <w:spacing w:after="0"/>
              <w:rPr>
                <w:sz w:val="1"/>
                <w:szCs w:val="1"/>
                <w:color w:val="auto"/>
              </w:rPr>
            </w:pPr>
          </w:p>
        </w:tc>
      </w:tr>
      <w:tr>
        <w:trPr>
          <w:trHeight w:val="171"/>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8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3"/>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gridSpan w:val="5"/>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4"/>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3"/>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Balance as of June 30, 2022</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97,460</w:t>
            </w:r>
          </w:p>
        </w:tc>
        <w:tc>
          <w:tcPr>
            <w:tcW w:w="12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8,249</w:t>
            </w:r>
          </w:p>
        </w:tc>
        <w:tc>
          <w:tcPr>
            <w:tcW w:w="12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gridSpan w:val="2"/>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26,250</w:t>
            </w:r>
          </w:p>
        </w:tc>
        <w:tc>
          <w:tcPr>
            <w:tcW w:w="220" w:type="dxa"/>
            <w:vAlign w:val="bottom"/>
            <w:tcBorders>
              <w:top w:val="single" w:sz="8" w:color="CFF0FC"/>
            </w:tcBorders>
            <w:gridSpan w:val="3"/>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6,296</w:t>
            </w: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gridSpan w:val="2"/>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37,598</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gridSpan w:val="2"/>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175,853</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1240" w:type="dxa"/>
            <w:vAlign w:val="bottom"/>
            <w:gridSpan w:val="34"/>
          </w:tcPr>
          <w:p>
            <w:pPr>
              <w:ind w:left="760"/>
              <w:spacing w:after="0"/>
              <w:rPr>
                <w:sz w:val="20"/>
                <w:szCs w:val="20"/>
                <w:color w:val="auto"/>
              </w:rPr>
            </w:pPr>
            <w:r>
              <w:rPr>
                <w:rFonts w:ascii="Times New Roman" w:cs="Times New Roman" w:eastAsia="Times New Roman" w:hAnsi="Times New Roman"/>
                <w:sz w:val="14"/>
                <w:szCs w:val="14"/>
                <w:color w:val="auto"/>
              </w:rPr>
              <w:t>The following table provides a reconciliation of the beginning and ending balances for investments that use Level 3 inputs for the six months ended June 30, 2021 (dollars in</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First Lien</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Second Lien</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Subordinated</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Debt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Debt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as of January 1, 2021</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167,418</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39,209</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gridSpan w:val="2"/>
            <w:shd w:val="clear" w:color="auto" w:fill="CFF0FC"/>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gridSpan w:val="2"/>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tcBorders>
              <w:top w:val="single" w:sz="8" w:color="auto"/>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67,572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tcBorders>
              <w:top w:val="single" w:sz="8" w:color="auto"/>
            </w:tcBorders>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274,199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Repayments/sales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(54,357 )</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(8,637 )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(63,444 )</w:t>
            </w:r>
          </w:p>
        </w:tc>
        <w:tc>
          <w:tcPr>
            <w:tcW w:w="0" w:type="dxa"/>
            <w:vAlign w:val="bottom"/>
          </w:tcPr>
          <w:p>
            <w:pPr>
              <w:spacing w:after="0"/>
              <w:rPr>
                <w:sz w:val="1"/>
                <w:szCs w:val="1"/>
                <w:color w:val="auto"/>
              </w:rPr>
            </w:pPr>
          </w:p>
        </w:tc>
      </w:tr>
      <w:tr>
        <w:trPr>
          <w:trHeight w:val="176"/>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Purchases</w:t>
            </w: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60" w:type="dxa"/>
            <w:vAlign w:val="bottom"/>
            <w:gridSpan w:val="4"/>
            <w:shd w:val="clear" w:color="auto" w:fill="CFF0FC"/>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Payment-in-kind interest and dividends accrued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Accretion of original issue discount</w:t>
            </w: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60" w:type="dxa"/>
            <w:vAlign w:val="bottom"/>
            <w:gridSpan w:val="4"/>
            <w:shd w:val="clear" w:color="auto" w:fill="CFF0FC"/>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(loss) gain on investments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(12,024 )</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4,948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(7,076 )</w:t>
            </w:r>
          </w:p>
        </w:tc>
        <w:tc>
          <w:tcPr>
            <w:tcW w:w="0" w:type="dxa"/>
            <w:vAlign w:val="bottom"/>
          </w:tcPr>
          <w:p>
            <w:pPr>
              <w:spacing w:after="0"/>
              <w:rPr>
                <w:sz w:val="1"/>
                <w:szCs w:val="1"/>
                <w:color w:val="auto"/>
              </w:rPr>
            </w:pPr>
          </w:p>
        </w:tc>
      </w:tr>
      <w:tr>
        <w:trPr>
          <w:trHeight w:val="175"/>
        </w:trPr>
        <w:tc>
          <w:tcPr>
            <w:tcW w:w="42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unrealized appreciation (depreciation) on investments</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4,249</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60" w:type="dxa"/>
            <w:vAlign w:val="bottom"/>
            <w:gridSpan w:val="4"/>
            <w:shd w:val="clear" w:color="auto" w:fill="CFF0FC"/>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8,555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Balance as of June 30, 2021</w:t>
            </w:r>
          </w:p>
        </w:tc>
        <w:tc>
          <w:tcPr>
            <w:tcW w:w="180" w:type="dxa"/>
            <w:vAlign w:val="bottom"/>
            <w:tcBorders>
              <w:top w:val="single" w:sz="8" w:color="CFF0FC"/>
            </w:tcBorders>
          </w:tcPr>
          <w:p>
            <w:pPr>
              <w:spacing w:after="0"/>
              <w:rPr>
                <w:sz w:val="14"/>
                <w:szCs w:val="14"/>
                <w:color w:val="auto"/>
              </w:rPr>
            </w:pPr>
          </w:p>
        </w:tc>
        <w:tc>
          <w:tcPr>
            <w:tcW w:w="9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115,535</w:t>
            </w: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38,772</w:t>
            </w:r>
          </w:p>
        </w:tc>
        <w:tc>
          <w:tcPr>
            <w:tcW w:w="6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gridSpan w:val="2"/>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top w:val="single" w:sz="8" w:color="CFF0FC"/>
            </w:tcBorders>
            <w:gridSpan w:val="2"/>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72,527</w:t>
            </w: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240" w:type="dxa"/>
            <w:vAlign w:val="bottom"/>
            <w:tcBorders>
              <w:top w:val="single" w:sz="8" w:color="auto"/>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226,834</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-3222625</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-3205480</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-3222625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-3205480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-3222625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-3205480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-3205480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-1696720</wp:posOffset>
            </wp:positionV>
            <wp:extent cx="768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-1696720</wp:posOffset>
            </wp:positionV>
            <wp:extent cx="774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-1696720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-1696720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-1696720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-145415</wp:posOffset>
            </wp:positionV>
            <wp:extent cx="768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-145415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-145415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-145415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4"/>
          <w:szCs w:val="14"/>
          <w:color w:val="auto"/>
        </w:rPr>
        <w:t>The net change in unrealized appreciation on investments held was $6.2 million and $5.2 million for the six months ended June 30, 2022 and 2021, respectively, and is included in net change in unrealized appreciation on investments on the consolidated statements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4"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right"/>
        <w:ind w:right="52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valuation techniques and significant unobservable inputs used in recurring Level 3 fair value measurements of assets as of June 30, 2022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3"/>
                <w:szCs w:val="13"/>
                <w:color w:val="auto"/>
              </w:rPr>
            </w:pPr>
          </w:p>
        </w:tc>
        <w:tc>
          <w:tcPr>
            <w:tcW w:w="288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00" w:type="dxa"/>
            <w:vAlign w:val="bottom"/>
          </w:tcPr>
          <w:p>
            <w:pPr>
              <w:spacing w:after="0"/>
              <w:rPr>
                <w:sz w:val="13"/>
                <w:szCs w:val="13"/>
                <w:color w:val="auto"/>
              </w:rPr>
            </w:pPr>
          </w:p>
        </w:tc>
        <w:tc>
          <w:tcPr>
            <w:tcW w:w="19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Input</w:t>
            </w:r>
          </w:p>
        </w:tc>
      </w:tr>
      <w:tr>
        <w:trPr>
          <w:trHeight w:val="189"/>
        </w:trPr>
        <w:tc>
          <w:tcPr>
            <w:tcW w:w="2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288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00" w:type="dxa"/>
            <w:vAlign w:val="bottom"/>
          </w:tcPr>
          <w:p>
            <w:pPr>
              <w:spacing w:after="0"/>
              <w:rPr>
                <w:sz w:val="16"/>
                <w:szCs w:val="16"/>
                <w:color w:val="auto"/>
              </w:rPr>
            </w:pPr>
          </w:p>
        </w:tc>
        <w:tc>
          <w:tcPr>
            <w:tcW w:w="1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20" w:type="dxa"/>
            <w:vAlign w:val="bottom"/>
          </w:tcPr>
          <w:p>
            <w:pPr>
              <w:spacing w:after="0"/>
              <w:rPr>
                <w:sz w:val="16"/>
                <w:szCs w:val="16"/>
                <w:color w:val="auto"/>
              </w:rPr>
            </w:pPr>
          </w:p>
        </w:tc>
        <w:tc>
          <w:tcPr>
            <w:tcW w:w="1980" w:type="dxa"/>
            <w:vAlign w:val="bottom"/>
            <w:tcBorders>
              <w:bottom w:val="single" w:sz="8" w:color="auto"/>
            </w:tcBorders>
          </w:tcPr>
          <w:p>
            <w:pPr>
              <w:ind w:left="320"/>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(Weighted Average) </w:t>
            </w:r>
            <w:r>
              <w:rPr>
                <w:rFonts w:ascii="Times New Roman" w:cs="Times New Roman" w:eastAsia="Times New Roman" w:hAnsi="Times New Roman"/>
                <w:sz w:val="19"/>
                <w:szCs w:val="19"/>
                <w:b w:val="1"/>
                <w:bCs w:val="1"/>
                <w:color w:val="auto"/>
                <w:vertAlign w:val="superscript"/>
              </w:rPr>
              <w:t>(2)</w:t>
            </w:r>
          </w:p>
        </w:tc>
      </w:tr>
      <w:tr>
        <w:trPr>
          <w:trHeight w:val="169"/>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 lien debt</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shd w:val="clear" w:color="auto" w:fill="CFF0FC"/>
          </w:tcPr>
          <w:p>
            <w:pPr>
              <w:spacing w:after="0"/>
              <w:rPr>
                <w:sz w:val="14"/>
                <w:szCs w:val="14"/>
                <w:color w:val="auto"/>
              </w:rPr>
            </w:pPr>
          </w:p>
        </w:tc>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Market</w:t>
            </w:r>
          </w:p>
        </w:tc>
        <w:tc>
          <w:tcPr>
            <w:tcW w:w="100" w:type="dxa"/>
            <w:vAlign w:val="bottom"/>
            <w:shd w:val="clear" w:color="auto" w:fill="CFF0FC"/>
          </w:tcPr>
          <w:p>
            <w:pPr>
              <w:spacing w:after="0"/>
              <w:rPr>
                <w:sz w:val="14"/>
                <w:szCs w:val="14"/>
                <w:color w:val="auto"/>
              </w:rPr>
            </w:pPr>
          </w:p>
        </w:tc>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Broker/Dealer Quote</w:t>
            </w:r>
          </w:p>
        </w:tc>
        <w:tc>
          <w:tcPr>
            <w:tcW w:w="120" w:type="dxa"/>
            <w:vAlign w:val="bottom"/>
            <w:shd w:val="clear" w:color="auto" w:fill="CFF0FC"/>
          </w:tcPr>
          <w:p>
            <w:pPr>
              <w:spacing w:after="0"/>
              <w:rPr>
                <w:sz w:val="14"/>
                <w:szCs w:val="14"/>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N/A</w:t>
            </w:r>
          </w:p>
        </w:tc>
      </w:tr>
      <w:tr>
        <w:trPr>
          <w:trHeight w:val="17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lien debt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220" w:type="dxa"/>
            <w:vAlign w:val="bottom"/>
          </w:tcPr>
          <w:p>
            <w:pPr>
              <w:spacing w:after="0"/>
              <w:rPr>
                <w:sz w:val="15"/>
                <w:szCs w:val="15"/>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100" w:type="dxa"/>
            <w:vAlign w:val="bottom"/>
          </w:tcPr>
          <w:p>
            <w:pPr>
              <w:spacing w:after="0"/>
              <w:rPr>
                <w:sz w:val="15"/>
                <w:szCs w:val="15"/>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Required Rate of Return</w:t>
            </w:r>
          </w:p>
        </w:tc>
        <w:tc>
          <w:tcPr>
            <w:tcW w:w="12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5.9% – 16.2% (10.0%)</w:t>
            </w:r>
          </w:p>
        </w:tc>
      </w:tr>
      <w:tr>
        <w:trPr>
          <w:trHeight w:val="176"/>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 lien debt</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20" w:type="dxa"/>
            <w:vAlign w:val="bottom"/>
            <w:shd w:val="clear" w:color="auto" w:fill="CFF0FC"/>
          </w:tcPr>
          <w:p>
            <w:pPr>
              <w:spacing w:after="0"/>
              <w:rPr>
                <w:sz w:val="15"/>
                <w:szCs w:val="15"/>
                <w:color w:val="auto"/>
              </w:rPr>
            </w:pPr>
          </w:p>
        </w:tc>
        <w:tc>
          <w:tcPr>
            <w:tcW w:w="288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Enterprise Market Value and Asset</w:t>
            </w:r>
            <w:r>
              <w:rPr>
                <w:rFonts w:ascii="Times New Roman" w:cs="Times New Roman" w:eastAsia="Times New Roman" w:hAnsi="Times New Roman"/>
                <w:sz w:val="19"/>
                <w:szCs w:val="19"/>
                <w:color w:val="auto"/>
                <w:vertAlign w:val="superscript"/>
              </w:rPr>
              <w:t>(1)</w:t>
            </w:r>
          </w:p>
        </w:tc>
        <w:tc>
          <w:tcPr>
            <w:tcW w:w="100" w:type="dxa"/>
            <w:vAlign w:val="bottom"/>
            <w:shd w:val="clear" w:color="auto" w:fill="CFF0FC"/>
          </w:tcPr>
          <w:p>
            <w:pPr>
              <w:spacing w:after="0"/>
              <w:rPr>
                <w:sz w:val="15"/>
                <w:szCs w:val="15"/>
                <w:color w:val="auto"/>
              </w:rPr>
            </w:pPr>
          </w:p>
        </w:tc>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 Multiple</w:t>
            </w:r>
          </w:p>
        </w:tc>
        <w:tc>
          <w:tcPr>
            <w:tcW w:w="120" w:type="dxa"/>
            <w:vAlign w:val="bottom"/>
            <w:shd w:val="clear" w:color="auto" w:fill="CFF0FC"/>
          </w:tcPr>
          <w:p>
            <w:pPr>
              <w:spacing w:after="0"/>
              <w:rPr>
                <w:sz w:val="15"/>
                <w:szCs w:val="15"/>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0.3x</w:t>
            </w:r>
          </w:p>
        </w:tc>
      </w:tr>
      <w:tr>
        <w:trPr>
          <w:trHeight w:val="17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20" w:type="dxa"/>
            <w:vAlign w:val="bottom"/>
          </w:tcPr>
          <w:p>
            <w:pPr>
              <w:spacing w:after="0"/>
              <w:rPr>
                <w:sz w:val="15"/>
                <w:szCs w:val="15"/>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w:t>
            </w:r>
          </w:p>
        </w:tc>
        <w:tc>
          <w:tcPr>
            <w:tcW w:w="100" w:type="dxa"/>
            <w:vAlign w:val="bottom"/>
          </w:tcPr>
          <w:p>
            <w:pPr>
              <w:spacing w:after="0"/>
              <w:rPr>
                <w:sz w:val="15"/>
                <w:szCs w:val="15"/>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Broker/Dealer Quote</w:t>
            </w:r>
          </w:p>
        </w:tc>
        <w:tc>
          <w:tcPr>
            <w:tcW w:w="12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w:t>
            </w:r>
          </w:p>
        </w:tc>
      </w:tr>
      <w:tr>
        <w:trPr>
          <w:trHeight w:val="175"/>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20" w:type="dxa"/>
            <w:vAlign w:val="bottom"/>
            <w:shd w:val="clear" w:color="auto" w:fill="CFF0FC"/>
          </w:tcPr>
          <w:p>
            <w:pPr>
              <w:spacing w:after="0"/>
              <w:rPr>
                <w:sz w:val="15"/>
                <w:szCs w:val="15"/>
                <w:color w:val="auto"/>
              </w:rPr>
            </w:pPr>
          </w:p>
        </w:tc>
        <w:tc>
          <w:tcPr>
            <w:tcW w:w="288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Income and Asset</w:t>
            </w:r>
            <w:r>
              <w:rPr>
                <w:rFonts w:ascii="Times New Roman" w:cs="Times New Roman" w:eastAsia="Times New Roman" w:hAnsi="Times New Roman"/>
                <w:sz w:val="19"/>
                <w:szCs w:val="19"/>
                <w:color w:val="auto"/>
                <w:vertAlign w:val="superscript"/>
              </w:rPr>
              <w:t>(1)</w:t>
            </w:r>
          </w:p>
        </w:tc>
        <w:tc>
          <w:tcPr>
            <w:tcW w:w="100" w:type="dxa"/>
            <w:vAlign w:val="bottom"/>
            <w:shd w:val="clear" w:color="auto" w:fill="CFF0FC"/>
          </w:tcPr>
          <w:p>
            <w:pPr>
              <w:spacing w:after="0"/>
              <w:rPr>
                <w:sz w:val="15"/>
                <w:szCs w:val="15"/>
                <w:color w:val="auto"/>
              </w:rPr>
            </w:pPr>
          </w:p>
        </w:tc>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Required Rate of Return</w:t>
            </w:r>
          </w:p>
        </w:tc>
        <w:tc>
          <w:tcPr>
            <w:tcW w:w="120" w:type="dxa"/>
            <w:vAlign w:val="bottom"/>
            <w:shd w:val="clear" w:color="auto" w:fill="CFF0FC"/>
          </w:tcPr>
          <w:p>
            <w:pPr>
              <w:spacing w:after="0"/>
              <w:rPr>
                <w:sz w:val="15"/>
                <w:szCs w:val="15"/>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1.7% – 17.7% (15.2%)</w:t>
            </w:r>
          </w:p>
        </w:tc>
      </w:tr>
      <w:tr>
        <w:trPr>
          <w:trHeight w:val="17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tcPr>
          <w:p>
            <w:pPr>
              <w:spacing w:after="0"/>
              <w:rPr>
                <w:sz w:val="15"/>
                <w:szCs w:val="15"/>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Enterprise Market Value</w:t>
            </w:r>
          </w:p>
        </w:tc>
        <w:tc>
          <w:tcPr>
            <w:tcW w:w="100" w:type="dxa"/>
            <w:vAlign w:val="bottom"/>
          </w:tcPr>
          <w:p>
            <w:pPr>
              <w:spacing w:after="0"/>
              <w:rPr>
                <w:sz w:val="15"/>
                <w:szCs w:val="15"/>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 Multiple</w:t>
            </w:r>
          </w:p>
        </w:tc>
        <w:tc>
          <w:tcPr>
            <w:tcW w:w="12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4.7x</w:t>
            </w:r>
          </w:p>
        </w:tc>
      </w:tr>
      <w:tr>
        <w:trPr>
          <w:trHeight w:val="175"/>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220" w:type="dxa"/>
            <w:vAlign w:val="bottom"/>
            <w:shd w:val="clear" w:color="auto" w:fill="CFF0FC"/>
          </w:tcPr>
          <w:p>
            <w:pPr>
              <w:spacing w:after="0"/>
              <w:rPr>
                <w:sz w:val="15"/>
                <w:szCs w:val="15"/>
                <w:color w:val="auto"/>
              </w:rPr>
            </w:pPr>
          </w:p>
        </w:tc>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100" w:type="dxa"/>
            <w:vAlign w:val="bottom"/>
            <w:shd w:val="clear" w:color="auto" w:fill="CFF0FC"/>
          </w:tcPr>
          <w:p>
            <w:pPr>
              <w:spacing w:after="0"/>
              <w:rPr>
                <w:sz w:val="15"/>
                <w:szCs w:val="15"/>
                <w:color w:val="auto"/>
              </w:rPr>
            </w:pPr>
          </w:p>
        </w:tc>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Required Rate of Return</w:t>
            </w:r>
          </w:p>
        </w:tc>
        <w:tc>
          <w:tcPr>
            <w:tcW w:w="120" w:type="dxa"/>
            <w:vAlign w:val="bottom"/>
            <w:shd w:val="clear" w:color="auto" w:fill="CFF0FC"/>
          </w:tcPr>
          <w:p>
            <w:pPr>
              <w:spacing w:after="0"/>
              <w:rPr>
                <w:sz w:val="15"/>
                <w:szCs w:val="15"/>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5.4% – 14.6% (7.3%)</w:t>
            </w:r>
          </w:p>
        </w:tc>
      </w:tr>
      <w:tr>
        <w:trPr>
          <w:trHeight w:val="17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Collateralized loan obligations</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20" w:type="dxa"/>
            <w:vAlign w:val="bottom"/>
          </w:tcPr>
          <w:p>
            <w:pPr>
              <w:spacing w:after="0"/>
              <w:rPr>
                <w:sz w:val="15"/>
                <w:szCs w:val="15"/>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100" w:type="dxa"/>
            <w:vAlign w:val="bottom"/>
          </w:tcPr>
          <w:p>
            <w:pPr>
              <w:spacing w:after="0"/>
              <w:rPr>
                <w:sz w:val="15"/>
                <w:szCs w:val="15"/>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Margin</w:t>
            </w:r>
          </w:p>
        </w:tc>
        <w:tc>
          <w:tcPr>
            <w:tcW w:w="12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 – 23.2% (22.0%)</w:t>
            </w:r>
          </w:p>
        </w:tc>
      </w:tr>
      <w:tr>
        <w:trPr>
          <w:trHeight w:val="176"/>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220" w:type="dxa"/>
            <w:vAlign w:val="bottom"/>
            <w:shd w:val="clear" w:color="auto" w:fill="CFF0FC"/>
          </w:tcPr>
          <w:p>
            <w:pPr>
              <w:spacing w:after="0"/>
              <w:rPr>
                <w:sz w:val="15"/>
                <w:szCs w:val="15"/>
                <w:color w:val="auto"/>
              </w:rPr>
            </w:pPr>
          </w:p>
        </w:tc>
        <w:tc>
          <w:tcPr>
            <w:tcW w:w="288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Enterprise Market Value and Asset</w:t>
            </w:r>
            <w:r>
              <w:rPr>
                <w:rFonts w:ascii="Times New Roman" w:cs="Times New Roman" w:eastAsia="Times New Roman" w:hAnsi="Times New Roman"/>
                <w:sz w:val="19"/>
                <w:szCs w:val="19"/>
                <w:color w:val="auto"/>
                <w:vertAlign w:val="superscript"/>
              </w:rPr>
              <w:t>(1)</w:t>
            </w:r>
          </w:p>
        </w:tc>
        <w:tc>
          <w:tcPr>
            <w:tcW w:w="100" w:type="dxa"/>
            <w:vAlign w:val="bottom"/>
            <w:shd w:val="clear" w:color="auto" w:fill="CFF0FC"/>
          </w:tcPr>
          <w:p>
            <w:pPr>
              <w:spacing w:after="0"/>
              <w:rPr>
                <w:sz w:val="15"/>
                <w:szCs w:val="15"/>
                <w:color w:val="auto"/>
              </w:rPr>
            </w:pPr>
          </w:p>
        </w:tc>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EBITDA Multiple</w:t>
            </w:r>
          </w:p>
        </w:tc>
        <w:tc>
          <w:tcPr>
            <w:tcW w:w="120" w:type="dxa"/>
            <w:vAlign w:val="bottom"/>
            <w:shd w:val="clear" w:color="auto" w:fill="CFF0FC"/>
          </w:tcPr>
          <w:p>
            <w:pPr>
              <w:spacing w:after="0"/>
              <w:rPr>
                <w:sz w:val="15"/>
                <w:szCs w:val="15"/>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2.0x – 16.0x (6.3x)</w:t>
            </w:r>
          </w:p>
        </w:tc>
      </w:tr>
      <w:tr>
        <w:trPr>
          <w:trHeight w:val="188"/>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tcPr>
          <w:p>
            <w:pPr>
              <w:spacing w:after="0"/>
              <w:rPr>
                <w:sz w:val="16"/>
                <w:szCs w:val="16"/>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Enterprise Market Value</w:t>
            </w:r>
          </w:p>
        </w:tc>
        <w:tc>
          <w:tcPr>
            <w:tcW w:w="100" w:type="dxa"/>
            <w:vAlign w:val="bottom"/>
          </w:tcPr>
          <w:p>
            <w:pPr>
              <w:spacing w:after="0"/>
              <w:rPr>
                <w:sz w:val="16"/>
                <w:szCs w:val="16"/>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 Multiple</w:t>
            </w:r>
          </w:p>
        </w:tc>
        <w:tc>
          <w:tcPr>
            <w:tcW w:w="12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0.3x – 0.6x (0.6x)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-7620</wp:posOffset>
            </wp:positionV>
            <wp:extent cx="7372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ind w:left="3620" w:hanging="804"/>
        <w:spacing w:after="0"/>
        <w:tabs>
          <w:tab w:leader="none" w:pos="362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175.9</w:t>
      </w:r>
    </w:p>
    <w:p>
      <w:pPr>
        <w:spacing w:after="0" w:line="18" w:lineRule="exact"/>
        <w:rPr>
          <w:rFonts w:ascii="Times New Roman" w:cs="Times New Roman" w:eastAsia="Times New Roman" w:hAnsi="Times New Roman"/>
          <w:sz w:val="14"/>
          <w:szCs w:val="14"/>
          <w:color w:val="auto"/>
        </w:rPr>
      </w:pPr>
    </w:p>
    <w:p>
      <w:pPr>
        <w:ind w:left="560" w:hanging="552"/>
        <w:spacing w:after="0" w:line="211" w:lineRule="auto"/>
        <w:tabs>
          <w:tab w:leader="none" w:pos="5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$0.2 million of first lien debt, less than $0.5 million of second lien debt and $0.8 million of equity and warrants were valued using the asset approach.</w:t>
      </w:r>
    </w:p>
    <w:p>
      <w:pPr>
        <w:ind w:left="520" w:hanging="512"/>
        <w:spacing w:after="0" w:line="189" w:lineRule="auto"/>
        <w:tabs>
          <w:tab w:leader="none" w:pos="52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weighted averages disclosed in the table above were weighted by their relative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valuation techniques and significant unobservable inputs used in recurring Level 3 fair value measurements of assets as of December 31, 2021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3"/>
                <w:szCs w:val="13"/>
                <w:color w:val="auto"/>
              </w:rPr>
            </w:pPr>
          </w:p>
        </w:tc>
        <w:tc>
          <w:tcPr>
            <w:tcW w:w="322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80" w:type="dxa"/>
            <w:vAlign w:val="bottom"/>
          </w:tcPr>
          <w:p>
            <w:pPr>
              <w:spacing w:after="0"/>
              <w:rPr>
                <w:sz w:val="13"/>
                <w:szCs w:val="13"/>
                <w:color w:val="auto"/>
              </w:rPr>
            </w:pPr>
          </w:p>
        </w:tc>
        <w:tc>
          <w:tcPr>
            <w:tcW w:w="19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Range (Weighted</w:t>
            </w:r>
          </w:p>
        </w:tc>
      </w:tr>
      <w:tr>
        <w:trPr>
          <w:trHeight w:val="189"/>
        </w:trPr>
        <w:tc>
          <w:tcPr>
            <w:tcW w:w="2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32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80" w:type="dxa"/>
            <w:vAlign w:val="bottom"/>
          </w:tcPr>
          <w:p>
            <w:pPr>
              <w:spacing w:after="0"/>
              <w:rPr>
                <w:sz w:val="16"/>
                <w:szCs w:val="16"/>
                <w:color w:val="auto"/>
              </w:rPr>
            </w:pPr>
          </w:p>
        </w:tc>
        <w:tc>
          <w:tcPr>
            <w:tcW w:w="19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228"/>
              <w:spacing w:after="0" w:line="189" w:lineRule="exact"/>
              <w:rPr>
                <w:sz w:val="20"/>
                <w:szCs w:val="20"/>
                <w:color w:val="auto"/>
              </w:rPr>
            </w:pPr>
            <w:r>
              <w:rPr>
                <w:rFonts w:ascii="Times New Roman" w:cs="Times New Roman" w:eastAsia="Times New Roman" w:hAnsi="Times New Roman"/>
                <w:sz w:val="14"/>
                <w:szCs w:val="14"/>
                <w:b w:val="1"/>
                <w:bCs w:val="1"/>
                <w:color w:val="auto"/>
                <w:w w:val="93"/>
              </w:rPr>
              <w:t xml:space="preserve">Average) </w:t>
            </w:r>
            <w:r>
              <w:rPr>
                <w:rFonts w:ascii="Times New Roman" w:cs="Times New Roman" w:eastAsia="Times New Roman" w:hAnsi="Times New Roman"/>
                <w:sz w:val="19"/>
                <w:szCs w:val="19"/>
                <w:b w:val="1"/>
                <w:bCs w:val="1"/>
                <w:color w:val="auto"/>
                <w:w w:val="93"/>
                <w:vertAlign w:val="superscript"/>
              </w:rPr>
              <w:t>(2)</w:t>
            </w:r>
          </w:p>
        </w:tc>
      </w:tr>
      <w:tr>
        <w:trPr>
          <w:trHeight w:val="169"/>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lien debt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20" w:type="dxa"/>
            <w:vAlign w:val="bottom"/>
          </w:tcPr>
          <w:p>
            <w:pPr>
              <w:spacing w:after="0"/>
              <w:rPr>
                <w:sz w:val="14"/>
                <w:szCs w:val="14"/>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w:t>
            </w:r>
          </w:p>
        </w:tc>
        <w:tc>
          <w:tcPr>
            <w:tcW w:w="180" w:type="dxa"/>
            <w:vAlign w:val="bottom"/>
          </w:tcPr>
          <w:p>
            <w:pPr>
              <w:spacing w:after="0"/>
              <w:rPr>
                <w:sz w:val="14"/>
                <w:szCs w:val="14"/>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Broker/Dealer Quote</w:t>
            </w:r>
          </w:p>
        </w:tc>
        <w:tc>
          <w:tcPr>
            <w:tcW w:w="20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N/A</w:t>
            </w:r>
          </w:p>
        </w:tc>
        <w:tc>
          <w:tcPr>
            <w:tcW w:w="1740" w:type="dxa"/>
            <w:vAlign w:val="bottom"/>
          </w:tcPr>
          <w:p>
            <w:pPr>
              <w:spacing w:after="0"/>
              <w:rPr>
                <w:sz w:val="14"/>
                <w:szCs w:val="14"/>
                <w:color w:val="auto"/>
              </w:rPr>
            </w:pPr>
          </w:p>
        </w:tc>
      </w:tr>
      <w:tr>
        <w:trPr>
          <w:trHeight w:val="175"/>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 lien debt</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320" w:type="dxa"/>
            <w:vAlign w:val="bottom"/>
            <w:shd w:val="clear" w:color="auto" w:fill="CFF0FC"/>
          </w:tcPr>
          <w:p>
            <w:pPr>
              <w:spacing w:after="0"/>
              <w:rPr>
                <w:sz w:val="15"/>
                <w:szCs w:val="15"/>
                <w:color w:val="auto"/>
              </w:rPr>
            </w:pPr>
          </w:p>
        </w:tc>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180" w:type="dxa"/>
            <w:vAlign w:val="bottom"/>
            <w:shd w:val="clear" w:color="auto" w:fill="CFF0FC"/>
          </w:tcPr>
          <w:p>
            <w:pPr>
              <w:spacing w:after="0"/>
              <w:rPr>
                <w:sz w:val="15"/>
                <w:szCs w:val="15"/>
                <w:color w:val="auto"/>
              </w:rPr>
            </w:pPr>
          </w:p>
        </w:tc>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Required Rate of Return</w:t>
            </w:r>
          </w:p>
        </w:tc>
        <w:tc>
          <w:tcPr>
            <w:tcW w:w="200" w:type="dxa"/>
            <w:vAlign w:val="bottom"/>
            <w:shd w:val="clear" w:color="auto" w:fill="CFF0FC"/>
          </w:tcPr>
          <w:p>
            <w:pPr>
              <w:spacing w:after="0"/>
              <w:rPr>
                <w:sz w:val="15"/>
                <w:szCs w:val="15"/>
                <w:color w:val="auto"/>
              </w:rPr>
            </w:pPr>
          </w:p>
        </w:tc>
        <w:tc>
          <w:tcPr>
            <w:tcW w:w="2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6.2% – 14.6% (7.4%)</w:t>
            </w:r>
          </w:p>
        </w:tc>
      </w:tr>
      <w:tr>
        <w:trPr>
          <w:trHeight w:val="176"/>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lien debt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320" w:type="dxa"/>
            <w:vAlign w:val="bottom"/>
          </w:tcPr>
          <w:p>
            <w:pPr>
              <w:spacing w:after="0"/>
              <w:rPr>
                <w:sz w:val="15"/>
                <w:szCs w:val="15"/>
                <w:color w:val="auto"/>
              </w:rPr>
            </w:pPr>
          </w:p>
        </w:tc>
        <w:tc>
          <w:tcPr>
            <w:tcW w:w="32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Enterprise Market Value and Asset</w:t>
            </w:r>
            <w:r>
              <w:rPr>
                <w:rFonts w:ascii="Times New Roman" w:cs="Times New Roman" w:eastAsia="Times New Roman" w:hAnsi="Times New Roman"/>
                <w:sz w:val="19"/>
                <w:szCs w:val="19"/>
                <w:color w:val="auto"/>
                <w:vertAlign w:val="superscript"/>
              </w:rPr>
              <w:t>(1)</w:t>
            </w:r>
          </w:p>
        </w:tc>
        <w:tc>
          <w:tcPr>
            <w:tcW w:w="180" w:type="dxa"/>
            <w:vAlign w:val="bottom"/>
          </w:tcPr>
          <w:p>
            <w:pPr>
              <w:spacing w:after="0"/>
              <w:rPr>
                <w:sz w:val="15"/>
                <w:szCs w:val="15"/>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 Multiple</w:t>
            </w:r>
          </w:p>
        </w:tc>
        <w:tc>
          <w:tcPr>
            <w:tcW w:w="20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0.3x</w:t>
            </w:r>
          </w:p>
        </w:tc>
        <w:tc>
          <w:tcPr>
            <w:tcW w:w="1740" w:type="dxa"/>
            <w:vAlign w:val="bottom"/>
          </w:tcPr>
          <w:p>
            <w:pPr>
              <w:spacing w:after="0"/>
              <w:rPr>
                <w:sz w:val="15"/>
                <w:szCs w:val="15"/>
                <w:color w:val="auto"/>
              </w:rPr>
            </w:pPr>
          </w:p>
        </w:tc>
      </w:tr>
      <w:tr>
        <w:trPr>
          <w:trHeight w:val="176"/>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320" w:type="dxa"/>
            <w:vAlign w:val="bottom"/>
            <w:shd w:val="clear" w:color="auto" w:fill="CFF0FC"/>
          </w:tcPr>
          <w:p>
            <w:pPr>
              <w:spacing w:after="0"/>
              <w:rPr>
                <w:sz w:val="15"/>
                <w:szCs w:val="15"/>
                <w:color w:val="auto"/>
              </w:rPr>
            </w:pPr>
          </w:p>
        </w:tc>
        <w:tc>
          <w:tcPr>
            <w:tcW w:w="32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Income and Asset</w:t>
            </w:r>
            <w:r>
              <w:rPr>
                <w:rFonts w:ascii="Times New Roman" w:cs="Times New Roman" w:eastAsia="Times New Roman" w:hAnsi="Times New Roman"/>
                <w:sz w:val="19"/>
                <w:szCs w:val="19"/>
                <w:color w:val="auto"/>
                <w:vertAlign w:val="superscript"/>
              </w:rPr>
              <w:t>(1)</w:t>
            </w:r>
          </w:p>
        </w:tc>
        <w:tc>
          <w:tcPr>
            <w:tcW w:w="180" w:type="dxa"/>
            <w:vAlign w:val="bottom"/>
            <w:shd w:val="clear" w:color="auto" w:fill="CFF0FC"/>
          </w:tcPr>
          <w:p>
            <w:pPr>
              <w:spacing w:after="0"/>
              <w:rPr>
                <w:sz w:val="15"/>
                <w:szCs w:val="15"/>
                <w:color w:val="auto"/>
              </w:rPr>
            </w:pPr>
          </w:p>
        </w:tc>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Required Rate of Return</w:t>
            </w:r>
          </w:p>
        </w:tc>
        <w:tc>
          <w:tcPr>
            <w:tcW w:w="200" w:type="dxa"/>
            <w:vAlign w:val="bottom"/>
            <w:shd w:val="clear" w:color="auto" w:fill="CFF0FC"/>
          </w:tcPr>
          <w:p>
            <w:pPr>
              <w:spacing w:after="0"/>
              <w:rPr>
                <w:sz w:val="15"/>
                <w:szCs w:val="15"/>
                <w:color w:val="auto"/>
              </w:rPr>
            </w:pPr>
          </w:p>
        </w:tc>
        <w:tc>
          <w:tcPr>
            <w:tcW w:w="2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1.2% – 11.5% (9.7%)</w:t>
            </w:r>
          </w:p>
        </w:tc>
      </w:tr>
      <w:tr>
        <w:trPr>
          <w:trHeight w:val="17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320" w:type="dxa"/>
            <w:vAlign w:val="bottom"/>
          </w:tcPr>
          <w:p>
            <w:pPr>
              <w:spacing w:after="0"/>
              <w:rPr>
                <w:sz w:val="15"/>
                <w:szCs w:val="15"/>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Enterprise Market Value</w:t>
            </w:r>
          </w:p>
        </w:tc>
        <w:tc>
          <w:tcPr>
            <w:tcW w:w="180" w:type="dxa"/>
            <w:vAlign w:val="bottom"/>
          </w:tcPr>
          <w:p>
            <w:pPr>
              <w:spacing w:after="0"/>
              <w:rPr>
                <w:sz w:val="15"/>
                <w:szCs w:val="15"/>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 Multiple</w:t>
            </w:r>
          </w:p>
        </w:tc>
        <w:tc>
          <w:tcPr>
            <w:tcW w:w="20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4.7x</w:t>
            </w:r>
          </w:p>
        </w:tc>
        <w:tc>
          <w:tcPr>
            <w:tcW w:w="1740" w:type="dxa"/>
            <w:vAlign w:val="bottom"/>
          </w:tcPr>
          <w:p>
            <w:pPr>
              <w:spacing w:after="0"/>
              <w:rPr>
                <w:sz w:val="15"/>
                <w:szCs w:val="15"/>
                <w:color w:val="auto"/>
              </w:rPr>
            </w:pPr>
          </w:p>
        </w:tc>
      </w:tr>
      <w:tr>
        <w:trPr>
          <w:trHeight w:val="176"/>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320" w:type="dxa"/>
            <w:vAlign w:val="bottom"/>
            <w:shd w:val="clear" w:color="auto" w:fill="CFF0FC"/>
          </w:tcPr>
          <w:p>
            <w:pPr>
              <w:spacing w:after="0"/>
              <w:rPr>
                <w:sz w:val="15"/>
                <w:szCs w:val="15"/>
                <w:color w:val="auto"/>
              </w:rPr>
            </w:pPr>
          </w:p>
        </w:tc>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180" w:type="dxa"/>
            <w:vAlign w:val="bottom"/>
            <w:shd w:val="clear" w:color="auto" w:fill="CFF0FC"/>
          </w:tcPr>
          <w:p>
            <w:pPr>
              <w:spacing w:after="0"/>
              <w:rPr>
                <w:sz w:val="15"/>
                <w:szCs w:val="15"/>
                <w:color w:val="auto"/>
              </w:rPr>
            </w:pPr>
          </w:p>
        </w:tc>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Required Rate of Return</w:t>
            </w:r>
          </w:p>
        </w:tc>
        <w:tc>
          <w:tcPr>
            <w:tcW w:w="222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5.0%</w:t>
            </w:r>
          </w:p>
        </w:tc>
      </w:tr>
      <w:tr>
        <w:trPr>
          <w:trHeight w:val="17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320" w:type="dxa"/>
            <w:vAlign w:val="bottom"/>
          </w:tcPr>
          <w:p>
            <w:pPr>
              <w:spacing w:after="0"/>
              <w:rPr>
                <w:sz w:val="15"/>
                <w:szCs w:val="15"/>
                <w:color w:val="auto"/>
              </w:rPr>
            </w:pPr>
          </w:p>
        </w:tc>
        <w:tc>
          <w:tcPr>
            <w:tcW w:w="32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Enterprise Market Value and Asset</w:t>
            </w:r>
            <w:r>
              <w:rPr>
                <w:rFonts w:ascii="Times New Roman" w:cs="Times New Roman" w:eastAsia="Times New Roman" w:hAnsi="Times New Roman"/>
                <w:sz w:val="19"/>
                <w:szCs w:val="19"/>
                <w:color w:val="auto"/>
                <w:vertAlign w:val="superscript"/>
              </w:rPr>
              <w:t>(1)</w:t>
            </w:r>
          </w:p>
        </w:tc>
        <w:tc>
          <w:tcPr>
            <w:tcW w:w="180" w:type="dxa"/>
            <w:vAlign w:val="bottom"/>
          </w:tcPr>
          <w:p>
            <w:pPr>
              <w:spacing w:after="0"/>
              <w:rPr>
                <w:sz w:val="15"/>
                <w:szCs w:val="15"/>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EBITDA Multiple</w:t>
            </w:r>
          </w:p>
        </w:tc>
        <w:tc>
          <w:tcPr>
            <w:tcW w:w="20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1.9x</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10.0x (6.4x)</w:t>
            </w:r>
          </w:p>
        </w:tc>
      </w:tr>
      <w:tr>
        <w:trPr>
          <w:trHeight w:val="176"/>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320" w:type="dxa"/>
            <w:vAlign w:val="bottom"/>
            <w:shd w:val="clear" w:color="auto" w:fill="CFF0FC"/>
          </w:tcPr>
          <w:p>
            <w:pPr>
              <w:spacing w:after="0"/>
              <w:rPr>
                <w:sz w:val="15"/>
                <w:szCs w:val="15"/>
                <w:color w:val="auto"/>
              </w:rPr>
            </w:pPr>
          </w:p>
        </w:tc>
        <w:tc>
          <w:tcPr>
            <w:tcW w:w="32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Enterprise Market Value and Asset</w:t>
            </w:r>
            <w:r>
              <w:rPr>
                <w:rFonts w:ascii="Times New Roman" w:cs="Times New Roman" w:eastAsia="Times New Roman" w:hAnsi="Times New Roman"/>
                <w:sz w:val="19"/>
                <w:szCs w:val="19"/>
                <w:color w:val="auto"/>
                <w:vertAlign w:val="superscript"/>
              </w:rPr>
              <w:t>(1)</w:t>
            </w:r>
          </w:p>
        </w:tc>
        <w:tc>
          <w:tcPr>
            <w:tcW w:w="180" w:type="dxa"/>
            <w:vAlign w:val="bottom"/>
            <w:shd w:val="clear" w:color="auto" w:fill="CFF0FC"/>
          </w:tcPr>
          <w:p>
            <w:pPr>
              <w:spacing w:after="0"/>
              <w:rPr>
                <w:sz w:val="15"/>
                <w:szCs w:val="15"/>
                <w:color w:val="auto"/>
              </w:rPr>
            </w:pPr>
          </w:p>
        </w:tc>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 Multiple</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0.4x</w:t>
            </w:r>
          </w:p>
        </w:tc>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0.7x (0.4x)</w:t>
            </w:r>
          </w:p>
        </w:tc>
      </w:tr>
      <w:tr>
        <w:trPr>
          <w:trHeight w:val="188"/>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320" w:type="dxa"/>
            <w:vAlign w:val="bottom"/>
          </w:tcPr>
          <w:p>
            <w:pPr>
              <w:spacing w:after="0"/>
              <w:rPr>
                <w:sz w:val="16"/>
                <w:szCs w:val="16"/>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18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Required Rate of Return</w:t>
            </w:r>
          </w:p>
        </w:tc>
        <w:tc>
          <w:tcPr>
            <w:tcW w:w="200" w:type="dxa"/>
            <w:vAlign w:val="bottom"/>
          </w:tcPr>
          <w:p>
            <w:pPr>
              <w:spacing w:after="0"/>
              <w:rPr>
                <w:sz w:val="16"/>
                <w:szCs w:val="16"/>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17.4% – 20.4% (19.1%)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-7620</wp:posOffset>
            </wp:positionV>
            <wp:extent cx="7715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ind w:left="3040" w:hanging="872"/>
        <w:spacing w:after="0"/>
        <w:tabs>
          <w:tab w:leader="none" w:pos="304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198.2</w:t>
      </w:r>
    </w:p>
    <w:p>
      <w:pPr>
        <w:spacing w:after="0" w:line="195"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$0.6 million in first lien debt, $0.1 million in second lien debt, and $0.6 million in equity and warrants were valued using the asset approach.</w:t>
      </w:r>
    </w:p>
    <w:p>
      <w:pPr>
        <w:ind w:left="520" w:hanging="512"/>
        <w:spacing w:after="0" w:line="189" w:lineRule="auto"/>
        <w:tabs>
          <w:tab w:leader="none" w:pos="52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weighted averages disclosed in the table above were weighted by their relative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713232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4"/>
          <w:szCs w:val="14"/>
          <w:color w:val="auto"/>
        </w:rPr>
        <w:t>The significant unobservable inputs used in the valuation of the Company’s investments are required rate of return, EBITDA multiples, and revenue multiples. Changes in any of these unobservable inputs could have a significant impact on the Company’s estimate of fair value. An increase (decrease) in the required rate of return will result in a lower (higher) estimate of fair value while an increase (decrease) in EBITDA or revenue multiples will result in a higher (lower) estimate of fair value.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4"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right"/>
        <w:ind w:right="52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Transactions With Affiliated Companies</w:t>
      </w:r>
    </w:p>
    <w:p>
      <w:pPr>
        <w:spacing w:after="0" w:line="11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4"/>
          <w:szCs w:val="14"/>
          <w:color w:val="auto"/>
        </w:rPr>
        <w:t>During the six months ended June 30, 2022, the Company had investments in portfolio companies designated as affiliates under the 1940 Act. Transactions with affiliates were as follows (dollars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9"/>
              </w:rPr>
              <w:t>Amount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gridSpan w:val="2"/>
          </w:tcPr>
          <w:p>
            <w:pPr>
              <w:ind w:left="40"/>
              <w:spacing w:after="0" w:line="111" w:lineRule="exact"/>
              <w:rPr>
                <w:sz w:val="20"/>
                <w:szCs w:val="20"/>
                <w:color w:val="auto"/>
              </w:rPr>
            </w:pPr>
            <w:r>
              <w:rPr>
                <w:rFonts w:ascii="Times New Roman" w:cs="Times New Roman" w:eastAsia="Times New Roman" w:hAnsi="Times New Roman"/>
                <w:sz w:val="11"/>
                <w:szCs w:val="11"/>
                <w:b w:val="1"/>
                <w:bCs w:val="1"/>
                <w:color w:val="auto"/>
              </w:rPr>
              <w:t>Interest, Fees or</w:t>
            </w:r>
          </w:p>
        </w:tc>
        <w:tc>
          <w:tcPr>
            <w:tcW w:w="220" w:type="dxa"/>
            <w:vAlign w:val="bottom"/>
          </w:tcPr>
          <w:p>
            <w:pPr>
              <w:spacing w:after="0"/>
              <w:rPr>
                <w:sz w:val="9"/>
                <w:szCs w:val="9"/>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center"/>
              <w:ind w:right="246"/>
              <w:spacing w:after="0"/>
              <w:rPr>
                <w:sz w:val="20"/>
                <w:szCs w:val="20"/>
                <w:color w:val="auto"/>
              </w:rPr>
            </w:pPr>
            <w:r>
              <w:rPr>
                <w:rFonts w:ascii="Times New Roman" w:cs="Times New Roman" w:eastAsia="Times New Roman" w:hAnsi="Times New Roman"/>
                <w:sz w:val="11"/>
                <w:szCs w:val="11"/>
                <w:b w:val="1"/>
                <w:bCs w:val="1"/>
                <w:color w:val="auto"/>
                <w:w w:val="97"/>
              </w:rPr>
              <w:t>Unrealized</w:t>
            </w:r>
          </w:p>
        </w:tc>
        <w:tc>
          <w:tcPr>
            <w:tcW w:w="100" w:type="dxa"/>
            <w:vAlign w:val="bottom"/>
          </w:tcPr>
          <w:p>
            <w:pPr>
              <w:spacing w:after="0"/>
              <w:rPr>
                <w:sz w:val="9"/>
                <w:szCs w:val="9"/>
                <w:color w:val="auto"/>
              </w:rPr>
            </w:pPr>
          </w:p>
        </w:tc>
        <w:tc>
          <w:tcPr>
            <w:tcW w:w="62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86"/>
              <w:spacing w:after="0" w:line="120" w:lineRule="exact"/>
              <w:rPr>
                <w:sz w:val="20"/>
                <w:szCs w:val="20"/>
                <w:color w:val="auto"/>
              </w:rPr>
            </w:pPr>
            <w:r>
              <w:rPr>
                <w:rFonts w:ascii="Times New Roman" w:cs="Times New Roman" w:eastAsia="Times New Roman" w:hAnsi="Times New Roman"/>
                <w:sz w:val="11"/>
                <w:szCs w:val="11"/>
                <w:b w:val="1"/>
                <w:bCs w:val="1"/>
                <w:color w:val="auto"/>
                <w:w w:val="97"/>
              </w:rPr>
              <w:t>Dividends</w:t>
            </w:r>
          </w:p>
        </w:tc>
        <w:tc>
          <w:tcPr>
            <w:tcW w:w="2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422"/>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00" w:type="dxa"/>
            <w:vAlign w:val="bottom"/>
          </w:tcPr>
          <w:p>
            <w:pPr>
              <w:spacing w:after="0"/>
              <w:rPr>
                <w:sz w:val="10"/>
                <w:szCs w:val="10"/>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Realized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00" w:type="dxa"/>
            <w:vAlign w:val="bottom"/>
            <w:gridSpan w:val="6"/>
            <w:vMerge w:val="restart"/>
          </w:tcPr>
          <w:p>
            <w:pPr>
              <w:ind w:left="400"/>
              <w:spacing w:after="0"/>
              <w:rPr>
                <w:sz w:val="20"/>
                <w:szCs w:val="20"/>
                <w:color w:val="auto"/>
              </w:rPr>
            </w:pPr>
            <w:r>
              <w:rPr>
                <w:rFonts w:ascii="Times New Roman" w:cs="Times New Roman" w:eastAsia="Times New Roman" w:hAnsi="Times New Roman"/>
                <w:sz w:val="11"/>
                <w:szCs w:val="11"/>
                <w:b w:val="1"/>
                <w:bCs w:val="1"/>
                <w:color w:val="auto"/>
              </w:rPr>
              <w:t xml:space="preserve">Company </w:t>
            </w:r>
            <w:r>
              <w:rPr>
                <w:rFonts w:ascii="Times New Roman" w:cs="Times New Roman" w:eastAsia="Times New Roman" w:hAnsi="Times New Roman"/>
                <w:sz w:val="14"/>
                <w:szCs w:val="14"/>
                <w:b w:val="1"/>
                <w:bCs w:val="1"/>
                <w:color w:val="auto"/>
                <w:vertAlign w:val="superscript"/>
              </w:rPr>
              <w:t>(4)</w:t>
            </w:r>
          </w:p>
        </w:tc>
        <w:tc>
          <w:tcPr>
            <w:tcW w:w="100" w:type="dxa"/>
            <w:vAlign w:val="bottom"/>
          </w:tcPr>
          <w:p>
            <w:pPr>
              <w:spacing w:after="0"/>
              <w:rPr>
                <w:sz w:val="9"/>
                <w:szCs w:val="9"/>
                <w:color w:val="auto"/>
              </w:rPr>
            </w:pPr>
          </w:p>
        </w:tc>
        <w:tc>
          <w:tcPr>
            <w:tcW w:w="2060" w:type="dxa"/>
            <w:vAlign w:val="bottom"/>
            <w:vMerge w:val="restart"/>
          </w:tcPr>
          <w:p>
            <w:pPr>
              <w:ind w:left="580"/>
              <w:spacing w:after="0"/>
              <w:rPr>
                <w:sz w:val="20"/>
                <w:szCs w:val="20"/>
                <w:color w:val="auto"/>
              </w:rPr>
            </w:pPr>
            <w:r>
              <w:rPr>
                <w:rFonts w:ascii="Times New Roman" w:cs="Times New Roman" w:eastAsia="Times New Roman" w:hAnsi="Times New Roman"/>
                <w:sz w:val="11"/>
                <w:szCs w:val="11"/>
                <w:b w:val="1"/>
                <w:bCs w:val="1"/>
                <w:color w:val="auto"/>
              </w:rPr>
              <w:t>Type of Investment</w:t>
            </w:r>
          </w:p>
        </w:tc>
        <w:tc>
          <w:tcPr>
            <w:tcW w:w="12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ind w:right="106"/>
              <w:spacing w:after="0" w:line="111" w:lineRule="exact"/>
              <w:rPr>
                <w:sz w:val="20"/>
                <w:szCs w:val="20"/>
                <w:color w:val="auto"/>
              </w:rPr>
            </w:pPr>
            <w:r>
              <w:rPr>
                <w:rFonts w:ascii="Times New Roman" w:cs="Times New Roman" w:eastAsia="Times New Roman" w:hAnsi="Times New Roman"/>
                <w:sz w:val="11"/>
                <w:szCs w:val="11"/>
                <w:b w:val="1"/>
                <w:bCs w:val="1"/>
                <w:color w:val="auto"/>
                <w:w w:val="97"/>
              </w:rPr>
              <w:t>Credited to</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center"/>
              <w:ind w:right="66"/>
              <w:spacing w:after="0" w:line="111" w:lineRule="exact"/>
              <w:rPr>
                <w:sz w:val="20"/>
                <w:szCs w:val="20"/>
                <w:color w:val="auto"/>
              </w:rPr>
            </w:pPr>
            <w:r>
              <w:rPr>
                <w:rFonts w:ascii="Times New Roman" w:cs="Times New Roman" w:eastAsia="Times New Roman" w:hAnsi="Times New Roman"/>
                <w:sz w:val="11"/>
                <w:szCs w:val="11"/>
                <w:b w:val="1"/>
                <w:bCs w:val="1"/>
                <w:color w:val="auto"/>
                <w:w w:val="90"/>
              </w:rPr>
              <w:t>2021</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center"/>
              <w:ind w:right="246"/>
              <w:spacing w:after="0" w:line="111" w:lineRule="exact"/>
              <w:rPr>
                <w:sz w:val="20"/>
                <w:szCs w:val="20"/>
                <w:color w:val="auto"/>
              </w:rPr>
            </w:pPr>
            <w:r>
              <w:rPr>
                <w:rFonts w:ascii="Times New Roman" w:cs="Times New Roman" w:eastAsia="Times New Roman" w:hAnsi="Times New Roman"/>
                <w:sz w:val="11"/>
                <w:szCs w:val="11"/>
                <w:b w:val="1"/>
                <w:bCs w:val="1"/>
                <w:color w:val="auto"/>
              </w:rPr>
              <w:t>Appreciation</w:t>
            </w:r>
          </w:p>
        </w:tc>
        <w:tc>
          <w:tcPr>
            <w:tcW w:w="100" w:type="dxa"/>
            <w:vAlign w:val="bottom"/>
          </w:tcPr>
          <w:p>
            <w:pPr>
              <w:spacing w:after="0"/>
              <w:rPr>
                <w:sz w:val="9"/>
                <w:szCs w:val="9"/>
                <w:color w:val="auto"/>
              </w:rPr>
            </w:pPr>
          </w:p>
        </w:tc>
        <w:tc>
          <w:tcPr>
            <w:tcW w:w="620" w:type="dxa"/>
            <w:vAlign w:val="bottom"/>
          </w:tcPr>
          <w:p>
            <w:pPr>
              <w:jc w:val="center"/>
              <w:ind w:right="66"/>
              <w:spacing w:after="0" w:line="111" w:lineRule="exact"/>
              <w:rPr>
                <w:sz w:val="20"/>
                <w:szCs w:val="20"/>
                <w:color w:val="auto"/>
              </w:rPr>
            </w:pPr>
            <w:r>
              <w:rPr>
                <w:rFonts w:ascii="Times New Roman" w:cs="Times New Roman" w:eastAsia="Times New Roman" w:hAnsi="Times New Roman"/>
                <w:sz w:val="11"/>
                <w:szCs w:val="11"/>
                <w:b w:val="1"/>
                <w:bCs w:val="1"/>
                <w:color w:val="auto"/>
                <w:w w:val="99"/>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1"/>
                <w:szCs w:val="11"/>
                <w:b w:val="1"/>
                <w:bCs w:val="1"/>
                <w:color w:val="auto"/>
                <w:w w:val="90"/>
              </w:rPr>
              <w:t xml:space="preserve">Income </w:t>
            </w:r>
            <w:r>
              <w:rPr>
                <w:rFonts w:ascii="Times New Roman" w:cs="Times New Roman" w:eastAsia="Times New Roman" w:hAnsi="Times New Roman"/>
                <w:sz w:val="14"/>
                <w:szCs w:val="14"/>
                <w:b w:val="1"/>
                <w:bCs w:val="1"/>
                <w:color w:val="auto"/>
                <w:w w:val="90"/>
                <w:vertAlign w:val="superscript"/>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Fair Value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6"/>
              <w:spacing w:after="0" w:line="149" w:lineRule="exact"/>
              <w:rPr>
                <w:sz w:val="20"/>
                <w:szCs w:val="20"/>
                <w:color w:val="auto"/>
              </w:rPr>
            </w:pPr>
            <w:r>
              <w:rPr>
                <w:rFonts w:ascii="Times New Roman" w:cs="Times New Roman" w:eastAsia="Times New Roman" w:hAnsi="Times New Roman"/>
                <w:sz w:val="11"/>
                <w:szCs w:val="11"/>
                <w:b w:val="1"/>
                <w:bCs w:val="1"/>
                <w:color w:val="auto"/>
                <w:w w:val="90"/>
              </w:rPr>
              <w:t xml:space="preserve">Additions </w:t>
            </w:r>
            <w:r>
              <w:rPr>
                <w:rFonts w:ascii="Times New Roman" w:cs="Times New Roman" w:eastAsia="Times New Roman" w:hAnsi="Times New Roman"/>
                <w:sz w:val="14"/>
                <w:szCs w:val="14"/>
                <w:b w:val="1"/>
                <w:bCs w:val="1"/>
                <w:color w:val="auto"/>
                <w:w w:val="90"/>
                <w:vertAlign w:val="superscript"/>
              </w:rPr>
              <w:t>(2)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2"/>
              <w:spacing w:after="0" w:line="149" w:lineRule="exact"/>
              <w:rPr>
                <w:sz w:val="20"/>
                <w:szCs w:val="20"/>
                <w:color w:val="auto"/>
              </w:rPr>
            </w:pPr>
            <w:r>
              <w:rPr>
                <w:rFonts w:ascii="Times New Roman" w:cs="Times New Roman" w:eastAsia="Times New Roman" w:hAnsi="Times New Roman"/>
                <w:sz w:val="11"/>
                <w:szCs w:val="11"/>
                <w:b w:val="1"/>
                <w:bCs w:val="1"/>
                <w:color w:val="auto"/>
                <w:w w:val="90"/>
              </w:rPr>
              <w:t xml:space="preserve">Reductions </w:t>
            </w:r>
            <w:r>
              <w:rPr>
                <w:rFonts w:ascii="Times New Roman" w:cs="Times New Roman" w:eastAsia="Times New Roman" w:hAnsi="Times New Roman"/>
                <w:sz w:val="14"/>
                <w:szCs w:val="14"/>
                <w:b w:val="1"/>
                <w:bCs w:val="1"/>
                <w:color w:val="auto"/>
                <w:w w:val="90"/>
                <w:vertAlign w:val="superscript"/>
              </w:rPr>
              <w:t>(3)</w:t>
            </w:r>
          </w:p>
        </w:tc>
        <w:tc>
          <w:tcPr>
            <w:tcW w:w="100" w:type="dxa"/>
            <w:vAlign w:val="bottom"/>
          </w:tcPr>
          <w:p>
            <w:pPr>
              <w:spacing w:after="0"/>
              <w:rPr>
                <w:sz w:val="12"/>
                <w:szCs w:val="12"/>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Gain/(Loss)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06"/>
              <w:spacing w:after="0"/>
              <w:rPr>
                <w:sz w:val="20"/>
                <w:szCs w:val="20"/>
                <w:color w:val="auto"/>
              </w:rPr>
            </w:pPr>
            <w:r>
              <w:rPr>
                <w:rFonts w:ascii="Times New Roman" w:cs="Times New Roman" w:eastAsia="Times New Roman" w:hAnsi="Times New Roman"/>
                <w:sz w:val="11"/>
                <w:szCs w:val="11"/>
                <w:b w:val="1"/>
                <w:bCs w:val="1"/>
                <w:color w:val="auto"/>
                <w:w w:val="97"/>
              </w:rPr>
              <w:t>(Depreciation)</w:t>
            </w:r>
          </w:p>
        </w:tc>
        <w:tc>
          <w:tcPr>
            <w:tcW w:w="100" w:type="dxa"/>
            <w:vAlign w:val="bottom"/>
          </w:tcPr>
          <w:p>
            <w:pPr>
              <w:spacing w:after="0"/>
              <w:rPr>
                <w:sz w:val="12"/>
                <w:szCs w:val="12"/>
                <w:color w:val="auto"/>
              </w:rPr>
            </w:pPr>
          </w:p>
        </w:tc>
        <w:tc>
          <w:tcPr>
            <w:tcW w:w="6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5"/>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auto"/>
              <w:bottom w:val="single" w:sz="8" w:color="auto"/>
            </w:tcBorders>
            <w:vMerge w:val="restart"/>
            <w:shd w:val="clear" w:color="auto" w:fill="CFF0FC"/>
          </w:tcPr>
          <w:p>
            <w:pPr>
              <w:spacing w:after="0"/>
              <w:rPr>
                <w:sz w:val="5"/>
                <w:szCs w:val="5"/>
                <w:color w:val="auto"/>
              </w:rPr>
            </w:pPr>
          </w:p>
        </w:tc>
        <w:tc>
          <w:tcPr>
            <w:tcW w:w="940" w:type="dxa"/>
            <w:vAlign w:val="bottom"/>
            <w:tcBorders>
              <w:top w:val="single" w:sz="8" w:color="auto"/>
              <w:bottom w:val="single" w:sz="8" w:color="auto"/>
            </w:tcBorders>
            <w:gridSpan w:val="2"/>
            <w:vMerge w:val="restart"/>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i w:val="1"/>
                <w:iCs w:val="1"/>
                <w:color w:val="auto"/>
                <w:w w:val="98"/>
              </w:rPr>
              <w:t>Affiliate investments</w:t>
            </w:r>
          </w:p>
        </w:tc>
        <w:tc>
          <w:tcPr>
            <w:tcW w:w="80" w:type="dxa"/>
            <w:vAlign w:val="bottom"/>
            <w:tcBorders>
              <w:top w:val="single" w:sz="8" w:color="auto"/>
              <w:bottom w:val="single" w:sz="8" w:color="auto"/>
            </w:tcBorders>
            <w:shd w:val="clear" w:color="auto" w:fill="CFF0FC"/>
          </w:tcPr>
          <w:p>
            <w:pPr>
              <w:jc w:val="right"/>
              <w:spacing w:after="0" w:line="48" w:lineRule="exact"/>
              <w:rPr>
                <w:sz w:val="20"/>
                <w:szCs w:val="20"/>
                <w:color w:val="auto"/>
              </w:rPr>
            </w:pPr>
            <w:r>
              <w:rPr>
                <w:rFonts w:ascii="Times New Roman" w:cs="Times New Roman" w:eastAsia="Times New Roman" w:hAnsi="Times New Roman"/>
                <w:sz w:val="5"/>
                <w:szCs w:val="5"/>
                <w:b w:val="1"/>
                <w:bCs w:val="1"/>
                <w:i w:val="1"/>
                <w:iCs w:val="1"/>
                <w:color w:val="auto"/>
              </w:rPr>
              <w:t>(6)</w:t>
            </w:r>
          </w:p>
        </w:tc>
        <w:tc>
          <w:tcPr>
            <w:tcW w:w="380" w:type="dxa"/>
            <w:vAlign w:val="bottom"/>
            <w:tcBorders>
              <w:top w:val="single" w:sz="8" w:color="auto"/>
              <w:bottom w:val="single" w:sz="8" w:color="auto"/>
            </w:tcBorders>
            <w:gridSpan w:val="3"/>
            <w:vMerge w:val="restart"/>
            <w:shd w:val="clear" w:color="auto" w:fill="CFF0FC"/>
          </w:tcPr>
          <w:p>
            <w:pPr>
              <w:spacing w:after="0"/>
              <w:rPr>
                <w:sz w:val="5"/>
                <w:szCs w:val="5"/>
                <w:color w:val="auto"/>
              </w:rPr>
            </w:pPr>
          </w:p>
        </w:tc>
        <w:tc>
          <w:tcPr>
            <w:tcW w:w="100" w:type="dxa"/>
            <w:vAlign w:val="bottom"/>
            <w:tcBorders>
              <w:bottom w:val="single" w:sz="8" w:color="CFF0FC"/>
            </w:tcBorders>
            <w:shd w:val="clear" w:color="auto" w:fill="CFF0FC"/>
          </w:tcPr>
          <w:p>
            <w:pPr>
              <w:spacing w:after="0"/>
              <w:rPr>
                <w:sz w:val="5"/>
                <w:szCs w:val="5"/>
                <w:color w:val="auto"/>
              </w:rPr>
            </w:pPr>
          </w:p>
        </w:tc>
        <w:tc>
          <w:tcPr>
            <w:tcW w:w="2060" w:type="dxa"/>
            <w:vAlign w:val="bottom"/>
            <w:tcBorders>
              <w:top w:val="single" w:sz="8" w:color="auto"/>
              <w:bottom w:val="single" w:sz="8" w:color="CFF0FC"/>
            </w:tcBorders>
            <w:shd w:val="clear" w:color="auto" w:fill="CFF0FC"/>
          </w:tcPr>
          <w:p>
            <w:pPr>
              <w:spacing w:after="0"/>
              <w:rPr>
                <w:sz w:val="5"/>
                <w:szCs w:val="5"/>
                <w:color w:val="auto"/>
              </w:rPr>
            </w:pPr>
          </w:p>
        </w:tc>
        <w:tc>
          <w:tcPr>
            <w:tcW w:w="120" w:type="dxa"/>
            <w:vAlign w:val="bottom"/>
            <w:tcBorders>
              <w:bottom w:val="single" w:sz="8" w:color="CFF0FC"/>
            </w:tcBorders>
            <w:shd w:val="clear" w:color="auto" w:fill="CFF0FC"/>
          </w:tcPr>
          <w:p>
            <w:pPr>
              <w:spacing w:after="0"/>
              <w:rPr>
                <w:sz w:val="5"/>
                <w:szCs w:val="5"/>
                <w:color w:val="auto"/>
              </w:rPr>
            </w:pPr>
          </w:p>
        </w:tc>
        <w:tc>
          <w:tcPr>
            <w:tcW w:w="80" w:type="dxa"/>
            <w:vAlign w:val="bottom"/>
            <w:tcBorders>
              <w:top w:val="single" w:sz="8" w:color="auto"/>
              <w:bottom w:val="single" w:sz="8" w:color="CFF0FC"/>
            </w:tcBorders>
            <w:shd w:val="clear" w:color="auto" w:fill="CFF0FC"/>
          </w:tcPr>
          <w:p>
            <w:pPr>
              <w:spacing w:after="0"/>
              <w:rPr>
                <w:sz w:val="5"/>
                <w:szCs w:val="5"/>
                <w:color w:val="auto"/>
              </w:rPr>
            </w:pPr>
          </w:p>
        </w:tc>
        <w:tc>
          <w:tcPr>
            <w:tcW w:w="480" w:type="dxa"/>
            <w:vAlign w:val="bottom"/>
            <w:tcBorders>
              <w:top w:val="single" w:sz="8" w:color="auto"/>
              <w:bottom w:val="single" w:sz="8" w:color="CFF0FC"/>
            </w:tcBorders>
            <w:shd w:val="clear" w:color="auto" w:fill="CFF0FC"/>
          </w:tcPr>
          <w:p>
            <w:pPr>
              <w:spacing w:after="0"/>
              <w:rPr>
                <w:sz w:val="5"/>
                <w:szCs w:val="5"/>
                <w:color w:val="auto"/>
              </w:rPr>
            </w:pPr>
          </w:p>
        </w:tc>
        <w:tc>
          <w:tcPr>
            <w:tcW w:w="220" w:type="dxa"/>
            <w:vAlign w:val="bottom"/>
            <w:tcBorders>
              <w:bottom w:val="single" w:sz="8" w:color="CFF0FC"/>
            </w:tcBorders>
            <w:shd w:val="clear" w:color="auto" w:fill="CFF0FC"/>
          </w:tcPr>
          <w:p>
            <w:pPr>
              <w:spacing w:after="0"/>
              <w:rPr>
                <w:sz w:val="5"/>
                <w:szCs w:val="5"/>
                <w:color w:val="auto"/>
              </w:rPr>
            </w:pPr>
          </w:p>
        </w:tc>
        <w:tc>
          <w:tcPr>
            <w:tcW w:w="120" w:type="dxa"/>
            <w:vAlign w:val="bottom"/>
            <w:tcBorders>
              <w:top w:val="single" w:sz="8" w:color="auto"/>
              <w:bottom w:val="single" w:sz="8" w:color="CFF0FC"/>
            </w:tcBorders>
            <w:shd w:val="clear" w:color="auto" w:fill="CFF0FC"/>
          </w:tcPr>
          <w:p>
            <w:pPr>
              <w:spacing w:after="0"/>
              <w:rPr>
                <w:sz w:val="5"/>
                <w:szCs w:val="5"/>
                <w:color w:val="auto"/>
              </w:rPr>
            </w:pPr>
          </w:p>
        </w:tc>
        <w:tc>
          <w:tcPr>
            <w:tcW w:w="720" w:type="dxa"/>
            <w:vAlign w:val="bottom"/>
            <w:tcBorders>
              <w:top w:val="single" w:sz="8" w:color="auto"/>
              <w:bottom w:val="single" w:sz="8" w:color="CFF0FC"/>
            </w:tcBorders>
            <w:shd w:val="clear" w:color="auto" w:fill="CFF0FC"/>
          </w:tcPr>
          <w:p>
            <w:pPr>
              <w:spacing w:after="0"/>
              <w:rPr>
                <w:sz w:val="5"/>
                <w:szCs w:val="5"/>
                <w:color w:val="auto"/>
              </w:rPr>
            </w:pPr>
          </w:p>
        </w:tc>
        <w:tc>
          <w:tcPr>
            <w:tcW w:w="220" w:type="dxa"/>
            <w:vAlign w:val="bottom"/>
            <w:tcBorders>
              <w:bottom w:val="single" w:sz="8" w:color="CFF0FC"/>
            </w:tcBorders>
            <w:shd w:val="clear" w:color="auto" w:fill="CFF0FC"/>
          </w:tcPr>
          <w:p>
            <w:pPr>
              <w:spacing w:after="0"/>
              <w:rPr>
                <w:sz w:val="5"/>
                <w:szCs w:val="5"/>
                <w:color w:val="auto"/>
              </w:rPr>
            </w:pPr>
          </w:p>
        </w:tc>
        <w:tc>
          <w:tcPr>
            <w:tcW w:w="100" w:type="dxa"/>
            <w:vAlign w:val="bottom"/>
            <w:tcBorders>
              <w:top w:val="single" w:sz="8" w:color="auto"/>
              <w:bottom w:val="single" w:sz="8" w:color="CFF0FC"/>
            </w:tcBorders>
            <w:shd w:val="clear" w:color="auto" w:fill="CFF0FC"/>
          </w:tcPr>
          <w:p>
            <w:pPr>
              <w:spacing w:after="0"/>
              <w:rPr>
                <w:sz w:val="5"/>
                <w:szCs w:val="5"/>
                <w:color w:val="auto"/>
              </w:rPr>
            </w:pPr>
          </w:p>
        </w:tc>
        <w:tc>
          <w:tcPr>
            <w:tcW w:w="640" w:type="dxa"/>
            <w:vAlign w:val="bottom"/>
            <w:tcBorders>
              <w:top w:val="single" w:sz="8" w:color="auto"/>
              <w:bottom w:val="single" w:sz="8" w:color="CFF0FC"/>
            </w:tcBorders>
            <w:shd w:val="clear" w:color="auto" w:fill="CFF0FC"/>
          </w:tcPr>
          <w:p>
            <w:pPr>
              <w:spacing w:after="0"/>
              <w:rPr>
                <w:sz w:val="5"/>
                <w:szCs w:val="5"/>
                <w:color w:val="auto"/>
              </w:rPr>
            </w:pPr>
          </w:p>
        </w:tc>
        <w:tc>
          <w:tcPr>
            <w:tcW w:w="200" w:type="dxa"/>
            <w:vAlign w:val="bottom"/>
            <w:tcBorders>
              <w:bottom w:val="single" w:sz="8" w:color="CFF0FC"/>
            </w:tcBorders>
            <w:shd w:val="clear" w:color="auto" w:fill="CFF0FC"/>
          </w:tcPr>
          <w:p>
            <w:pPr>
              <w:spacing w:after="0"/>
              <w:rPr>
                <w:sz w:val="5"/>
                <w:szCs w:val="5"/>
                <w:color w:val="auto"/>
              </w:rPr>
            </w:pPr>
          </w:p>
        </w:tc>
        <w:tc>
          <w:tcPr>
            <w:tcW w:w="80" w:type="dxa"/>
            <w:vAlign w:val="bottom"/>
            <w:tcBorders>
              <w:top w:val="single" w:sz="8" w:color="auto"/>
              <w:bottom w:val="single" w:sz="8" w:color="CFF0FC"/>
            </w:tcBorders>
            <w:shd w:val="clear" w:color="auto" w:fill="CFF0FC"/>
          </w:tcPr>
          <w:p>
            <w:pPr>
              <w:spacing w:after="0"/>
              <w:rPr>
                <w:sz w:val="5"/>
                <w:szCs w:val="5"/>
                <w:color w:val="auto"/>
              </w:rPr>
            </w:pPr>
          </w:p>
        </w:tc>
        <w:tc>
          <w:tcPr>
            <w:tcW w:w="640" w:type="dxa"/>
            <w:vAlign w:val="bottom"/>
            <w:tcBorders>
              <w:top w:val="single" w:sz="8" w:color="auto"/>
              <w:bottom w:val="single" w:sz="8" w:color="CFF0FC"/>
            </w:tcBorders>
            <w:shd w:val="clear" w:color="auto" w:fill="CFF0FC"/>
          </w:tcPr>
          <w:p>
            <w:pPr>
              <w:spacing w:after="0"/>
              <w:rPr>
                <w:sz w:val="5"/>
                <w:szCs w:val="5"/>
                <w:color w:val="auto"/>
              </w:rPr>
            </w:pPr>
          </w:p>
        </w:tc>
        <w:tc>
          <w:tcPr>
            <w:tcW w:w="200" w:type="dxa"/>
            <w:vAlign w:val="bottom"/>
            <w:tcBorders>
              <w:bottom w:val="single" w:sz="8" w:color="CFF0FC"/>
            </w:tcBorders>
            <w:shd w:val="clear" w:color="auto" w:fill="CFF0FC"/>
          </w:tcPr>
          <w:p>
            <w:pPr>
              <w:spacing w:after="0"/>
              <w:rPr>
                <w:sz w:val="5"/>
                <w:szCs w:val="5"/>
                <w:color w:val="auto"/>
              </w:rPr>
            </w:pPr>
          </w:p>
        </w:tc>
        <w:tc>
          <w:tcPr>
            <w:tcW w:w="80" w:type="dxa"/>
            <w:vAlign w:val="bottom"/>
            <w:tcBorders>
              <w:top w:val="single" w:sz="8" w:color="auto"/>
              <w:bottom w:val="single" w:sz="8" w:color="CFF0FC"/>
            </w:tcBorders>
            <w:shd w:val="clear" w:color="auto" w:fill="CFF0FC"/>
          </w:tcPr>
          <w:p>
            <w:pPr>
              <w:spacing w:after="0"/>
              <w:rPr>
                <w:sz w:val="5"/>
                <w:szCs w:val="5"/>
                <w:color w:val="auto"/>
              </w:rPr>
            </w:pPr>
          </w:p>
        </w:tc>
        <w:tc>
          <w:tcPr>
            <w:tcW w:w="700" w:type="dxa"/>
            <w:vAlign w:val="bottom"/>
            <w:tcBorders>
              <w:top w:val="single" w:sz="8" w:color="auto"/>
              <w:bottom w:val="single" w:sz="8" w:color="CFF0FC"/>
            </w:tcBorders>
            <w:shd w:val="clear" w:color="auto" w:fill="CFF0FC"/>
          </w:tcPr>
          <w:p>
            <w:pPr>
              <w:spacing w:after="0"/>
              <w:rPr>
                <w:sz w:val="5"/>
                <w:szCs w:val="5"/>
                <w:color w:val="auto"/>
              </w:rPr>
            </w:pPr>
          </w:p>
        </w:tc>
        <w:tc>
          <w:tcPr>
            <w:tcW w:w="200" w:type="dxa"/>
            <w:vAlign w:val="bottom"/>
            <w:tcBorders>
              <w:bottom w:val="single" w:sz="8" w:color="CFF0FC"/>
            </w:tcBorders>
            <w:shd w:val="clear" w:color="auto" w:fill="CFF0FC"/>
          </w:tcPr>
          <w:p>
            <w:pPr>
              <w:spacing w:after="0"/>
              <w:rPr>
                <w:sz w:val="5"/>
                <w:szCs w:val="5"/>
                <w:color w:val="auto"/>
              </w:rPr>
            </w:pPr>
          </w:p>
        </w:tc>
        <w:tc>
          <w:tcPr>
            <w:tcW w:w="100" w:type="dxa"/>
            <w:vAlign w:val="bottom"/>
            <w:tcBorders>
              <w:top w:val="single" w:sz="8" w:color="auto"/>
              <w:bottom w:val="single" w:sz="8" w:color="CFF0FC"/>
            </w:tcBorders>
            <w:shd w:val="clear" w:color="auto" w:fill="CFF0FC"/>
          </w:tcPr>
          <w:p>
            <w:pPr>
              <w:spacing w:after="0"/>
              <w:rPr>
                <w:sz w:val="5"/>
                <w:szCs w:val="5"/>
                <w:color w:val="auto"/>
              </w:rPr>
            </w:pPr>
          </w:p>
        </w:tc>
        <w:tc>
          <w:tcPr>
            <w:tcW w:w="700" w:type="dxa"/>
            <w:vAlign w:val="bottom"/>
            <w:tcBorders>
              <w:top w:val="single" w:sz="8" w:color="auto"/>
              <w:bottom w:val="single" w:sz="8" w:color="CFF0FC"/>
            </w:tcBorders>
            <w:shd w:val="clear" w:color="auto" w:fill="CFF0FC"/>
          </w:tcPr>
          <w:p>
            <w:pPr>
              <w:spacing w:after="0"/>
              <w:rPr>
                <w:sz w:val="5"/>
                <w:szCs w:val="5"/>
                <w:color w:val="auto"/>
              </w:rPr>
            </w:pPr>
          </w:p>
        </w:tc>
        <w:tc>
          <w:tcPr>
            <w:tcW w:w="200" w:type="dxa"/>
            <w:vAlign w:val="bottom"/>
            <w:tcBorders>
              <w:bottom w:val="single" w:sz="8" w:color="CFF0FC"/>
            </w:tcBorders>
            <w:shd w:val="clear" w:color="auto" w:fill="CFF0FC"/>
          </w:tcPr>
          <w:p>
            <w:pPr>
              <w:spacing w:after="0"/>
              <w:rPr>
                <w:sz w:val="5"/>
                <w:szCs w:val="5"/>
                <w:color w:val="auto"/>
              </w:rPr>
            </w:pPr>
          </w:p>
        </w:tc>
        <w:tc>
          <w:tcPr>
            <w:tcW w:w="80" w:type="dxa"/>
            <w:vAlign w:val="bottom"/>
            <w:tcBorders>
              <w:top w:val="single" w:sz="8" w:color="auto"/>
              <w:bottom w:val="single" w:sz="8" w:color="CFF0FC"/>
            </w:tcBorders>
            <w:shd w:val="clear" w:color="auto" w:fill="CFF0FC"/>
          </w:tcPr>
          <w:p>
            <w:pPr>
              <w:spacing w:after="0"/>
              <w:rPr>
                <w:sz w:val="5"/>
                <w:szCs w:val="5"/>
                <w:color w:val="auto"/>
              </w:rPr>
            </w:pPr>
          </w:p>
        </w:tc>
        <w:tc>
          <w:tcPr>
            <w:tcW w:w="760" w:type="dxa"/>
            <w:vAlign w:val="bottom"/>
            <w:tcBorders>
              <w:top w:val="single" w:sz="8" w:color="auto"/>
              <w:bottom w:val="single" w:sz="8" w:color="CFF0FC"/>
            </w:tcBorders>
            <w:shd w:val="clear" w:color="auto" w:fill="CFF0FC"/>
          </w:tcPr>
          <w:p>
            <w:pPr>
              <w:spacing w:after="0"/>
              <w:rPr>
                <w:sz w:val="5"/>
                <w:szCs w:val="5"/>
                <w:color w:val="auto"/>
              </w:rPr>
            </w:pPr>
          </w:p>
        </w:tc>
        <w:tc>
          <w:tcPr>
            <w:tcW w:w="200" w:type="dxa"/>
            <w:vAlign w:val="bottom"/>
            <w:tcBorders>
              <w:bottom w:val="single" w:sz="8" w:color="CFF0FC"/>
            </w:tcBorders>
            <w:shd w:val="clear" w:color="auto" w:fill="CFF0FC"/>
          </w:tcPr>
          <w:p>
            <w:pPr>
              <w:spacing w:after="0"/>
              <w:rPr>
                <w:sz w:val="5"/>
                <w:szCs w:val="5"/>
                <w:color w:val="auto"/>
              </w:rPr>
            </w:pPr>
          </w:p>
        </w:tc>
        <w:tc>
          <w:tcPr>
            <w:tcW w:w="100" w:type="dxa"/>
            <w:vAlign w:val="bottom"/>
            <w:tcBorders>
              <w:top w:val="single" w:sz="8" w:color="auto"/>
              <w:bottom w:val="single" w:sz="8" w:color="CFF0FC"/>
            </w:tcBorders>
            <w:shd w:val="clear" w:color="auto" w:fill="CFF0FC"/>
          </w:tcPr>
          <w:p>
            <w:pPr>
              <w:spacing w:after="0"/>
              <w:rPr>
                <w:sz w:val="5"/>
                <w:szCs w:val="5"/>
                <w:color w:val="auto"/>
              </w:rPr>
            </w:pPr>
          </w:p>
        </w:tc>
        <w:tc>
          <w:tcPr>
            <w:tcW w:w="620" w:type="dxa"/>
            <w:vAlign w:val="bottom"/>
            <w:tcBorders>
              <w:top w:val="single" w:sz="8" w:color="auto"/>
              <w:bottom w:val="single" w:sz="8" w:color="CFF0FC"/>
            </w:tcBorders>
            <w:shd w:val="clear" w:color="auto" w:fill="CFF0FC"/>
          </w:tcPr>
          <w:p>
            <w:pPr>
              <w:spacing w:after="0"/>
              <w:rPr>
                <w:sz w:val="5"/>
                <w:szCs w:val="5"/>
                <w:color w:val="auto"/>
              </w:rPr>
            </w:pPr>
          </w:p>
        </w:tc>
        <w:tc>
          <w:tcPr>
            <w:tcW w:w="100" w:type="dxa"/>
            <w:vAlign w:val="bottom"/>
            <w:tcBorders>
              <w:bottom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Borders>
              <w:bottom w:val="single" w:sz="8" w:color="CFF0FC"/>
            </w:tcBorders>
            <w:vMerge w:val="continue"/>
            <w:shd w:val="clear" w:color="auto" w:fill="CFF0FC"/>
          </w:tcPr>
          <w:p>
            <w:pPr>
              <w:spacing w:after="0"/>
              <w:rPr>
                <w:sz w:val="2"/>
                <w:szCs w:val="2"/>
                <w:color w:val="auto"/>
              </w:rPr>
            </w:pPr>
          </w:p>
        </w:tc>
        <w:tc>
          <w:tcPr>
            <w:tcW w:w="940" w:type="dxa"/>
            <w:vAlign w:val="bottom"/>
            <w:tcBorders>
              <w:bottom w:val="single" w:sz="8" w:color="auto"/>
            </w:tcBorders>
            <w:gridSpan w:val="2"/>
            <w:vMerge w:val="continue"/>
            <w:shd w:val="clear" w:color="auto" w:fill="CFF0FC"/>
          </w:tcPr>
          <w:p>
            <w:pPr>
              <w:spacing w:after="0"/>
              <w:rPr>
                <w:sz w:val="2"/>
                <w:szCs w:val="2"/>
                <w:color w:val="auto"/>
              </w:rPr>
            </w:pPr>
          </w:p>
        </w:tc>
        <w:tc>
          <w:tcPr>
            <w:tcW w:w="80" w:type="dxa"/>
            <w:vAlign w:val="bottom"/>
            <w:tcBorders>
              <w:bottom w:val="single" w:sz="8" w:color="CFF0FC"/>
            </w:tcBorders>
            <w:shd w:val="clear" w:color="auto" w:fill="CFF0FC"/>
          </w:tcPr>
          <w:p>
            <w:pPr>
              <w:spacing w:after="0"/>
              <w:rPr>
                <w:sz w:val="2"/>
                <w:szCs w:val="2"/>
                <w:color w:val="auto"/>
              </w:rPr>
            </w:pPr>
          </w:p>
        </w:tc>
        <w:tc>
          <w:tcPr>
            <w:tcW w:w="380" w:type="dxa"/>
            <w:vAlign w:val="bottom"/>
            <w:tcBorders>
              <w:bottom w:val="single" w:sz="8" w:color="CFF0FC"/>
            </w:tcBorders>
            <w:gridSpan w:val="3"/>
            <w:vMerge w:val="continue"/>
            <w:shd w:val="clear" w:color="auto" w:fill="CFF0FC"/>
          </w:tcPr>
          <w:p>
            <w:pPr>
              <w:spacing w:after="0"/>
              <w:rPr>
                <w:sz w:val="2"/>
                <w:szCs w:val="2"/>
                <w:color w:val="auto"/>
              </w:rPr>
            </w:pPr>
          </w:p>
        </w:tc>
        <w:tc>
          <w:tcPr>
            <w:tcW w:w="100" w:type="dxa"/>
            <w:vAlign w:val="bottom"/>
            <w:tcBorders>
              <w:bottom w:val="single" w:sz="8" w:color="CFF0FC"/>
            </w:tcBorders>
            <w:shd w:val="clear" w:color="auto" w:fill="CFF0FC"/>
          </w:tcPr>
          <w:p>
            <w:pPr>
              <w:spacing w:after="0"/>
              <w:rPr>
                <w:sz w:val="2"/>
                <w:szCs w:val="2"/>
                <w:color w:val="auto"/>
              </w:rPr>
            </w:pPr>
          </w:p>
        </w:tc>
        <w:tc>
          <w:tcPr>
            <w:tcW w:w="2060" w:type="dxa"/>
            <w:vAlign w:val="bottom"/>
            <w:tcBorders>
              <w:bottom w:val="single" w:sz="8" w:color="CFF0FC"/>
            </w:tcBorders>
            <w:shd w:val="clear" w:color="auto" w:fill="CFF0FC"/>
          </w:tcPr>
          <w:p>
            <w:pPr>
              <w:spacing w:after="0"/>
              <w:rPr>
                <w:sz w:val="2"/>
                <w:szCs w:val="2"/>
                <w:color w:val="auto"/>
              </w:rPr>
            </w:pPr>
          </w:p>
        </w:tc>
        <w:tc>
          <w:tcPr>
            <w:tcW w:w="120" w:type="dxa"/>
            <w:vAlign w:val="bottom"/>
            <w:tcBorders>
              <w:bottom w:val="single" w:sz="8" w:color="CFF0FC"/>
            </w:tcBorders>
            <w:shd w:val="clear" w:color="auto" w:fill="CFF0FC"/>
          </w:tcPr>
          <w:p>
            <w:pPr>
              <w:spacing w:after="0"/>
              <w:rPr>
                <w:sz w:val="2"/>
                <w:szCs w:val="2"/>
                <w:color w:val="auto"/>
              </w:rPr>
            </w:pPr>
          </w:p>
        </w:tc>
        <w:tc>
          <w:tcPr>
            <w:tcW w:w="80" w:type="dxa"/>
            <w:vAlign w:val="bottom"/>
            <w:tcBorders>
              <w:bottom w:val="single" w:sz="8" w:color="CFF0FC"/>
            </w:tcBorders>
            <w:shd w:val="clear" w:color="auto" w:fill="CFF0FC"/>
          </w:tcPr>
          <w:p>
            <w:pPr>
              <w:spacing w:after="0"/>
              <w:rPr>
                <w:sz w:val="2"/>
                <w:szCs w:val="2"/>
                <w:color w:val="auto"/>
              </w:rPr>
            </w:pPr>
          </w:p>
        </w:tc>
        <w:tc>
          <w:tcPr>
            <w:tcW w:w="480" w:type="dxa"/>
            <w:vAlign w:val="bottom"/>
            <w:tcBorders>
              <w:bottom w:val="single" w:sz="8" w:color="CFF0FC"/>
            </w:tcBorders>
            <w:shd w:val="clear" w:color="auto" w:fill="CFF0FC"/>
          </w:tcPr>
          <w:p>
            <w:pPr>
              <w:spacing w:after="0"/>
              <w:rPr>
                <w:sz w:val="2"/>
                <w:szCs w:val="2"/>
                <w:color w:val="auto"/>
              </w:rPr>
            </w:pPr>
          </w:p>
        </w:tc>
        <w:tc>
          <w:tcPr>
            <w:tcW w:w="220" w:type="dxa"/>
            <w:vAlign w:val="bottom"/>
            <w:tcBorders>
              <w:bottom w:val="single" w:sz="8" w:color="CFF0FC"/>
            </w:tcBorders>
            <w:shd w:val="clear" w:color="auto" w:fill="CFF0FC"/>
          </w:tcPr>
          <w:p>
            <w:pPr>
              <w:spacing w:after="0"/>
              <w:rPr>
                <w:sz w:val="2"/>
                <w:szCs w:val="2"/>
                <w:color w:val="auto"/>
              </w:rPr>
            </w:pPr>
          </w:p>
        </w:tc>
        <w:tc>
          <w:tcPr>
            <w:tcW w:w="120" w:type="dxa"/>
            <w:vAlign w:val="bottom"/>
            <w:tcBorders>
              <w:bottom w:val="single" w:sz="8" w:color="CFF0FC"/>
            </w:tcBorders>
            <w:shd w:val="clear" w:color="auto" w:fill="CFF0FC"/>
          </w:tcPr>
          <w:p>
            <w:pPr>
              <w:spacing w:after="0"/>
              <w:rPr>
                <w:sz w:val="2"/>
                <w:szCs w:val="2"/>
                <w:color w:val="auto"/>
              </w:rPr>
            </w:pPr>
          </w:p>
        </w:tc>
        <w:tc>
          <w:tcPr>
            <w:tcW w:w="720" w:type="dxa"/>
            <w:vAlign w:val="bottom"/>
            <w:tcBorders>
              <w:bottom w:val="single" w:sz="8" w:color="CFF0FC"/>
            </w:tcBorders>
            <w:shd w:val="clear" w:color="auto" w:fill="CFF0FC"/>
          </w:tcPr>
          <w:p>
            <w:pPr>
              <w:spacing w:after="0"/>
              <w:rPr>
                <w:sz w:val="2"/>
                <w:szCs w:val="2"/>
                <w:color w:val="auto"/>
              </w:rPr>
            </w:pPr>
          </w:p>
        </w:tc>
        <w:tc>
          <w:tcPr>
            <w:tcW w:w="220" w:type="dxa"/>
            <w:vAlign w:val="bottom"/>
            <w:tcBorders>
              <w:bottom w:val="single" w:sz="8" w:color="CFF0FC"/>
            </w:tcBorders>
            <w:shd w:val="clear" w:color="auto" w:fill="CFF0FC"/>
          </w:tcPr>
          <w:p>
            <w:pPr>
              <w:spacing w:after="0"/>
              <w:rPr>
                <w:sz w:val="2"/>
                <w:szCs w:val="2"/>
                <w:color w:val="auto"/>
              </w:rPr>
            </w:pPr>
          </w:p>
        </w:tc>
        <w:tc>
          <w:tcPr>
            <w:tcW w:w="100" w:type="dxa"/>
            <w:vAlign w:val="bottom"/>
            <w:tcBorders>
              <w:bottom w:val="single" w:sz="8" w:color="CFF0FC"/>
            </w:tcBorders>
            <w:shd w:val="clear" w:color="auto" w:fill="CFF0FC"/>
          </w:tcPr>
          <w:p>
            <w:pPr>
              <w:spacing w:after="0"/>
              <w:rPr>
                <w:sz w:val="2"/>
                <w:szCs w:val="2"/>
                <w:color w:val="auto"/>
              </w:rPr>
            </w:pPr>
          </w:p>
        </w:tc>
        <w:tc>
          <w:tcPr>
            <w:tcW w:w="640" w:type="dxa"/>
            <w:vAlign w:val="bottom"/>
            <w:tcBorders>
              <w:bottom w:val="single" w:sz="8" w:color="CFF0FC"/>
            </w:tcBorders>
            <w:shd w:val="clear" w:color="auto" w:fill="CFF0FC"/>
          </w:tcPr>
          <w:p>
            <w:pPr>
              <w:spacing w:after="0"/>
              <w:rPr>
                <w:sz w:val="2"/>
                <w:szCs w:val="2"/>
                <w:color w:val="auto"/>
              </w:rPr>
            </w:pPr>
          </w:p>
        </w:tc>
        <w:tc>
          <w:tcPr>
            <w:tcW w:w="200" w:type="dxa"/>
            <w:vAlign w:val="bottom"/>
            <w:tcBorders>
              <w:bottom w:val="single" w:sz="8" w:color="CFF0FC"/>
            </w:tcBorders>
            <w:shd w:val="clear" w:color="auto" w:fill="CFF0FC"/>
          </w:tcPr>
          <w:p>
            <w:pPr>
              <w:spacing w:after="0"/>
              <w:rPr>
                <w:sz w:val="2"/>
                <w:szCs w:val="2"/>
                <w:color w:val="auto"/>
              </w:rPr>
            </w:pPr>
          </w:p>
        </w:tc>
        <w:tc>
          <w:tcPr>
            <w:tcW w:w="80" w:type="dxa"/>
            <w:vAlign w:val="bottom"/>
            <w:tcBorders>
              <w:bottom w:val="single" w:sz="8" w:color="CFF0FC"/>
            </w:tcBorders>
            <w:shd w:val="clear" w:color="auto" w:fill="CFF0FC"/>
          </w:tcPr>
          <w:p>
            <w:pPr>
              <w:spacing w:after="0"/>
              <w:rPr>
                <w:sz w:val="2"/>
                <w:szCs w:val="2"/>
                <w:color w:val="auto"/>
              </w:rPr>
            </w:pPr>
          </w:p>
        </w:tc>
        <w:tc>
          <w:tcPr>
            <w:tcW w:w="640" w:type="dxa"/>
            <w:vAlign w:val="bottom"/>
            <w:tcBorders>
              <w:bottom w:val="single" w:sz="8" w:color="CFF0FC"/>
            </w:tcBorders>
            <w:shd w:val="clear" w:color="auto" w:fill="CFF0FC"/>
          </w:tcPr>
          <w:p>
            <w:pPr>
              <w:spacing w:after="0"/>
              <w:rPr>
                <w:sz w:val="2"/>
                <w:szCs w:val="2"/>
                <w:color w:val="auto"/>
              </w:rPr>
            </w:pPr>
          </w:p>
        </w:tc>
        <w:tc>
          <w:tcPr>
            <w:tcW w:w="200" w:type="dxa"/>
            <w:vAlign w:val="bottom"/>
            <w:tcBorders>
              <w:bottom w:val="single" w:sz="8" w:color="CFF0FC"/>
            </w:tcBorders>
            <w:shd w:val="clear" w:color="auto" w:fill="CFF0FC"/>
          </w:tcPr>
          <w:p>
            <w:pPr>
              <w:spacing w:after="0"/>
              <w:rPr>
                <w:sz w:val="2"/>
                <w:szCs w:val="2"/>
                <w:color w:val="auto"/>
              </w:rPr>
            </w:pPr>
          </w:p>
        </w:tc>
        <w:tc>
          <w:tcPr>
            <w:tcW w:w="80" w:type="dxa"/>
            <w:vAlign w:val="bottom"/>
            <w:tcBorders>
              <w:bottom w:val="single" w:sz="8" w:color="CFF0FC"/>
            </w:tcBorders>
            <w:shd w:val="clear" w:color="auto" w:fill="CFF0FC"/>
          </w:tcPr>
          <w:p>
            <w:pPr>
              <w:spacing w:after="0"/>
              <w:rPr>
                <w:sz w:val="2"/>
                <w:szCs w:val="2"/>
                <w:color w:val="auto"/>
              </w:rPr>
            </w:pPr>
          </w:p>
        </w:tc>
        <w:tc>
          <w:tcPr>
            <w:tcW w:w="700" w:type="dxa"/>
            <w:vAlign w:val="bottom"/>
            <w:tcBorders>
              <w:bottom w:val="single" w:sz="8" w:color="CFF0FC"/>
            </w:tcBorders>
            <w:shd w:val="clear" w:color="auto" w:fill="CFF0FC"/>
          </w:tcPr>
          <w:p>
            <w:pPr>
              <w:spacing w:after="0"/>
              <w:rPr>
                <w:sz w:val="2"/>
                <w:szCs w:val="2"/>
                <w:color w:val="auto"/>
              </w:rPr>
            </w:pPr>
          </w:p>
        </w:tc>
        <w:tc>
          <w:tcPr>
            <w:tcW w:w="200" w:type="dxa"/>
            <w:vAlign w:val="bottom"/>
            <w:tcBorders>
              <w:bottom w:val="single" w:sz="8" w:color="CFF0FC"/>
            </w:tcBorders>
            <w:shd w:val="clear" w:color="auto" w:fill="CFF0FC"/>
          </w:tcPr>
          <w:p>
            <w:pPr>
              <w:spacing w:after="0"/>
              <w:rPr>
                <w:sz w:val="2"/>
                <w:szCs w:val="2"/>
                <w:color w:val="auto"/>
              </w:rPr>
            </w:pPr>
          </w:p>
        </w:tc>
        <w:tc>
          <w:tcPr>
            <w:tcW w:w="100" w:type="dxa"/>
            <w:vAlign w:val="bottom"/>
            <w:tcBorders>
              <w:bottom w:val="single" w:sz="8" w:color="CFF0FC"/>
            </w:tcBorders>
            <w:shd w:val="clear" w:color="auto" w:fill="CFF0FC"/>
          </w:tcPr>
          <w:p>
            <w:pPr>
              <w:spacing w:after="0"/>
              <w:rPr>
                <w:sz w:val="2"/>
                <w:szCs w:val="2"/>
                <w:color w:val="auto"/>
              </w:rPr>
            </w:pPr>
          </w:p>
        </w:tc>
        <w:tc>
          <w:tcPr>
            <w:tcW w:w="700" w:type="dxa"/>
            <w:vAlign w:val="bottom"/>
            <w:tcBorders>
              <w:bottom w:val="single" w:sz="8" w:color="CFF0FC"/>
            </w:tcBorders>
            <w:shd w:val="clear" w:color="auto" w:fill="CFF0FC"/>
          </w:tcPr>
          <w:p>
            <w:pPr>
              <w:spacing w:after="0"/>
              <w:rPr>
                <w:sz w:val="2"/>
                <w:szCs w:val="2"/>
                <w:color w:val="auto"/>
              </w:rPr>
            </w:pPr>
          </w:p>
        </w:tc>
        <w:tc>
          <w:tcPr>
            <w:tcW w:w="200" w:type="dxa"/>
            <w:vAlign w:val="bottom"/>
            <w:tcBorders>
              <w:bottom w:val="single" w:sz="8" w:color="CFF0FC"/>
            </w:tcBorders>
            <w:shd w:val="clear" w:color="auto" w:fill="CFF0FC"/>
          </w:tcPr>
          <w:p>
            <w:pPr>
              <w:spacing w:after="0"/>
              <w:rPr>
                <w:sz w:val="2"/>
                <w:szCs w:val="2"/>
                <w:color w:val="auto"/>
              </w:rPr>
            </w:pPr>
          </w:p>
        </w:tc>
        <w:tc>
          <w:tcPr>
            <w:tcW w:w="80" w:type="dxa"/>
            <w:vAlign w:val="bottom"/>
            <w:tcBorders>
              <w:bottom w:val="single" w:sz="8" w:color="CFF0FC"/>
            </w:tcBorders>
            <w:shd w:val="clear" w:color="auto" w:fill="CFF0FC"/>
          </w:tcPr>
          <w:p>
            <w:pPr>
              <w:spacing w:after="0"/>
              <w:rPr>
                <w:sz w:val="2"/>
                <w:szCs w:val="2"/>
                <w:color w:val="auto"/>
              </w:rPr>
            </w:pPr>
          </w:p>
        </w:tc>
        <w:tc>
          <w:tcPr>
            <w:tcW w:w="760" w:type="dxa"/>
            <w:vAlign w:val="bottom"/>
            <w:tcBorders>
              <w:bottom w:val="single" w:sz="8" w:color="CFF0FC"/>
            </w:tcBorders>
            <w:shd w:val="clear" w:color="auto" w:fill="CFF0FC"/>
          </w:tcPr>
          <w:p>
            <w:pPr>
              <w:spacing w:after="0"/>
              <w:rPr>
                <w:sz w:val="2"/>
                <w:szCs w:val="2"/>
                <w:color w:val="auto"/>
              </w:rPr>
            </w:pPr>
          </w:p>
        </w:tc>
        <w:tc>
          <w:tcPr>
            <w:tcW w:w="200" w:type="dxa"/>
            <w:vAlign w:val="bottom"/>
            <w:tcBorders>
              <w:bottom w:val="single" w:sz="8" w:color="CFF0FC"/>
            </w:tcBorders>
            <w:shd w:val="clear" w:color="auto" w:fill="CFF0FC"/>
          </w:tcPr>
          <w:p>
            <w:pPr>
              <w:spacing w:after="0"/>
              <w:rPr>
                <w:sz w:val="2"/>
                <w:szCs w:val="2"/>
                <w:color w:val="auto"/>
              </w:rPr>
            </w:pPr>
          </w:p>
        </w:tc>
        <w:tc>
          <w:tcPr>
            <w:tcW w:w="100" w:type="dxa"/>
            <w:vAlign w:val="bottom"/>
            <w:tcBorders>
              <w:bottom w:val="single" w:sz="8" w:color="CFF0FC"/>
            </w:tcBorders>
            <w:shd w:val="clear" w:color="auto" w:fill="CFF0FC"/>
          </w:tcPr>
          <w:p>
            <w:pPr>
              <w:spacing w:after="0"/>
              <w:rPr>
                <w:sz w:val="2"/>
                <w:szCs w:val="2"/>
                <w:color w:val="auto"/>
              </w:rPr>
            </w:pPr>
          </w:p>
        </w:tc>
        <w:tc>
          <w:tcPr>
            <w:tcW w:w="620" w:type="dxa"/>
            <w:vAlign w:val="bottom"/>
            <w:tcBorders>
              <w:bottom w:val="single" w:sz="8" w:color="CFF0FC"/>
            </w:tcBorders>
            <w:shd w:val="clear" w:color="auto" w:fill="CFF0FC"/>
          </w:tcPr>
          <w:p>
            <w:pPr>
              <w:spacing w:after="0"/>
              <w:rPr>
                <w:sz w:val="2"/>
                <w:szCs w:val="2"/>
                <w:color w:val="auto"/>
              </w:rPr>
            </w:pPr>
          </w:p>
        </w:tc>
        <w:tc>
          <w:tcPr>
            <w:tcW w:w="100" w:type="dxa"/>
            <w:vAlign w:val="bottom"/>
            <w:tcBorders>
              <w:bottom w:val="single" w:sz="8" w:color="CFF0FC"/>
            </w:tcBorders>
            <w:shd w:val="clear" w:color="auto" w:fill="CFF0FC"/>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1420" w:type="dxa"/>
            <w:vAlign w:val="bottom"/>
            <w:gridSpan w:val="7"/>
          </w:tcPr>
          <w:p>
            <w:pPr>
              <w:ind w:left="20"/>
              <w:spacing w:after="0"/>
              <w:rPr>
                <w:sz w:val="20"/>
                <w:szCs w:val="20"/>
                <w:color w:val="auto"/>
              </w:rPr>
            </w:pPr>
            <w:r>
              <w:rPr>
                <w:rFonts w:ascii="Times New Roman" w:cs="Times New Roman" w:eastAsia="Times New Roman" w:hAnsi="Times New Roman"/>
                <w:sz w:val="11"/>
                <w:szCs w:val="11"/>
                <w:color w:val="auto"/>
              </w:rPr>
              <w:t>Burgaflex Holdings, LLC</w:t>
            </w:r>
          </w:p>
        </w:tc>
        <w:tc>
          <w:tcPr>
            <w:tcW w:w="100" w:type="dxa"/>
            <w:vAlign w:val="bottom"/>
          </w:tcPr>
          <w:p>
            <w:pPr>
              <w:spacing w:after="0"/>
              <w:rPr>
                <w:sz w:val="11"/>
                <w:szCs w:val="11"/>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Common Stock Class B (1,085,073 shares)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1,486</w:t>
            </w: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tcBorders>
              <w:bottom w:val="single" w:sz="8" w:color="CFF0FC"/>
            </w:tcBorders>
            <w:gridSpan w:val="7"/>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Burgaflex Holdings, LLC</w:t>
            </w:r>
          </w:p>
        </w:tc>
        <w:tc>
          <w:tcPr>
            <w:tcW w:w="100" w:type="dxa"/>
            <w:vAlign w:val="bottom"/>
            <w:tcBorders>
              <w:bottom w:val="single" w:sz="8" w:color="CFF0FC"/>
            </w:tcBorders>
            <w:shd w:val="clear" w:color="auto" w:fill="CFF0FC"/>
          </w:tcPr>
          <w:p>
            <w:pPr>
              <w:spacing w:after="0"/>
              <w:rPr>
                <w:sz w:val="11"/>
                <w:szCs w:val="11"/>
                <w:color w:val="auto"/>
              </w:rPr>
            </w:pPr>
          </w:p>
        </w:tc>
        <w:tc>
          <w:tcPr>
            <w:tcW w:w="2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Common Stock Class A (1,253,198 shares)</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1,193</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680</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1,873</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42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GA Communications, Inc.</w:t>
            </w:r>
          </w:p>
        </w:tc>
        <w:tc>
          <w:tcPr>
            <w:tcW w:w="100" w:type="dxa"/>
            <w:vAlign w:val="bottom"/>
            <w:shd w:val="clear" w:color="auto" w:fill="CFF0FC"/>
          </w:tcPr>
          <w:p>
            <w:pPr>
              <w:spacing w:after="0"/>
              <w:rPr>
                <w:sz w:val="11"/>
                <w:szCs w:val="11"/>
                <w:color w:val="auto"/>
              </w:rPr>
            </w:pPr>
          </w:p>
        </w:tc>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Series A-1 Preferred Stock (1,998 shares)</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4,394</w:t>
            </w: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4,480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gridSpan w:val="7"/>
          </w:tcPr>
          <w:p>
            <w:pPr>
              <w:ind w:left="20"/>
              <w:spacing w:after="0"/>
              <w:rPr>
                <w:sz w:val="20"/>
                <w:szCs w:val="20"/>
                <w:color w:val="auto"/>
              </w:rPr>
            </w:pPr>
            <w:r>
              <w:rPr>
                <w:rFonts w:ascii="Times New Roman" w:cs="Times New Roman" w:eastAsia="Times New Roman" w:hAnsi="Times New Roman"/>
                <w:sz w:val="11"/>
                <w:szCs w:val="11"/>
                <w:color w:val="auto"/>
              </w:rPr>
              <w:t>GA Communications, Inc.</w:t>
            </w:r>
          </w:p>
        </w:tc>
        <w:tc>
          <w:tcPr>
            <w:tcW w:w="100" w:type="dxa"/>
            <w:vAlign w:val="bottom"/>
          </w:tcPr>
          <w:p>
            <w:pPr>
              <w:spacing w:after="0"/>
              <w:rPr>
                <w:sz w:val="11"/>
                <w:szCs w:val="11"/>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Series B-1 Common Stock (200,000 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(185 )</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0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4,579</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200" w:type="dxa"/>
            <w:vAlign w:val="bottom"/>
            <w:tcBorders>
              <w:bottom w:val="single" w:sz="8" w:color="CFF0FC"/>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4,480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420" w:type="dxa"/>
            <w:vAlign w:val="bottom"/>
            <w:gridSpan w:val="7"/>
          </w:tcPr>
          <w:p>
            <w:pPr>
              <w:ind w:left="20"/>
              <w:spacing w:after="0"/>
              <w:rPr>
                <w:sz w:val="20"/>
                <w:szCs w:val="20"/>
                <w:color w:val="auto"/>
              </w:rPr>
            </w:pPr>
            <w:r>
              <w:rPr>
                <w:rFonts w:ascii="Times New Roman" w:cs="Times New Roman" w:eastAsia="Times New Roman" w:hAnsi="Times New Roman"/>
                <w:sz w:val="11"/>
                <w:szCs w:val="11"/>
                <w:color w:val="auto"/>
              </w:rPr>
              <w:t>GreenPark Infrastructure, LLC</w:t>
            </w:r>
          </w:p>
        </w:tc>
        <w:tc>
          <w:tcPr>
            <w:tcW w:w="100" w:type="dxa"/>
            <w:vAlign w:val="bottom"/>
          </w:tcPr>
          <w:p>
            <w:pPr>
              <w:spacing w:after="0"/>
              <w:rPr>
                <w:sz w:val="11"/>
                <w:szCs w:val="11"/>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Series A (400 Units)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tcBorders>
              <w:bottom w:val="single" w:sz="8" w:color="CFF0FC"/>
            </w:tcBorders>
            <w:gridSpan w:val="7"/>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GreenPark Infrastructure, LLC</w:t>
            </w:r>
          </w:p>
        </w:tc>
        <w:tc>
          <w:tcPr>
            <w:tcW w:w="100" w:type="dxa"/>
            <w:vAlign w:val="bottom"/>
            <w:tcBorders>
              <w:bottom w:val="single" w:sz="8" w:color="CFF0FC"/>
            </w:tcBorders>
            <w:shd w:val="clear" w:color="auto" w:fill="CFF0FC"/>
          </w:tcPr>
          <w:p>
            <w:pPr>
              <w:spacing w:after="0"/>
              <w:rPr>
                <w:sz w:val="11"/>
                <w:szCs w:val="11"/>
                <w:color w:val="auto"/>
              </w:rPr>
            </w:pPr>
          </w:p>
        </w:tc>
        <w:tc>
          <w:tcPr>
            <w:tcW w:w="2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Series M-1 (200 Units)</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420" w:type="dxa"/>
            <w:vAlign w:val="bottom"/>
            <w:gridSpan w:val="7"/>
          </w:tcPr>
          <w:p>
            <w:pPr>
              <w:ind w:left="20"/>
              <w:spacing w:after="0" w:line="121" w:lineRule="exact"/>
              <w:rPr>
                <w:sz w:val="20"/>
                <w:szCs w:val="20"/>
                <w:color w:val="auto"/>
              </w:rPr>
            </w:pPr>
            <w:r>
              <w:rPr>
                <w:rFonts w:ascii="Times New Roman" w:cs="Times New Roman" w:eastAsia="Times New Roman" w:hAnsi="Times New Roman"/>
                <w:sz w:val="11"/>
                <w:szCs w:val="11"/>
                <w:color w:val="auto"/>
              </w:rPr>
              <w:t>LJS Partners, LLC</w:t>
            </w:r>
          </w:p>
        </w:tc>
        <w:tc>
          <w:tcPr>
            <w:tcW w:w="100" w:type="dxa"/>
            <w:vAlign w:val="bottom"/>
          </w:tcPr>
          <w:p>
            <w:pPr>
              <w:spacing w:after="0"/>
              <w:rPr>
                <w:sz w:val="11"/>
                <w:szCs w:val="11"/>
                <w:color w:val="auto"/>
              </w:rPr>
            </w:pPr>
          </w:p>
        </w:tc>
        <w:tc>
          <w:tcPr>
            <w:tcW w:w="206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Preferred Units (202,336 units)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843</w:t>
            </w: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LJS Partners, LLC</w:t>
            </w:r>
          </w:p>
        </w:tc>
        <w:tc>
          <w:tcPr>
            <w:tcW w:w="100" w:type="dxa"/>
            <w:vAlign w:val="bottom"/>
            <w:shd w:val="clear" w:color="auto" w:fill="CFF0FC"/>
          </w:tcPr>
          <w:p>
            <w:pPr>
              <w:spacing w:after="0"/>
              <w:rPr>
                <w:sz w:val="11"/>
                <w:szCs w:val="11"/>
                <w:color w:val="auto"/>
              </w:rPr>
            </w:pPr>
          </w:p>
        </w:tc>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98"/>
              </w:rPr>
              <w:t>Common Membership Units (2,593,234 units)</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7,164</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(370 )</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6,794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(309 )</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42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MMI Holdings, LLC</w:t>
            </w:r>
          </w:p>
        </w:tc>
        <w:tc>
          <w:tcPr>
            <w:tcW w:w="100" w:type="dxa"/>
            <w:vAlign w:val="bottom"/>
            <w:shd w:val="clear" w:color="auto" w:fill="CFF0FC"/>
          </w:tcPr>
          <w:p>
            <w:pPr>
              <w:spacing w:after="0"/>
              <w:rPr>
                <w:sz w:val="11"/>
                <w:szCs w:val="11"/>
                <w:color w:val="auto"/>
              </w:rPr>
            </w:pPr>
          </w:p>
        </w:tc>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First Lien Debt (12.0% Cash, Due 4/1/22)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2,600</w:t>
            </w: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2,600</w:t>
            </w: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gridSpan w:val="7"/>
          </w:tcPr>
          <w:p>
            <w:pPr>
              <w:ind w:left="20"/>
              <w:spacing w:after="0"/>
              <w:rPr>
                <w:sz w:val="20"/>
                <w:szCs w:val="20"/>
                <w:color w:val="auto"/>
              </w:rPr>
            </w:pPr>
            <w:r>
              <w:rPr>
                <w:rFonts w:ascii="Times New Roman" w:cs="Times New Roman" w:eastAsia="Times New Roman" w:hAnsi="Times New Roman"/>
                <w:sz w:val="11"/>
                <w:szCs w:val="11"/>
                <w:color w:val="auto"/>
              </w:rPr>
              <w:t>MMI Holdings, LLC</w:t>
            </w:r>
          </w:p>
        </w:tc>
        <w:tc>
          <w:tcPr>
            <w:tcW w:w="100" w:type="dxa"/>
            <w:vAlign w:val="bottom"/>
          </w:tcPr>
          <w:p>
            <w:pPr>
              <w:spacing w:after="0"/>
              <w:rPr>
                <w:sz w:val="11"/>
                <w:szCs w:val="11"/>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Second Lien Debt (6.0% Cash, Due 4/1/22)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420" w:type="dxa"/>
            <w:vAlign w:val="bottom"/>
            <w:gridSpan w:val="7"/>
            <w:shd w:val="clear" w:color="auto" w:fill="CFF0FC"/>
          </w:tcPr>
          <w:p>
            <w:pPr>
              <w:ind w:left="20"/>
              <w:spacing w:after="0" w:line="108" w:lineRule="exact"/>
              <w:rPr>
                <w:sz w:val="20"/>
                <w:szCs w:val="20"/>
                <w:color w:val="auto"/>
              </w:rPr>
            </w:pPr>
            <w:r>
              <w:rPr>
                <w:rFonts w:ascii="Times New Roman" w:cs="Times New Roman" w:eastAsia="Times New Roman" w:hAnsi="Times New Roman"/>
                <w:sz w:val="9"/>
                <w:szCs w:val="9"/>
                <w:color w:val="auto"/>
              </w:rPr>
              <w:t xml:space="preserve">MMI Holdings, LLC </w:t>
            </w:r>
            <w:r>
              <w:rPr>
                <w:rFonts w:ascii="Times New Roman" w:cs="Times New Roman" w:eastAsia="Times New Roman" w:hAnsi="Times New Roman"/>
                <w:sz w:val="12"/>
                <w:szCs w:val="12"/>
                <w:color w:val="auto"/>
                <w:vertAlign w:val="superscript"/>
              </w:rPr>
              <w:t>(5)</w:t>
            </w:r>
          </w:p>
        </w:tc>
        <w:tc>
          <w:tcPr>
            <w:tcW w:w="100" w:type="dxa"/>
            <w:vAlign w:val="bottom"/>
            <w:shd w:val="clear" w:color="auto" w:fill="CFF0FC"/>
          </w:tcPr>
          <w:p>
            <w:pPr>
              <w:spacing w:after="0"/>
              <w:rPr>
                <w:sz w:val="9"/>
                <w:szCs w:val="9"/>
                <w:color w:val="auto"/>
              </w:rPr>
            </w:pPr>
          </w:p>
        </w:tc>
        <w:tc>
          <w:tcPr>
            <w:tcW w:w="20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Preferred Units (1,000 units, 6.0% PIK</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Dividend)</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1,898</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(59 )</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1,898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20" w:type="dxa"/>
            <w:vAlign w:val="bottom"/>
            <w:gridSpan w:val="7"/>
          </w:tcPr>
          <w:p>
            <w:pPr>
              <w:ind w:left="20"/>
              <w:spacing w:after="0"/>
              <w:rPr>
                <w:sz w:val="20"/>
                <w:szCs w:val="20"/>
                <w:color w:val="auto"/>
              </w:rPr>
            </w:pPr>
            <w:r>
              <w:rPr>
                <w:rFonts w:ascii="Times New Roman" w:cs="Times New Roman" w:eastAsia="Times New Roman" w:hAnsi="Times New Roman"/>
                <w:sz w:val="11"/>
                <w:szCs w:val="11"/>
                <w:color w:val="auto"/>
              </w:rPr>
              <w:t>MMI Holdings, LLC</w:t>
            </w:r>
          </w:p>
        </w:tc>
        <w:tc>
          <w:tcPr>
            <w:tcW w:w="100" w:type="dxa"/>
            <w:vAlign w:val="bottom"/>
          </w:tcPr>
          <w:p>
            <w:pPr>
              <w:spacing w:after="0"/>
              <w:rPr>
                <w:sz w:val="11"/>
                <w:szCs w:val="11"/>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Common Membership Units (45 units)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0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221</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4,961</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200" w:type="dxa"/>
            <w:vAlign w:val="bottom"/>
            <w:tcBorders>
              <w:bottom w:val="single" w:sz="8" w:color="CFF0FC"/>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4,961</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420" w:type="dxa"/>
            <w:vAlign w:val="bottom"/>
            <w:gridSpan w:val="7"/>
          </w:tcPr>
          <w:p>
            <w:pPr>
              <w:ind w:left="20"/>
              <w:spacing w:after="0" w:line="102" w:lineRule="exact"/>
              <w:rPr>
                <w:sz w:val="20"/>
                <w:szCs w:val="20"/>
                <w:color w:val="auto"/>
              </w:rPr>
            </w:pPr>
            <w:r>
              <w:rPr>
                <w:rFonts w:ascii="Times New Roman" w:cs="Times New Roman" w:eastAsia="Times New Roman" w:hAnsi="Times New Roman"/>
                <w:sz w:val="11"/>
                <w:szCs w:val="11"/>
                <w:color w:val="auto"/>
              </w:rPr>
              <w:t>Nth Degree Investment Group,</w:t>
            </w:r>
          </w:p>
        </w:tc>
        <w:tc>
          <w:tcPr>
            <w:tcW w:w="100" w:type="dxa"/>
            <w:vAlign w:val="bottom"/>
          </w:tcPr>
          <w:p>
            <w:pPr>
              <w:spacing w:after="0"/>
              <w:rPr>
                <w:sz w:val="8"/>
                <w:szCs w:val="8"/>
                <w:color w:val="auto"/>
              </w:rPr>
            </w:pPr>
          </w:p>
        </w:tc>
        <w:tc>
          <w:tcPr>
            <w:tcW w:w="2060" w:type="dxa"/>
            <w:vAlign w:val="bottom"/>
          </w:tcPr>
          <w:p>
            <w:pPr>
              <w:ind w:left="20"/>
              <w:spacing w:after="0" w:line="102" w:lineRule="exact"/>
              <w:rPr>
                <w:sz w:val="20"/>
                <w:szCs w:val="20"/>
                <w:color w:val="auto"/>
              </w:rPr>
            </w:pPr>
            <w:r>
              <w:rPr>
                <w:rFonts w:ascii="Times New Roman" w:cs="Times New Roman" w:eastAsia="Times New Roman" w:hAnsi="Times New Roman"/>
                <w:sz w:val="11"/>
                <w:szCs w:val="11"/>
                <w:color w:val="auto"/>
              </w:rPr>
              <w:t>Membership Units (6,088,000 Units)</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restart"/>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700" w:type="dxa"/>
            <w:vAlign w:val="bottom"/>
            <w:vMerge w:val="restart"/>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restart"/>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420" w:type="dxa"/>
            <w:vAlign w:val="bottom"/>
            <w:gridSpan w:val="7"/>
          </w:tcPr>
          <w:p>
            <w:pPr>
              <w:ind w:left="20"/>
              <w:spacing w:after="0"/>
              <w:rPr>
                <w:sz w:val="20"/>
                <w:szCs w:val="20"/>
                <w:color w:val="auto"/>
              </w:rPr>
            </w:pPr>
            <w:r>
              <w:rPr>
                <w:rFonts w:ascii="Times New Roman" w:cs="Times New Roman" w:eastAsia="Times New Roman" w:hAnsi="Times New Roman"/>
                <w:sz w:val="11"/>
                <w:szCs w:val="11"/>
                <w:color w:val="auto"/>
              </w:rPr>
              <w:t>LLC</w:t>
            </w: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0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420" w:type="dxa"/>
            <w:vAlign w:val="bottom"/>
            <w:gridSpan w:val="7"/>
          </w:tcPr>
          <w:p>
            <w:pPr>
              <w:ind w:left="20"/>
              <w:spacing w:after="0" w:line="102" w:lineRule="exact"/>
              <w:rPr>
                <w:sz w:val="20"/>
                <w:szCs w:val="20"/>
                <w:color w:val="auto"/>
              </w:rPr>
            </w:pPr>
            <w:r>
              <w:rPr>
                <w:rFonts w:ascii="Times New Roman" w:cs="Times New Roman" w:eastAsia="Times New Roman" w:hAnsi="Times New Roman"/>
                <w:sz w:val="11"/>
                <w:szCs w:val="11"/>
                <w:color w:val="auto"/>
              </w:rPr>
              <w:t>RAM Payment, LLC</w:t>
            </w:r>
          </w:p>
        </w:tc>
        <w:tc>
          <w:tcPr>
            <w:tcW w:w="100" w:type="dxa"/>
            <w:vAlign w:val="bottom"/>
          </w:tcPr>
          <w:p>
            <w:pPr>
              <w:spacing w:after="0"/>
              <w:rPr>
                <w:sz w:val="8"/>
                <w:szCs w:val="8"/>
                <w:color w:val="auto"/>
              </w:rPr>
            </w:pPr>
          </w:p>
        </w:tc>
        <w:tc>
          <w:tcPr>
            <w:tcW w:w="2060" w:type="dxa"/>
            <w:vAlign w:val="bottom"/>
          </w:tcPr>
          <w:p>
            <w:pPr>
              <w:ind w:left="20"/>
              <w:spacing w:after="0" w:line="102" w:lineRule="exact"/>
              <w:rPr>
                <w:sz w:val="20"/>
                <w:szCs w:val="20"/>
                <w:color w:val="auto"/>
              </w:rPr>
            </w:pPr>
            <w:r>
              <w:rPr>
                <w:rFonts w:ascii="Times New Roman" w:cs="Times New Roman" w:eastAsia="Times New Roman" w:hAnsi="Times New Roman"/>
                <w:sz w:val="11"/>
                <w:szCs w:val="11"/>
                <w:color w:val="auto"/>
              </w:rPr>
              <w:t>First Lien Debt (6.5% Cash (1 month LIBOR</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+ 5.0%), 1.5% Floor), Due 1/4/24)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(29 )</w:t>
            </w:r>
          </w:p>
        </w:tc>
        <w:tc>
          <w:tcPr>
            <w:tcW w:w="10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2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RAM Payment, LLC</w:t>
            </w:r>
          </w:p>
        </w:tc>
        <w:tc>
          <w:tcPr>
            <w:tcW w:w="100" w:type="dxa"/>
            <w:vAlign w:val="bottom"/>
            <w:shd w:val="clear" w:color="auto" w:fill="CFF0FC"/>
          </w:tcPr>
          <w:p>
            <w:pPr>
              <w:spacing w:after="0"/>
              <w:rPr>
                <w:sz w:val="12"/>
                <w:szCs w:val="12"/>
                <w:color w:val="auto"/>
              </w:rPr>
            </w:pPr>
          </w:p>
        </w:tc>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First Lien Debt (9.8% Cash, Due 1/4/24)</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2,627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2,706</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1"/>
                <w:szCs w:val="11"/>
                <w:color w:val="auto"/>
              </w:rPr>
              <w:t>(79 )</w:t>
            </w: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420" w:type="dxa"/>
            <w:vAlign w:val="bottom"/>
            <w:gridSpan w:val="7"/>
          </w:tcPr>
          <w:p>
            <w:pPr>
              <w:ind w:left="20"/>
              <w:spacing w:after="0" w:line="108" w:lineRule="exact"/>
              <w:rPr>
                <w:sz w:val="20"/>
                <w:szCs w:val="20"/>
                <w:color w:val="auto"/>
              </w:rPr>
            </w:pPr>
            <w:r>
              <w:rPr>
                <w:rFonts w:ascii="Times New Roman" w:cs="Times New Roman" w:eastAsia="Times New Roman" w:hAnsi="Times New Roman"/>
                <w:sz w:val="9"/>
                <w:szCs w:val="9"/>
                <w:color w:val="auto"/>
              </w:rPr>
              <w:t xml:space="preserve">RAM Payment, LLC </w:t>
            </w:r>
            <w:r>
              <w:rPr>
                <w:rFonts w:ascii="Times New Roman" w:cs="Times New Roman" w:eastAsia="Times New Roman" w:hAnsi="Times New Roman"/>
                <w:sz w:val="12"/>
                <w:szCs w:val="12"/>
                <w:color w:val="auto"/>
                <w:vertAlign w:val="superscript"/>
              </w:rPr>
              <w:t>(5)</w:t>
            </w:r>
          </w:p>
        </w:tc>
        <w:tc>
          <w:tcPr>
            <w:tcW w:w="100" w:type="dxa"/>
            <w:vAlign w:val="bottom"/>
          </w:tcPr>
          <w:p>
            <w:pPr>
              <w:spacing w:after="0"/>
              <w:rPr>
                <w:sz w:val="9"/>
                <w:szCs w:val="9"/>
                <w:color w:val="auto"/>
              </w:rPr>
            </w:pPr>
          </w:p>
        </w:tc>
        <w:tc>
          <w:tcPr>
            <w:tcW w:w="20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Preferred Units (86,000 units, 8.0% PIK</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3,726</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restart"/>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00" w:type="dxa"/>
            <w:vAlign w:val="bottom"/>
            <w:vMerge w:val="restart"/>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(180 )</w:t>
            </w: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3,580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0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7,430</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200" w:type="dxa"/>
            <w:vAlign w:val="bottom"/>
            <w:tcBorders>
              <w:bottom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200" w:type="dxa"/>
            <w:vAlign w:val="bottom"/>
            <w:tcBorders>
              <w:bottom w:val="single" w:sz="8" w:color="CFF0FC"/>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7,174</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420" w:type="dxa"/>
            <w:vAlign w:val="bottom"/>
            <w:gridSpan w:val="7"/>
          </w:tcPr>
          <w:p>
            <w:pPr>
              <w:ind w:left="20"/>
              <w:spacing w:after="0" w:line="102" w:lineRule="exact"/>
              <w:rPr>
                <w:sz w:val="20"/>
                <w:szCs w:val="20"/>
                <w:color w:val="auto"/>
              </w:rPr>
            </w:pPr>
            <w:r>
              <w:rPr>
                <w:rFonts w:ascii="Times New Roman" w:cs="Times New Roman" w:eastAsia="Times New Roman" w:hAnsi="Times New Roman"/>
                <w:sz w:val="11"/>
                <w:szCs w:val="11"/>
                <w:color w:val="auto"/>
              </w:rPr>
              <w:t>Sierra Hamilton Holdings</w:t>
            </w:r>
          </w:p>
        </w:tc>
        <w:tc>
          <w:tcPr>
            <w:tcW w:w="100" w:type="dxa"/>
            <w:vAlign w:val="bottom"/>
          </w:tcPr>
          <w:p>
            <w:pPr>
              <w:spacing w:after="0"/>
              <w:rPr>
                <w:sz w:val="8"/>
                <w:szCs w:val="8"/>
                <w:color w:val="auto"/>
              </w:rPr>
            </w:pPr>
          </w:p>
        </w:tc>
        <w:tc>
          <w:tcPr>
            <w:tcW w:w="2060" w:type="dxa"/>
            <w:vAlign w:val="bottom"/>
          </w:tcPr>
          <w:p>
            <w:pPr>
              <w:ind w:left="20"/>
              <w:spacing w:after="0" w:line="102" w:lineRule="exact"/>
              <w:rPr>
                <w:sz w:val="20"/>
                <w:szCs w:val="20"/>
                <w:color w:val="auto"/>
              </w:rPr>
            </w:pPr>
            <w:r>
              <w:rPr>
                <w:rFonts w:ascii="Times New Roman" w:cs="Times New Roman" w:eastAsia="Times New Roman" w:hAnsi="Times New Roman"/>
                <w:sz w:val="11"/>
                <w:szCs w:val="11"/>
                <w:color w:val="auto"/>
              </w:rPr>
              <w:t>Second Lien Debt (15.0%, Due 9/12/23)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420" w:type="dxa"/>
            <w:vAlign w:val="bottom"/>
            <w:gridSpan w:val="7"/>
          </w:tcPr>
          <w:p>
            <w:pPr>
              <w:ind w:left="20"/>
              <w:spacing w:after="0"/>
              <w:rPr>
                <w:sz w:val="20"/>
                <w:szCs w:val="20"/>
                <w:color w:val="auto"/>
              </w:rPr>
            </w:pPr>
            <w:r>
              <w:rPr>
                <w:rFonts w:ascii="Times New Roman" w:cs="Times New Roman" w:eastAsia="Times New Roman" w:hAnsi="Times New Roman"/>
                <w:sz w:val="11"/>
                <w:szCs w:val="11"/>
                <w:color w:val="auto"/>
              </w:rPr>
              <w:t>Corporation</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420" w:type="dxa"/>
            <w:vAlign w:val="bottom"/>
            <w:gridSpan w:val="7"/>
            <w:shd w:val="clear" w:color="auto" w:fill="CFF0FC"/>
          </w:tcPr>
          <w:p>
            <w:pPr>
              <w:ind w:left="20"/>
              <w:spacing w:after="0" w:line="112" w:lineRule="exact"/>
              <w:rPr>
                <w:sz w:val="20"/>
                <w:szCs w:val="20"/>
                <w:color w:val="auto"/>
              </w:rPr>
            </w:pPr>
            <w:r>
              <w:rPr>
                <w:rFonts w:ascii="Times New Roman" w:cs="Times New Roman" w:eastAsia="Times New Roman" w:hAnsi="Times New Roman"/>
                <w:sz w:val="11"/>
                <w:szCs w:val="11"/>
                <w:color w:val="auto"/>
              </w:rPr>
              <w:t>Sierra Hamilton Holdings</w:t>
            </w:r>
          </w:p>
        </w:tc>
        <w:tc>
          <w:tcPr>
            <w:tcW w:w="100" w:type="dxa"/>
            <w:vAlign w:val="bottom"/>
            <w:shd w:val="clear" w:color="auto" w:fill="CFF0FC"/>
          </w:tcPr>
          <w:p>
            <w:pPr>
              <w:spacing w:after="0"/>
              <w:rPr>
                <w:sz w:val="9"/>
                <w:szCs w:val="9"/>
                <w:color w:val="auto"/>
              </w:rPr>
            </w:pPr>
          </w:p>
        </w:tc>
        <w:tc>
          <w:tcPr>
            <w:tcW w:w="2060" w:type="dxa"/>
            <w:vAlign w:val="bottom"/>
            <w:shd w:val="clear" w:color="auto" w:fill="CFF0FC"/>
          </w:tcPr>
          <w:p>
            <w:pPr>
              <w:ind w:left="20"/>
              <w:spacing w:after="0" w:line="112" w:lineRule="exact"/>
              <w:rPr>
                <w:sz w:val="20"/>
                <w:szCs w:val="20"/>
                <w:color w:val="auto"/>
              </w:rPr>
            </w:pPr>
            <w:r>
              <w:rPr>
                <w:rFonts w:ascii="Times New Roman" w:cs="Times New Roman" w:eastAsia="Times New Roman" w:hAnsi="Times New Roman"/>
                <w:sz w:val="11"/>
                <w:szCs w:val="11"/>
                <w:color w:val="auto"/>
              </w:rPr>
              <w:t>Common Stock (15,068,000 shares)</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vMerge w:val="restart"/>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(40 )</w:t>
            </w:r>
          </w:p>
        </w:tc>
        <w:tc>
          <w:tcPr>
            <w:tcW w:w="10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2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Corporation</w:t>
            </w:r>
          </w:p>
        </w:tc>
        <w:tc>
          <w:tcPr>
            <w:tcW w:w="100" w:type="dxa"/>
            <w:vAlign w:val="bottom"/>
            <w:shd w:val="clear" w:color="auto" w:fill="CFF0FC"/>
          </w:tcPr>
          <w:p>
            <w:pPr>
              <w:spacing w:after="0"/>
              <w:rPr>
                <w:sz w:val="11"/>
                <w:szCs w:val="11"/>
                <w:color w:val="auto"/>
              </w:rPr>
            </w:pPr>
          </w:p>
        </w:tc>
        <w:tc>
          <w:tcPr>
            <w:tcW w:w="2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vMerge w:val="continue"/>
            <w:shd w:val="clear" w:color="auto" w:fill="CFF0FC"/>
          </w:tcPr>
          <w:p>
            <w:pPr>
              <w:spacing w:after="0"/>
              <w:rPr>
                <w:sz w:val="11"/>
                <w:szCs w:val="11"/>
                <w:color w:val="auto"/>
              </w:rPr>
            </w:pPr>
          </w:p>
        </w:tc>
        <w:tc>
          <w:tcPr>
            <w:tcW w:w="2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(40 )</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420" w:type="dxa"/>
            <w:vAlign w:val="bottom"/>
            <w:tcBorders>
              <w:bottom w:val="single" w:sz="8" w:color="CFF0FC"/>
            </w:tcBorders>
            <w:gridSpan w:val="7"/>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V12 Holdings, Inc.</w:t>
            </w:r>
          </w:p>
        </w:tc>
        <w:tc>
          <w:tcPr>
            <w:tcW w:w="100" w:type="dxa"/>
            <w:vAlign w:val="bottom"/>
            <w:tcBorders>
              <w:bottom w:val="single" w:sz="8" w:color="CFF0FC"/>
            </w:tcBorders>
            <w:shd w:val="clear" w:color="auto" w:fill="CFF0FC"/>
          </w:tcPr>
          <w:p>
            <w:pPr>
              <w:spacing w:after="0"/>
              <w:rPr>
                <w:sz w:val="11"/>
                <w:szCs w:val="11"/>
                <w:color w:val="auto"/>
              </w:rPr>
            </w:pPr>
          </w:p>
        </w:tc>
        <w:tc>
          <w:tcPr>
            <w:tcW w:w="2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Second Lien Debt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1"/>
                <w:szCs w:val="11"/>
                <w:b w:val="1"/>
                <w:bCs w:val="1"/>
                <w:i w:val="1"/>
                <w:iCs w:val="1"/>
                <w:color w:val="auto"/>
              </w:rPr>
              <w:t>Total Affiliate investments</w:t>
            </w:r>
          </w:p>
        </w:tc>
        <w:tc>
          <w:tcPr>
            <w:tcW w:w="100" w:type="dxa"/>
            <w:vAlign w:val="bottom"/>
            <w:tcBorders>
              <w:bottom w:val="single" w:sz="8" w:color="CFF0FC"/>
            </w:tcBorders>
            <w:shd w:val="clear" w:color="auto" w:fill="CFF0FC"/>
          </w:tcPr>
          <w:p>
            <w:pPr>
              <w:spacing w:after="0"/>
              <w:rPr>
                <w:sz w:val="15"/>
                <w:szCs w:val="15"/>
                <w:color w:val="auto"/>
              </w:rPr>
            </w:pPr>
          </w:p>
        </w:tc>
        <w:tc>
          <w:tcPr>
            <w:tcW w:w="20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438</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28,540</w:t>
            </w:r>
          </w:p>
        </w:tc>
        <w:tc>
          <w:tcPr>
            <w:tcW w:w="2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362</w:t>
            </w:r>
          </w:p>
        </w:tc>
        <w:tc>
          <w:tcPr>
            <w:tcW w:w="2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200" w:type="dxa"/>
            <w:vAlign w:val="bottom"/>
            <w:tcBorders>
              <w:bottom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1,477</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30,271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Borders>
              <w:top w:val="single" w:sz="8" w:color="CFF0FC"/>
            </w:tcBorders>
          </w:tcPr>
          <w:p>
            <w:pPr>
              <w:spacing w:after="0"/>
              <w:rPr>
                <w:sz w:val="7"/>
                <w:szCs w:val="7"/>
                <w:color w:val="auto"/>
              </w:rPr>
            </w:pPr>
          </w:p>
        </w:tc>
        <w:tc>
          <w:tcPr>
            <w:tcW w:w="900" w:type="dxa"/>
            <w:vAlign w:val="bottom"/>
            <w:tcBorders>
              <w:top w:val="single" w:sz="8" w:color="auto"/>
              <w:bottom w:val="single" w:sz="8" w:color="auto"/>
            </w:tcBorders>
          </w:tcPr>
          <w:p>
            <w:pPr>
              <w:spacing w:after="0" w:line="75" w:lineRule="exact"/>
              <w:rPr>
                <w:sz w:val="20"/>
                <w:szCs w:val="20"/>
                <w:color w:val="auto"/>
              </w:rPr>
            </w:pPr>
            <w:r>
              <w:rPr>
                <w:rFonts w:ascii="Times New Roman" w:cs="Times New Roman" w:eastAsia="Times New Roman" w:hAnsi="Times New Roman"/>
                <w:sz w:val="8"/>
                <w:szCs w:val="8"/>
                <w:b w:val="1"/>
                <w:bCs w:val="1"/>
                <w:i w:val="1"/>
                <w:iCs w:val="1"/>
                <w:color w:val="auto"/>
              </w:rPr>
              <w:t>Control investments</w:t>
            </w:r>
          </w:p>
        </w:tc>
        <w:tc>
          <w:tcPr>
            <w:tcW w:w="260" w:type="dxa"/>
            <w:vAlign w:val="bottom"/>
            <w:tcBorders>
              <w:top w:val="single" w:sz="8" w:color="auto"/>
            </w:tcBorders>
            <w:gridSpan w:val="4"/>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2060" w:type="dxa"/>
            <w:vAlign w:val="bottom"/>
            <w:tcBorders>
              <w:top w:val="single" w:sz="8" w:color="CFF0FC"/>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480" w:type="dxa"/>
            <w:vAlign w:val="bottom"/>
            <w:tcBorders>
              <w:top w:val="single" w:sz="8" w:color="CFF0FC"/>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20" w:type="dxa"/>
            <w:vAlign w:val="bottom"/>
            <w:gridSpan w:val="7"/>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Vology, Inc.</w:t>
            </w:r>
          </w:p>
        </w:tc>
        <w:tc>
          <w:tcPr>
            <w:tcW w:w="100" w:type="dxa"/>
            <w:vAlign w:val="bottom"/>
            <w:shd w:val="clear" w:color="auto" w:fill="CFF0FC"/>
          </w:tcPr>
          <w:p>
            <w:pPr>
              <w:spacing w:after="0"/>
              <w:rPr>
                <w:sz w:val="9"/>
                <w:szCs w:val="9"/>
                <w:color w:val="auto"/>
              </w:rPr>
            </w:pPr>
          </w:p>
        </w:tc>
        <w:tc>
          <w:tcPr>
            <w:tcW w:w="20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w w:val="98"/>
              </w:rPr>
              <w:t>First Lien Debt (10.5% Cash (1 month LIBOR</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+ 8.5%, 2.0% Floor), Due 3/31/22)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3,586</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3,635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(7 )</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20" w:type="dxa"/>
            <w:vAlign w:val="bottom"/>
            <w:gridSpan w:val="7"/>
          </w:tcPr>
          <w:p>
            <w:pPr>
              <w:ind w:left="20"/>
              <w:spacing w:after="0"/>
              <w:rPr>
                <w:sz w:val="20"/>
                <w:szCs w:val="20"/>
                <w:color w:val="auto"/>
              </w:rPr>
            </w:pPr>
            <w:r>
              <w:rPr>
                <w:rFonts w:ascii="Times New Roman" w:cs="Times New Roman" w:eastAsia="Times New Roman" w:hAnsi="Times New Roman"/>
                <w:sz w:val="11"/>
                <w:szCs w:val="11"/>
                <w:color w:val="auto"/>
              </w:rPr>
              <w:t>Vology, Inc.</w:t>
            </w:r>
          </w:p>
        </w:tc>
        <w:tc>
          <w:tcPr>
            <w:tcW w:w="100" w:type="dxa"/>
            <w:vAlign w:val="bottom"/>
          </w:tcPr>
          <w:p>
            <w:pPr>
              <w:spacing w:after="0"/>
              <w:rPr>
                <w:sz w:val="11"/>
                <w:szCs w:val="11"/>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Class A Preferred Units (9,041,810 Units)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(3,204 )</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tcBorders>
              <w:bottom w:val="single" w:sz="8" w:color="CFF0FC"/>
            </w:tcBorders>
            <w:gridSpan w:val="7"/>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Vology, Inc.</w:t>
            </w:r>
          </w:p>
        </w:tc>
        <w:tc>
          <w:tcPr>
            <w:tcW w:w="100" w:type="dxa"/>
            <w:vAlign w:val="bottom"/>
            <w:tcBorders>
              <w:bottom w:val="single" w:sz="8" w:color="CFF0FC"/>
            </w:tcBorders>
            <w:shd w:val="clear" w:color="auto" w:fill="CFF0FC"/>
          </w:tcPr>
          <w:p>
            <w:pPr>
              <w:spacing w:after="0"/>
              <w:rPr>
                <w:sz w:val="11"/>
                <w:szCs w:val="11"/>
                <w:color w:val="auto"/>
              </w:rPr>
            </w:pPr>
          </w:p>
        </w:tc>
        <w:tc>
          <w:tcPr>
            <w:tcW w:w="2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Membership Units (5,363,982 Units)</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i w:val="1"/>
                <w:iCs w:val="1"/>
                <w:color w:val="auto"/>
              </w:rPr>
              <w:t>Total Control investments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6,839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(3,211 )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-3470910</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-3470910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-3470910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-3470910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-3470910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-3470910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-3470910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-3102610</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-3102610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-3102610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-3102610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-3102610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-3102610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-2922270</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-2922270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-2922270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-2922270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-2922270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-2922270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-2647950</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-2647950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-2647950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-2647950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-2647950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-2647950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-2031365</wp:posOffset>
            </wp:positionV>
            <wp:extent cx="774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-2031365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-2031365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-2031365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-2031365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-2031365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-2031365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-1774190</wp:posOffset>
            </wp:positionV>
            <wp:extent cx="774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-1774190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-1774190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-1774190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-1774190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-1774190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-1774190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-1268095</wp:posOffset>
            </wp:positionV>
            <wp:extent cx="774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-1268095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-1268095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-1268095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-1268095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-1268095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-942340</wp:posOffset>
            </wp:positionV>
            <wp:extent cx="774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-942340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-942340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-942340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-942340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-942340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-753745</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-753745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-753745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-753745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-753745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-753745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-565150</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-548005</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-565150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-548005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-565150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-548005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-565150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-548005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-565150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-548005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-565150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-548005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-119380</wp:posOffset>
            </wp:positionV>
            <wp:extent cx="774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-119380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-119380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-119380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-119380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-119380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(1)</w:t>
      </w:r>
    </w:p>
    <w:p>
      <w:pPr>
        <w:ind w:left="460"/>
        <w:spacing w:after="0" w:line="221" w:lineRule="auto"/>
        <w:rPr>
          <w:sz w:val="20"/>
          <w:szCs w:val="20"/>
          <w:color w:val="auto"/>
        </w:rPr>
      </w:pPr>
      <w:r>
        <w:rPr>
          <w:rFonts w:ascii="Times New Roman" w:cs="Times New Roman" w:eastAsia="Times New Roman" w:hAnsi="Times New Roman"/>
          <w:sz w:val="14"/>
          <w:szCs w:val="14"/>
          <w:color w:val="auto"/>
        </w:rPr>
        <w:t>Represents the total amount of interest, original issue discount, fees and dividends credited to income for the portion of the year an investment was included in Affiliate or Control</w:t>
      </w:r>
    </w:p>
    <w:p>
      <w:pPr>
        <w:ind w:left="460" w:hanging="439"/>
        <w:spacing w:after="0" w:line="189" w:lineRule="auto"/>
        <w:tabs>
          <w:tab w:leader="none" w:pos="460" w:val="left"/>
        </w:tabs>
        <w:numPr>
          <w:ilvl w:val="0"/>
          <w:numId w:val="16"/>
        </w:numPr>
        <w:rPr>
          <w:rFonts w:ascii="Times New Roman" w:cs="Times New Roman" w:eastAsia="Times New Roman" w:hAnsi="Times New Roman"/>
          <w:sz w:val="19"/>
          <w:szCs w:val="19"/>
          <w:color w:val="auto"/>
          <w:vertAlign w:val="subscript"/>
        </w:rPr>
      </w:pPr>
      <w:r>
        <w:rPr>
          <w:rFonts w:ascii="Times New Roman" w:cs="Times New Roman" w:eastAsia="Times New Roman" w:hAnsi="Times New Roman"/>
          <w:sz w:val="14"/>
          <w:szCs w:val="14"/>
          <w:color w:val="auto"/>
        </w:rPr>
        <w:t>categories, respectively.</w:t>
      </w:r>
    </w:p>
    <w:p>
      <w:pPr>
        <w:spacing w:after="0" w:line="3" w:lineRule="exact"/>
        <w:rPr>
          <w:rFonts w:ascii="Times New Roman" w:cs="Times New Roman" w:eastAsia="Times New Roman" w:hAnsi="Times New Roman"/>
          <w:sz w:val="19"/>
          <w:szCs w:val="19"/>
          <w:color w:val="auto"/>
          <w:vertAlign w:val="subscript"/>
        </w:rPr>
      </w:pPr>
    </w:p>
    <w:p>
      <w:pPr>
        <w:ind w:left="460"/>
        <w:spacing w:after="0" w:line="221" w:lineRule="auto"/>
        <w:rPr>
          <w:rFonts w:ascii="Times New Roman" w:cs="Times New Roman" w:eastAsia="Times New Roman" w:hAnsi="Times New Roman"/>
          <w:sz w:val="19"/>
          <w:szCs w:val="19"/>
          <w:color w:val="auto"/>
          <w:vertAlign w:val="subscript"/>
        </w:rPr>
      </w:pPr>
      <w:r>
        <w:rPr>
          <w:rFonts w:ascii="Times New Roman" w:cs="Times New Roman" w:eastAsia="Times New Roman" w:hAnsi="Times New Roman"/>
          <w:sz w:val="14"/>
          <w:szCs w:val="14"/>
          <w:color w:val="auto"/>
        </w:rPr>
        <w:t>Gross additions include increases in the cost basis of investments resulting from new portfolio investments, follow-on investments, accrued PIK and accretion of original issue discount.</w:t>
      </w:r>
    </w:p>
    <w:p>
      <w:pPr>
        <w:ind w:left="460" w:hanging="439"/>
        <w:spacing w:after="0" w:line="189" w:lineRule="auto"/>
        <w:tabs>
          <w:tab w:leader="none" w:pos="460" w:val="left"/>
        </w:tabs>
        <w:numPr>
          <w:ilvl w:val="0"/>
          <w:numId w:val="16"/>
        </w:numPr>
        <w:rPr>
          <w:rFonts w:ascii="Times New Roman" w:cs="Times New Roman" w:eastAsia="Times New Roman" w:hAnsi="Times New Roman"/>
          <w:sz w:val="19"/>
          <w:szCs w:val="19"/>
          <w:color w:val="auto"/>
          <w:vertAlign w:val="subscript"/>
        </w:rPr>
      </w:pPr>
      <w:r>
        <w:rPr>
          <w:rFonts w:ascii="Times New Roman" w:cs="Times New Roman" w:eastAsia="Times New Roman" w:hAnsi="Times New Roman"/>
          <w:sz w:val="14"/>
          <w:szCs w:val="14"/>
          <w:color w:val="auto"/>
        </w:rPr>
        <w:t>Gross additions also include transfers into Affiliate or Control classification.</w:t>
      </w:r>
    </w:p>
    <w:p>
      <w:pPr>
        <w:spacing w:after="0" w:line="3" w:lineRule="exact"/>
        <w:rPr>
          <w:rFonts w:ascii="Times New Roman" w:cs="Times New Roman" w:eastAsia="Times New Roman" w:hAnsi="Times New Roman"/>
          <w:sz w:val="19"/>
          <w:szCs w:val="19"/>
          <w:color w:val="auto"/>
          <w:vertAlign w:val="subscript"/>
        </w:rPr>
      </w:pPr>
    </w:p>
    <w:p>
      <w:pPr>
        <w:ind w:left="460"/>
        <w:spacing w:after="0" w:line="221" w:lineRule="auto"/>
        <w:rPr>
          <w:rFonts w:ascii="Times New Roman" w:cs="Times New Roman" w:eastAsia="Times New Roman" w:hAnsi="Times New Roman"/>
          <w:sz w:val="19"/>
          <w:szCs w:val="19"/>
          <w:color w:val="auto"/>
          <w:vertAlign w:val="subscript"/>
        </w:rPr>
      </w:pPr>
      <w:r>
        <w:rPr>
          <w:rFonts w:ascii="Times New Roman" w:cs="Times New Roman" w:eastAsia="Times New Roman" w:hAnsi="Times New Roman"/>
          <w:sz w:val="14"/>
          <w:szCs w:val="14"/>
          <w:color w:val="auto"/>
        </w:rPr>
        <w:t>Gross reductions include decreases in the cost basis of investments resulting from principal repayments and sales. Gross reductions also include transfers out of Affiliate or Control</w:t>
      </w:r>
    </w:p>
    <w:p>
      <w:pPr>
        <w:ind w:left="460" w:hanging="439"/>
        <w:spacing w:after="0" w:line="189" w:lineRule="auto"/>
        <w:tabs>
          <w:tab w:leader="none" w:pos="460" w:val="left"/>
        </w:tabs>
        <w:numPr>
          <w:ilvl w:val="0"/>
          <w:numId w:val="16"/>
        </w:numPr>
        <w:rPr>
          <w:rFonts w:ascii="Times New Roman" w:cs="Times New Roman" w:eastAsia="Times New Roman" w:hAnsi="Times New Roman"/>
          <w:sz w:val="19"/>
          <w:szCs w:val="19"/>
          <w:color w:val="auto"/>
          <w:vertAlign w:val="subscript"/>
        </w:rPr>
      </w:pPr>
      <w:r>
        <w:rPr>
          <w:rFonts w:ascii="Times New Roman" w:cs="Times New Roman" w:eastAsia="Times New Roman" w:hAnsi="Times New Roman"/>
          <w:sz w:val="14"/>
          <w:szCs w:val="14"/>
          <w:color w:val="auto"/>
        </w:rPr>
        <w:t>classification.</w:t>
      </w:r>
    </w:p>
    <w:p>
      <w:pPr>
        <w:spacing w:after="0" w:line="3" w:lineRule="exact"/>
        <w:rPr>
          <w:rFonts w:ascii="Times New Roman" w:cs="Times New Roman" w:eastAsia="Times New Roman" w:hAnsi="Times New Roman"/>
          <w:sz w:val="19"/>
          <w:szCs w:val="19"/>
          <w:color w:val="auto"/>
          <w:vertAlign w:val="subscript"/>
        </w:rPr>
      </w:pPr>
    </w:p>
    <w:p>
      <w:pPr>
        <w:ind w:left="460" w:hanging="439"/>
        <w:spacing w:after="0" w:line="189" w:lineRule="auto"/>
        <w:tabs>
          <w:tab w:leader="none" w:pos="460" w:val="left"/>
        </w:tabs>
        <w:numPr>
          <w:ilvl w:val="0"/>
          <w:numId w:val="16"/>
        </w:numPr>
        <w:rPr>
          <w:rFonts w:ascii="Times New Roman" w:cs="Times New Roman" w:eastAsia="Times New Roman" w:hAnsi="Times New Roman"/>
          <w:sz w:val="19"/>
          <w:szCs w:val="19"/>
          <w:color w:val="auto"/>
          <w:vertAlign w:val="subscript"/>
        </w:rPr>
      </w:pPr>
      <w:r>
        <w:rPr>
          <w:rFonts w:ascii="Times New Roman" w:cs="Times New Roman" w:eastAsia="Times New Roman" w:hAnsi="Times New Roman"/>
          <w:sz w:val="14"/>
          <w:szCs w:val="14"/>
          <w:color w:val="auto"/>
        </w:rPr>
        <w:t>All debt investments are income producing. Equity and warrant investments are non-income producing, unless otherwise noted.</w:t>
      </w:r>
    </w:p>
    <w:p>
      <w:pPr>
        <w:spacing w:after="0" w:line="3" w:lineRule="exact"/>
        <w:rPr>
          <w:rFonts w:ascii="Times New Roman" w:cs="Times New Roman" w:eastAsia="Times New Roman" w:hAnsi="Times New Roman"/>
          <w:sz w:val="19"/>
          <w:szCs w:val="19"/>
          <w:color w:val="auto"/>
          <w:vertAlign w:val="subscript"/>
        </w:rPr>
      </w:pPr>
    </w:p>
    <w:p>
      <w:pPr>
        <w:ind w:left="460" w:hanging="439"/>
        <w:spacing w:after="0" w:line="189" w:lineRule="auto"/>
        <w:tabs>
          <w:tab w:leader="none" w:pos="460" w:val="left"/>
        </w:tabs>
        <w:numPr>
          <w:ilvl w:val="0"/>
          <w:numId w:val="16"/>
        </w:numPr>
        <w:rPr>
          <w:rFonts w:ascii="Times New Roman" w:cs="Times New Roman" w:eastAsia="Times New Roman" w:hAnsi="Times New Roman"/>
          <w:sz w:val="19"/>
          <w:szCs w:val="19"/>
          <w:color w:val="auto"/>
          <w:vertAlign w:val="subscript"/>
        </w:rPr>
      </w:pPr>
      <w:r>
        <w:rPr>
          <w:rFonts w:ascii="Times New Roman" w:cs="Times New Roman" w:eastAsia="Times New Roman" w:hAnsi="Times New Roman"/>
          <w:sz w:val="14"/>
          <w:szCs w:val="14"/>
          <w:color w:val="auto"/>
        </w:rPr>
        <w:t>The equity investment is income producing, based on rate disclosed.</w:t>
      </w:r>
    </w:p>
    <w:p>
      <w:pPr>
        <w:spacing w:after="0" w:line="3" w:lineRule="exact"/>
        <w:rPr>
          <w:rFonts w:ascii="Times New Roman" w:cs="Times New Roman" w:eastAsia="Times New Roman" w:hAnsi="Times New Roman"/>
          <w:sz w:val="19"/>
          <w:szCs w:val="19"/>
          <w:color w:val="auto"/>
          <w:vertAlign w:val="subscript"/>
        </w:rPr>
      </w:pPr>
    </w:p>
    <w:p>
      <w:pPr>
        <w:jc w:val="both"/>
        <w:ind w:left="460" w:right="20"/>
        <w:spacing w:after="0" w:line="233" w:lineRule="auto"/>
        <w:rPr>
          <w:rFonts w:ascii="Times New Roman" w:cs="Times New Roman" w:eastAsia="Times New Roman" w:hAnsi="Times New Roman"/>
          <w:sz w:val="19"/>
          <w:szCs w:val="19"/>
          <w:color w:val="auto"/>
          <w:vertAlign w:val="subscript"/>
        </w:rPr>
      </w:pPr>
      <w:r>
        <w:rPr>
          <w:rFonts w:ascii="Times New Roman" w:cs="Times New Roman" w:eastAsia="Times New Roman" w:hAnsi="Times New Roman"/>
          <w:sz w:val="14"/>
          <w:szCs w:val="14"/>
          <w:color w:val="auto"/>
        </w:rPr>
        <w:t>During the three months ended June 30, 2022, Eastport Holdings, LLC completed a refinancing and recapitalization transaction. Logan Ridge received $16.5 million in cash and $19.3 million in principal of a new debt security in exchange for all of its previous debt and equity securities, which resulted in a realized gain of approximately $16.0 million on the Company's equity interest. As a result of this transaction, Eastport Holdings, LLC is no longer an affiliate of the Company.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4"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right"/>
        <w:ind w:right="52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0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4"/>
          <w:szCs w:val="14"/>
          <w:color w:val="auto"/>
        </w:rPr>
        <w:t>During the year ended December 31, 2021, the Company had investments in portfolio companies designated as affiliates under the 1940 Act. Transactions with affiliates were as follows (dollars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5"/>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gridSpan w:val="2"/>
          </w:tcPr>
          <w:p>
            <w:pPr>
              <w:ind w:left="20"/>
              <w:spacing w:after="0" w:line="111" w:lineRule="exact"/>
              <w:rPr>
                <w:sz w:val="20"/>
                <w:szCs w:val="20"/>
                <w:color w:val="auto"/>
              </w:rPr>
            </w:pPr>
            <w:r>
              <w:rPr>
                <w:rFonts w:ascii="Times New Roman" w:cs="Times New Roman" w:eastAsia="Times New Roman" w:hAnsi="Times New Roman"/>
                <w:sz w:val="11"/>
                <w:szCs w:val="11"/>
                <w:b w:val="1"/>
                <w:bCs w:val="1"/>
                <w:color w:val="auto"/>
                <w:w w:val="99"/>
              </w:rPr>
              <w:t>Interest, Fees or</w:t>
            </w:r>
          </w:p>
        </w:tc>
        <w:tc>
          <w:tcPr>
            <w:tcW w:w="220" w:type="dxa"/>
            <w:vAlign w:val="bottom"/>
          </w:tcPr>
          <w:p>
            <w:pPr>
              <w:spacing w:after="0"/>
              <w:rPr>
                <w:sz w:val="9"/>
                <w:szCs w:val="9"/>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restart"/>
          </w:tcPr>
          <w:p>
            <w:pPr>
              <w:jc w:val="center"/>
              <w:ind w:right="282"/>
              <w:spacing w:after="0"/>
              <w:rPr>
                <w:sz w:val="20"/>
                <w:szCs w:val="20"/>
                <w:color w:val="auto"/>
              </w:rPr>
            </w:pPr>
            <w:r>
              <w:rPr>
                <w:rFonts w:ascii="Times New Roman" w:cs="Times New Roman" w:eastAsia="Times New Roman" w:hAnsi="Times New Roman"/>
                <w:sz w:val="11"/>
                <w:szCs w:val="11"/>
                <w:b w:val="1"/>
                <w:bCs w:val="1"/>
                <w:color w:val="auto"/>
                <w:w w:val="97"/>
              </w:rPr>
              <w:t>Unrealized</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7"/>
              </w:rPr>
              <w:t>Dividends</w:t>
            </w:r>
          </w:p>
        </w:tc>
        <w:tc>
          <w:tcPr>
            <w:tcW w:w="2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80" w:type="dxa"/>
            <w:vAlign w:val="bottom"/>
            <w:gridSpan w:val="5"/>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 xml:space="preserve">Company </w:t>
            </w:r>
            <w:r>
              <w:rPr>
                <w:rFonts w:ascii="Times New Roman" w:cs="Times New Roman" w:eastAsia="Times New Roman" w:hAnsi="Times New Roman"/>
                <w:sz w:val="14"/>
                <w:szCs w:val="14"/>
                <w:b w:val="1"/>
                <w:bCs w:val="1"/>
                <w:color w:val="auto"/>
                <w:vertAlign w:val="superscript"/>
              </w:rPr>
              <w:t>(4)</w:t>
            </w:r>
          </w:p>
        </w:tc>
        <w:tc>
          <w:tcPr>
            <w:tcW w:w="100" w:type="dxa"/>
            <w:vAlign w:val="bottom"/>
          </w:tcPr>
          <w:p>
            <w:pPr>
              <w:spacing w:after="0"/>
              <w:rPr>
                <w:sz w:val="10"/>
                <w:szCs w:val="10"/>
                <w:color w:val="auto"/>
              </w:rPr>
            </w:pPr>
          </w:p>
        </w:tc>
        <w:tc>
          <w:tcPr>
            <w:tcW w:w="2020" w:type="dxa"/>
            <w:vAlign w:val="bottom"/>
            <w:vMerge w:val="restart"/>
          </w:tcPr>
          <w:p>
            <w:pPr>
              <w:ind w:left="580"/>
              <w:spacing w:after="0"/>
              <w:rPr>
                <w:sz w:val="20"/>
                <w:szCs w:val="20"/>
                <w:color w:val="auto"/>
              </w:rPr>
            </w:pPr>
            <w:r>
              <w:rPr>
                <w:rFonts w:ascii="Times New Roman" w:cs="Times New Roman" w:eastAsia="Times New Roman" w:hAnsi="Times New Roman"/>
                <w:sz w:val="11"/>
                <w:szCs w:val="11"/>
                <w:b w:val="1"/>
                <w:bCs w:val="1"/>
                <w:color w:val="auto"/>
              </w:rPr>
              <w:t>Type of Investment</w:t>
            </w:r>
          </w:p>
        </w:tc>
        <w:tc>
          <w:tcPr>
            <w:tcW w:w="120" w:type="dxa"/>
            <w:vAlign w:val="bottom"/>
          </w:tcPr>
          <w:p>
            <w:pPr>
              <w:spacing w:after="0"/>
              <w:rPr>
                <w:sz w:val="10"/>
                <w:szCs w:val="10"/>
                <w:color w:val="auto"/>
              </w:rPr>
            </w:pPr>
          </w:p>
        </w:tc>
        <w:tc>
          <w:tcPr>
            <w:tcW w:w="54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rPr>
              <w:t>Principal</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7"/>
              </w:rPr>
              <w:t>Credited to</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0"/>
              </w:rPr>
              <w:t>2020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ind w:right="186"/>
              <w:spacing w:after="0" w:line="122" w:lineRule="exact"/>
              <w:rPr>
                <w:sz w:val="20"/>
                <w:szCs w:val="20"/>
                <w:color w:val="auto"/>
              </w:rPr>
            </w:pPr>
            <w:r>
              <w:rPr>
                <w:rFonts w:ascii="Times New Roman" w:cs="Times New Roman" w:eastAsia="Times New Roman" w:hAnsi="Times New Roman"/>
                <w:sz w:val="11"/>
                <w:szCs w:val="11"/>
                <w:b w:val="1"/>
                <w:bCs w:val="1"/>
                <w:color w:val="auto"/>
              </w:rPr>
              <w:t>Gross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jc w:val="center"/>
              <w:ind w:right="380"/>
              <w:spacing w:after="0" w:line="122" w:lineRule="exact"/>
              <w:rPr>
                <w:sz w:val="20"/>
                <w:szCs w:val="20"/>
                <w:color w:val="auto"/>
              </w:rPr>
            </w:pPr>
            <w:r>
              <w:rPr>
                <w:rFonts w:ascii="Times New Roman" w:cs="Times New Roman" w:eastAsia="Times New Roman" w:hAnsi="Times New Roman"/>
                <w:sz w:val="11"/>
                <w:szCs w:val="11"/>
                <w:b w:val="1"/>
                <w:bCs w:val="1"/>
                <w:color w:val="auto"/>
                <w:w w:val="94"/>
              </w:rPr>
              <w:t>Gross</w:t>
            </w:r>
          </w:p>
        </w:tc>
        <w:tc>
          <w:tcPr>
            <w:tcW w:w="80" w:type="dxa"/>
            <w:vAlign w:val="bottom"/>
          </w:tcPr>
          <w:p>
            <w:pPr>
              <w:spacing w:after="0"/>
              <w:rPr>
                <w:sz w:val="10"/>
                <w:szCs w:val="10"/>
                <w:color w:val="auto"/>
              </w:rPr>
            </w:pPr>
          </w:p>
        </w:tc>
        <w:tc>
          <w:tcPr>
            <w:tcW w:w="62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Realized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262"/>
              <w:spacing w:after="0" w:line="122" w:lineRule="exact"/>
              <w:rPr>
                <w:sz w:val="20"/>
                <w:szCs w:val="20"/>
                <w:color w:val="auto"/>
              </w:rPr>
            </w:pPr>
            <w:r>
              <w:rPr>
                <w:rFonts w:ascii="Times New Roman" w:cs="Times New Roman" w:eastAsia="Times New Roman" w:hAnsi="Times New Roman"/>
                <w:sz w:val="11"/>
                <w:szCs w:val="11"/>
                <w:b w:val="1"/>
                <w:bCs w:val="1"/>
                <w:color w:val="auto"/>
                <w:w w:val="97"/>
              </w:rPr>
              <w:t>Appreciation</w:t>
            </w:r>
          </w:p>
        </w:tc>
        <w:tc>
          <w:tcPr>
            <w:tcW w:w="100" w:type="dxa"/>
            <w:vAlign w:val="bottom"/>
          </w:tcPr>
          <w:p>
            <w:pPr>
              <w:spacing w:after="0"/>
              <w:rPr>
                <w:sz w:val="10"/>
                <w:szCs w:val="10"/>
                <w:color w:val="auto"/>
              </w:rPr>
            </w:pPr>
          </w:p>
        </w:tc>
        <w:tc>
          <w:tcPr>
            <w:tcW w:w="66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0"/>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1"/>
                <w:szCs w:val="11"/>
                <w:b w:val="1"/>
                <w:bCs w:val="1"/>
                <w:color w:val="auto"/>
                <w:w w:val="94"/>
              </w:rPr>
              <w:t xml:space="preserve">Income </w:t>
            </w:r>
            <w:r>
              <w:rPr>
                <w:rFonts w:ascii="Times New Roman" w:cs="Times New Roman" w:eastAsia="Times New Roman" w:hAnsi="Times New Roman"/>
                <w:sz w:val="14"/>
                <w:szCs w:val="14"/>
                <w:b w:val="1"/>
                <w:bCs w:val="1"/>
                <w:color w:val="auto"/>
                <w:w w:val="94"/>
                <w:vertAlign w:val="superscript"/>
              </w:rPr>
              <w:t>(1)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5"/>
              </w:rPr>
              <w:t>Fair Value</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6"/>
              <w:spacing w:after="0" w:line="149" w:lineRule="exact"/>
              <w:rPr>
                <w:sz w:val="20"/>
                <w:szCs w:val="20"/>
                <w:color w:val="auto"/>
              </w:rPr>
            </w:pPr>
            <w:r>
              <w:rPr>
                <w:rFonts w:ascii="Times New Roman" w:cs="Times New Roman" w:eastAsia="Times New Roman" w:hAnsi="Times New Roman"/>
                <w:sz w:val="11"/>
                <w:szCs w:val="11"/>
                <w:b w:val="1"/>
                <w:bCs w:val="1"/>
                <w:color w:val="auto"/>
                <w:w w:val="94"/>
              </w:rPr>
              <w:t xml:space="preserve">Additions </w:t>
            </w:r>
            <w:r>
              <w:rPr>
                <w:rFonts w:ascii="Times New Roman" w:cs="Times New Roman" w:eastAsia="Times New Roman" w:hAnsi="Times New Roman"/>
                <w:sz w:val="14"/>
                <w:szCs w:val="14"/>
                <w:b w:val="1"/>
                <w:bCs w:val="1"/>
                <w:color w:val="auto"/>
                <w:w w:val="94"/>
                <w:vertAlign w:val="superscript"/>
              </w:rPr>
              <w:t>(2)</w:t>
            </w:r>
          </w:p>
        </w:tc>
        <w:tc>
          <w:tcPr>
            <w:tcW w:w="200" w:type="dxa"/>
            <w:vAlign w:val="bottom"/>
          </w:tcPr>
          <w:p>
            <w:pPr>
              <w:spacing w:after="0"/>
              <w:rPr>
                <w:sz w:val="12"/>
                <w:szCs w:val="12"/>
                <w:color w:val="auto"/>
              </w:rPr>
            </w:pPr>
          </w:p>
        </w:tc>
        <w:tc>
          <w:tcPr>
            <w:tcW w:w="94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1"/>
                <w:szCs w:val="11"/>
                <w:b w:val="1"/>
                <w:bCs w:val="1"/>
                <w:color w:val="auto"/>
                <w:w w:val="93"/>
              </w:rPr>
              <w:t xml:space="preserve">Reductions </w:t>
            </w:r>
            <w:r>
              <w:rPr>
                <w:rFonts w:ascii="Times New Roman" w:cs="Times New Roman" w:eastAsia="Times New Roman" w:hAnsi="Times New Roman"/>
                <w:sz w:val="14"/>
                <w:szCs w:val="14"/>
                <w:b w:val="1"/>
                <w:bCs w:val="1"/>
                <w:color w:val="auto"/>
                <w:w w:val="93"/>
                <w:vertAlign w:val="superscript"/>
              </w:rPr>
              <w:t>(3)</w:t>
            </w:r>
          </w:p>
        </w:tc>
        <w:tc>
          <w:tcPr>
            <w:tcW w:w="80" w:type="dxa"/>
            <w:vAlign w:val="bottom"/>
          </w:tcPr>
          <w:p>
            <w:pPr>
              <w:spacing w:after="0"/>
              <w:rPr>
                <w:sz w:val="12"/>
                <w:szCs w:val="12"/>
                <w:color w:val="auto"/>
              </w:rPr>
            </w:pPr>
          </w:p>
        </w:tc>
        <w:tc>
          <w:tcPr>
            <w:tcW w:w="6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4"/>
              </w:rPr>
              <w:t>Gain/(Loss)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42"/>
              <w:spacing w:after="0"/>
              <w:rPr>
                <w:sz w:val="20"/>
                <w:szCs w:val="20"/>
                <w:color w:val="auto"/>
              </w:rPr>
            </w:pPr>
            <w:r>
              <w:rPr>
                <w:rFonts w:ascii="Times New Roman" w:cs="Times New Roman" w:eastAsia="Times New Roman" w:hAnsi="Times New Roman"/>
                <w:sz w:val="11"/>
                <w:szCs w:val="11"/>
                <w:b w:val="1"/>
                <w:bCs w:val="1"/>
                <w:color w:val="auto"/>
                <w:w w:val="97"/>
              </w:rPr>
              <w:t>(Depreciation)</w:t>
            </w:r>
          </w:p>
        </w:tc>
        <w:tc>
          <w:tcPr>
            <w:tcW w:w="100" w:type="dxa"/>
            <w:vAlign w:val="bottom"/>
          </w:tcPr>
          <w:p>
            <w:pPr>
              <w:spacing w:after="0"/>
              <w:rPr>
                <w:sz w:val="12"/>
                <w:szCs w:val="12"/>
                <w:color w:val="auto"/>
              </w:rPr>
            </w:pPr>
          </w:p>
        </w:tc>
        <w:tc>
          <w:tcPr>
            <w:tcW w:w="6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5"/>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Borders>
              <w:top w:val="single" w:sz="8" w:color="auto"/>
              <w:bottom w:val="single" w:sz="8" w:color="CFF0FC"/>
            </w:tcBorders>
            <w:shd w:val="clear" w:color="auto" w:fill="CFF0FC"/>
          </w:tcPr>
          <w:p>
            <w:pPr>
              <w:spacing w:after="0"/>
              <w:rPr>
                <w:sz w:val="9"/>
                <w:szCs w:val="9"/>
                <w:color w:val="auto"/>
              </w:rPr>
            </w:pPr>
          </w:p>
        </w:tc>
        <w:tc>
          <w:tcPr>
            <w:tcW w:w="920" w:type="dxa"/>
            <w:vAlign w:val="bottom"/>
            <w:tcBorders>
              <w:top w:val="single" w:sz="8" w:color="auto"/>
              <w:bottom w:val="single" w:sz="8" w:color="auto"/>
            </w:tcBorders>
            <w:gridSpan w:val="2"/>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i w:val="1"/>
                <w:iCs w:val="1"/>
                <w:color w:val="auto"/>
                <w:w w:val="96"/>
              </w:rPr>
              <w:t>Affiliate investments</w:t>
            </w:r>
          </w:p>
        </w:tc>
        <w:tc>
          <w:tcPr>
            <w:tcW w:w="560" w:type="dxa"/>
            <w:vAlign w:val="bottom"/>
            <w:tcBorders>
              <w:top w:val="single" w:sz="8" w:color="auto"/>
              <w:bottom w:val="single" w:sz="8" w:color="CFF0FC"/>
            </w:tcBorders>
            <w:gridSpan w:val="3"/>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2020" w:type="dxa"/>
            <w:vAlign w:val="bottom"/>
            <w:tcBorders>
              <w:top w:val="single" w:sz="8" w:color="auto"/>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CFF0FC"/>
            </w:tcBorders>
            <w:shd w:val="clear" w:color="auto" w:fill="CFF0FC"/>
          </w:tcPr>
          <w:p>
            <w:pPr>
              <w:spacing w:after="0"/>
              <w:rPr>
                <w:sz w:val="9"/>
                <w:szCs w:val="9"/>
                <w:color w:val="auto"/>
              </w:rPr>
            </w:pPr>
          </w:p>
        </w:tc>
        <w:tc>
          <w:tcPr>
            <w:tcW w:w="460" w:type="dxa"/>
            <w:vAlign w:val="bottom"/>
            <w:tcBorders>
              <w:top w:val="single" w:sz="8" w:color="auto"/>
              <w:bottom w:val="single" w:sz="8" w:color="CFF0FC"/>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CFF0FC"/>
            </w:tcBorders>
            <w:shd w:val="clear" w:color="auto" w:fill="CFF0FC"/>
          </w:tcPr>
          <w:p>
            <w:pPr>
              <w:spacing w:after="0"/>
              <w:rPr>
                <w:sz w:val="9"/>
                <w:szCs w:val="9"/>
                <w:color w:val="auto"/>
              </w:rPr>
            </w:pPr>
          </w:p>
        </w:tc>
        <w:tc>
          <w:tcPr>
            <w:tcW w:w="700" w:type="dxa"/>
            <w:vAlign w:val="bottom"/>
            <w:tcBorders>
              <w:top w:val="single" w:sz="8" w:color="auto"/>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120" w:type="dxa"/>
            <w:vAlign w:val="bottom"/>
            <w:tcBorders>
              <w:top w:val="single" w:sz="8" w:color="auto"/>
              <w:bottom w:val="single" w:sz="8" w:color="CFF0FC"/>
            </w:tcBorders>
            <w:shd w:val="clear" w:color="auto" w:fill="CFF0FC"/>
          </w:tcPr>
          <w:p>
            <w:pPr>
              <w:spacing w:after="0"/>
              <w:rPr>
                <w:sz w:val="9"/>
                <w:szCs w:val="9"/>
                <w:color w:val="auto"/>
              </w:rPr>
            </w:pPr>
          </w:p>
        </w:tc>
        <w:tc>
          <w:tcPr>
            <w:tcW w:w="660" w:type="dxa"/>
            <w:vAlign w:val="bottom"/>
            <w:tcBorders>
              <w:top w:val="single" w:sz="8" w:color="auto"/>
              <w:bottom w:val="single" w:sz="8" w:color="CFF0FC"/>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60" w:type="dxa"/>
            <w:vAlign w:val="bottom"/>
            <w:tcBorders>
              <w:top w:val="single" w:sz="8" w:color="auto"/>
              <w:bottom w:val="single" w:sz="8" w:color="CFF0FC"/>
            </w:tcBorders>
            <w:shd w:val="clear" w:color="auto" w:fill="CFF0FC"/>
          </w:tcPr>
          <w:p>
            <w:pPr>
              <w:spacing w:after="0"/>
              <w:rPr>
                <w:sz w:val="9"/>
                <w:szCs w:val="9"/>
                <w:color w:val="auto"/>
              </w:rPr>
            </w:pPr>
          </w:p>
        </w:tc>
        <w:tc>
          <w:tcPr>
            <w:tcW w:w="660" w:type="dxa"/>
            <w:vAlign w:val="bottom"/>
            <w:tcBorders>
              <w:top w:val="single" w:sz="8" w:color="auto"/>
              <w:bottom w:val="single" w:sz="8" w:color="CFF0FC"/>
            </w:tcBorders>
            <w:shd w:val="clear" w:color="auto" w:fill="CFF0FC"/>
          </w:tcPr>
          <w:p>
            <w:pPr>
              <w:spacing w:after="0"/>
              <w:rPr>
                <w:sz w:val="9"/>
                <w:szCs w:val="9"/>
                <w:color w:val="auto"/>
              </w:rPr>
            </w:pPr>
          </w:p>
        </w:tc>
        <w:tc>
          <w:tcPr>
            <w:tcW w:w="200" w:type="dxa"/>
            <w:vAlign w:val="bottom"/>
            <w:tcBorders>
              <w:bottom w:val="single" w:sz="8" w:color="CFF0FC"/>
            </w:tcBorders>
            <w:shd w:val="clear" w:color="auto" w:fill="CFF0FC"/>
          </w:tcPr>
          <w:p>
            <w:pPr>
              <w:spacing w:after="0"/>
              <w:rPr>
                <w:sz w:val="9"/>
                <w:szCs w:val="9"/>
                <w:color w:val="auto"/>
              </w:rPr>
            </w:pPr>
          </w:p>
        </w:tc>
        <w:tc>
          <w:tcPr>
            <w:tcW w:w="140" w:type="dxa"/>
            <w:vAlign w:val="bottom"/>
            <w:tcBorders>
              <w:top w:val="single" w:sz="8" w:color="auto"/>
              <w:bottom w:val="single" w:sz="8" w:color="CFF0FC"/>
            </w:tcBorders>
            <w:shd w:val="clear" w:color="auto" w:fill="CFF0FC"/>
          </w:tcPr>
          <w:p>
            <w:pPr>
              <w:spacing w:after="0"/>
              <w:rPr>
                <w:sz w:val="9"/>
                <w:szCs w:val="9"/>
                <w:color w:val="auto"/>
              </w:rPr>
            </w:pPr>
          </w:p>
        </w:tc>
        <w:tc>
          <w:tcPr>
            <w:tcW w:w="600" w:type="dxa"/>
            <w:vAlign w:val="bottom"/>
            <w:tcBorders>
              <w:top w:val="single" w:sz="8" w:color="auto"/>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CFF0FC"/>
            </w:tcBorders>
            <w:shd w:val="clear" w:color="auto" w:fill="CFF0FC"/>
          </w:tcPr>
          <w:p>
            <w:pPr>
              <w:spacing w:after="0"/>
              <w:rPr>
                <w:sz w:val="9"/>
                <w:szCs w:val="9"/>
                <w:color w:val="auto"/>
              </w:rPr>
            </w:pPr>
          </w:p>
        </w:tc>
        <w:tc>
          <w:tcPr>
            <w:tcW w:w="620" w:type="dxa"/>
            <w:vAlign w:val="bottom"/>
            <w:tcBorders>
              <w:top w:val="single" w:sz="8" w:color="auto"/>
              <w:bottom w:val="single" w:sz="8" w:color="CFF0FC"/>
            </w:tcBorders>
            <w:shd w:val="clear" w:color="auto" w:fill="CFF0FC"/>
          </w:tcPr>
          <w:p>
            <w:pPr>
              <w:spacing w:after="0"/>
              <w:rPr>
                <w:sz w:val="9"/>
                <w:szCs w:val="9"/>
                <w:color w:val="auto"/>
              </w:rPr>
            </w:pPr>
          </w:p>
        </w:tc>
        <w:tc>
          <w:tcPr>
            <w:tcW w:w="200" w:type="dxa"/>
            <w:vAlign w:val="bottom"/>
            <w:tcBorders>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CFF0FC"/>
            </w:tcBorders>
            <w:shd w:val="clear" w:color="auto" w:fill="CFF0FC"/>
          </w:tcPr>
          <w:p>
            <w:pPr>
              <w:spacing w:after="0"/>
              <w:rPr>
                <w:sz w:val="9"/>
                <w:szCs w:val="9"/>
                <w:color w:val="auto"/>
              </w:rPr>
            </w:pPr>
          </w:p>
        </w:tc>
        <w:tc>
          <w:tcPr>
            <w:tcW w:w="780" w:type="dxa"/>
            <w:vAlign w:val="bottom"/>
            <w:tcBorders>
              <w:top w:val="single" w:sz="8" w:color="auto"/>
              <w:bottom w:val="single" w:sz="8" w:color="CFF0FC"/>
            </w:tcBorders>
            <w:shd w:val="clear" w:color="auto" w:fill="CFF0FC"/>
          </w:tcPr>
          <w:p>
            <w:pPr>
              <w:spacing w:after="0"/>
              <w:rPr>
                <w:sz w:val="9"/>
                <w:szCs w:val="9"/>
                <w:color w:val="auto"/>
              </w:rPr>
            </w:pPr>
          </w:p>
        </w:tc>
        <w:tc>
          <w:tcPr>
            <w:tcW w:w="200" w:type="dxa"/>
            <w:vAlign w:val="bottom"/>
            <w:tcBorders>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CFF0FC"/>
            </w:tcBorders>
            <w:shd w:val="clear" w:color="auto" w:fill="CFF0FC"/>
          </w:tcPr>
          <w:p>
            <w:pPr>
              <w:spacing w:after="0"/>
              <w:rPr>
                <w:sz w:val="9"/>
                <w:szCs w:val="9"/>
                <w:color w:val="auto"/>
              </w:rPr>
            </w:pPr>
          </w:p>
        </w:tc>
        <w:tc>
          <w:tcPr>
            <w:tcW w:w="660" w:type="dxa"/>
            <w:vAlign w:val="bottom"/>
            <w:tcBorders>
              <w:top w:val="single" w:sz="8" w:color="auto"/>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00" w:type="dxa"/>
            <w:vAlign w:val="bottom"/>
            <w:gridSpan w:val="6"/>
          </w:tcPr>
          <w:p>
            <w:pPr>
              <w:ind w:left="20"/>
              <w:spacing w:after="0" w:line="108" w:lineRule="exact"/>
              <w:rPr>
                <w:sz w:val="20"/>
                <w:szCs w:val="20"/>
                <w:color w:val="auto"/>
              </w:rPr>
            </w:pPr>
            <w:r>
              <w:rPr>
                <w:rFonts w:ascii="Times New Roman" w:cs="Times New Roman" w:eastAsia="Times New Roman" w:hAnsi="Times New Roman"/>
                <w:sz w:val="11"/>
                <w:szCs w:val="11"/>
                <w:color w:val="auto"/>
              </w:rPr>
              <w:t>Burgaflex Holdings, LLC</w:t>
            </w:r>
          </w:p>
        </w:tc>
        <w:tc>
          <w:tcPr>
            <w:tcW w:w="100" w:type="dxa"/>
            <w:vAlign w:val="bottom"/>
          </w:tcPr>
          <w:p>
            <w:pPr>
              <w:spacing w:after="0"/>
              <w:rPr>
                <w:sz w:val="9"/>
                <w:szCs w:val="9"/>
                <w:color w:val="auto"/>
              </w:rPr>
            </w:pPr>
          </w:p>
        </w:tc>
        <w:tc>
          <w:tcPr>
            <w:tcW w:w="202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w w:val="99"/>
              </w:rPr>
              <w:t>First Lien Debt (12.0% Cash, 3.0% PIK, Due</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3/23/21)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13,597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(13,597 )</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Burgaflex Holdings, LLC</w:t>
            </w:r>
          </w:p>
        </w:tc>
        <w:tc>
          <w:tcPr>
            <w:tcW w:w="100" w:type="dxa"/>
            <w:vAlign w:val="bottom"/>
            <w:shd w:val="clear" w:color="auto" w:fill="CFF0FC"/>
          </w:tcPr>
          <w:p>
            <w:pPr>
              <w:spacing w:after="0"/>
              <w:rPr>
                <w:sz w:val="12"/>
                <w:szCs w:val="12"/>
                <w:color w:val="auto"/>
              </w:rPr>
            </w:pP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Common Stock Class B (1,085,073 shares)</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1,338</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00" w:type="dxa"/>
            <w:vAlign w:val="bottom"/>
            <w:gridSpan w:val="6"/>
          </w:tcPr>
          <w:p>
            <w:pPr>
              <w:ind w:left="20"/>
              <w:spacing w:after="0"/>
              <w:rPr>
                <w:sz w:val="20"/>
                <w:szCs w:val="20"/>
                <w:color w:val="auto"/>
              </w:rPr>
            </w:pPr>
            <w:r>
              <w:rPr>
                <w:rFonts w:ascii="Times New Roman" w:cs="Times New Roman" w:eastAsia="Times New Roman" w:hAnsi="Times New Roman"/>
                <w:sz w:val="11"/>
                <w:szCs w:val="11"/>
                <w:color w:val="auto"/>
              </w:rPr>
              <w:t>Burgaflex Holdings, LLC</w:t>
            </w:r>
          </w:p>
        </w:tc>
        <w:tc>
          <w:tcPr>
            <w:tcW w:w="100" w:type="dxa"/>
            <w:vAlign w:val="bottom"/>
          </w:tcPr>
          <w:p>
            <w:pPr>
              <w:spacing w:after="0"/>
              <w:rPr>
                <w:sz w:val="11"/>
                <w:szCs w:val="11"/>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Common Stock Class A (1,253,198 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0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14,935</w:t>
            </w: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(13,597</w:t>
            </w:r>
          </w:p>
        </w:tc>
        <w:tc>
          <w:tcPr>
            <w:tcW w:w="100" w:type="dxa"/>
            <w:vAlign w:val="bottom"/>
            <w:tcBorders>
              <w:bottom w:val="single" w:sz="8" w:color="CFF0FC"/>
            </w:tcBorders>
            <w:shd w:val="clear" w:color="auto" w:fill="CFF0FC"/>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1,383</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2,721</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500" w:type="dxa"/>
            <w:vAlign w:val="bottom"/>
            <w:gridSpan w:val="6"/>
          </w:tcPr>
          <w:p>
            <w:pPr>
              <w:ind w:left="20"/>
              <w:spacing w:after="0"/>
              <w:rPr>
                <w:sz w:val="20"/>
                <w:szCs w:val="20"/>
                <w:color w:val="auto"/>
              </w:rPr>
            </w:pPr>
            <w:r>
              <w:rPr>
                <w:rFonts w:ascii="Times New Roman" w:cs="Times New Roman" w:eastAsia="Times New Roman" w:hAnsi="Times New Roman"/>
                <w:sz w:val="11"/>
                <w:szCs w:val="11"/>
                <w:color w:val="auto"/>
              </w:rPr>
              <w:t>City Gear, LLC</w:t>
            </w:r>
          </w:p>
        </w:tc>
        <w:tc>
          <w:tcPr>
            <w:tcW w:w="100" w:type="dxa"/>
            <w:vAlign w:val="bottom"/>
          </w:tcPr>
          <w:p>
            <w:pPr>
              <w:spacing w:after="0"/>
              <w:rPr>
                <w:sz w:val="11"/>
                <w:szCs w:val="11"/>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Membership Unit Warrants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2,011</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(2,215 )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(2,011 )</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0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2,011</w:t>
            </w: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(2,215</w:t>
            </w:r>
          </w:p>
        </w:tc>
        <w:tc>
          <w:tcPr>
            <w:tcW w:w="100" w:type="dxa"/>
            <w:vAlign w:val="bottom"/>
            <w:tcBorders>
              <w:bottom w:val="single" w:sz="8" w:color="CFF0FC"/>
            </w:tcBorders>
            <w:shd w:val="clear" w:color="auto" w:fill="CFF0FC"/>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2,215</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(2,011</w:t>
            </w:r>
          </w:p>
        </w:tc>
        <w:tc>
          <w:tcPr>
            <w:tcW w:w="200" w:type="dxa"/>
            <w:vAlign w:val="bottom"/>
            <w:tcBorders>
              <w:bottom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500" w:type="dxa"/>
            <w:vAlign w:val="bottom"/>
            <w:gridSpan w:val="6"/>
          </w:tcPr>
          <w:p>
            <w:pPr>
              <w:ind w:left="20"/>
              <w:spacing w:after="0" w:line="102" w:lineRule="exact"/>
              <w:rPr>
                <w:sz w:val="20"/>
                <w:szCs w:val="20"/>
                <w:color w:val="auto"/>
              </w:rPr>
            </w:pPr>
            <w:r>
              <w:rPr>
                <w:rFonts w:ascii="Times New Roman" w:cs="Times New Roman" w:eastAsia="Times New Roman" w:hAnsi="Times New Roman"/>
                <w:sz w:val="11"/>
                <w:szCs w:val="11"/>
                <w:color w:val="auto"/>
              </w:rPr>
              <w:t>Eastport Holdings, LLC</w:t>
            </w:r>
          </w:p>
        </w:tc>
        <w:tc>
          <w:tcPr>
            <w:tcW w:w="100" w:type="dxa"/>
            <w:vAlign w:val="bottom"/>
          </w:tcPr>
          <w:p>
            <w:pPr>
              <w:spacing w:after="0"/>
              <w:rPr>
                <w:sz w:val="8"/>
                <w:szCs w:val="8"/>
                <w:color w:val="auto"/>
              </w:rPr>
            </w:pPr>
          </w:p>
        </w:tc>
        <w:tc>
          <w:tcPr>
            <w:tcW w:w="2020" w:type="dxa"/>
            <w:vAlign w:val="bottom"/>
          </w:tcPr>
          <w:p>
            <w:pPr>
              <w:ind w:left="20"/>
              <w:spacing w:after="0" w:line="102" w:lineRule="exact"/>
              <w:rPr>
                <w:sz w:val="20"/>
                <w:szCs w:val="20"/>
                <w:color w:val="auto"/>
              </w:rPr>
            </w:pPr>
            <w:r>
              <w:rPr>
                <w:rFonts w:ascii="Times New Roman" w:cs="Times New Roman" w:eastAsia="Times New Roman" w:hAnsi="Times New Roman"/>
                <w:sz w:val="11"/>
                <w:szCs w:val="11"/>
                <w:color w:val="auto"/>
              </w:rPr>
              <w:t>Second Lien Debt (13.5% Cash (3 month</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LIBOR + 13.0%, 0.5% Floor), Due 4/30/22)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(123 )</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Eastport Holdings, LLC</w:t>
            </w:r>
          </w:p>
        </w:tc>
        <w:tc>
          <w:tcPr>
            <w:tcW w:w="100" w:type="dxa"/>
            <w:vAlign w:val="bottom"/>
            <w:shd w:val="clear" w:color="auto" w:fill="CFF0FC"/>
          </w:tcPr>
          <w:p>
            <w:pPr>
              <w:spacing w:after="0"/>
              <w:rPr>
                <w:sz w:val="12"/>
                <w:szCs w:val="12"/>
                <w:color w:val="auto"/>
              </w:rPr>
            </w:pP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Membership Units (22.9% ownership)</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20,294</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1"/>
                <w:szCs w:val="11"/>
                <w:color w:val="auto"/>
              </w:rPr>
              <w:t>(3,975 )</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16,319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36,794</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(4,098 )</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32,819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GA Communications, Inc.</w:t>
            </w:r>
          </w:p>
        </w:tc>
        <w:tc>
          <w:tcPr>
            <w:tcW w:w="100" w:type="dxa"/>
            <w:vAlign w:val="bottom"/>
            <w:shd w:val="clear" w:color="auto" w:fill="CFF0FC"/>
          </w:tcPr>
          <w:p>
            <w:pPr>
              <w:spacing w:after="0"/>
              <w:rPr>
                <w:sz w:val="11"/>
                <w:szCs w:val="11"/>
                <w:color w:val="auto"/>
              </w:rPr>
            </w:pP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Series A-1 Preferred Stock (1,998 shares)</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4,066</w:t>
            </w:r>
          </w:p>
        </w:tc>
        <w:tc>
          <w:tcPr>
            <w:tcW w:w="24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328</w:t>
            </w: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4,394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gridSpan w:val="6"/>
          </w:tcPr>
          <w:p>
            <w:pPr>
              <w:ind w:left="20"/>
              <w:spacing w:after="0"/>
              <w:rPr>
                <w:sz w:val="20"/>
                <w:szCs w:val="20"/>
                <w:color w:val="auto"/>
              </w:rPr>
            </w:pPr>
            <w:r>
              <w:rPr>
                <w:rFonts w:ascii="Times New Roman" w:cs="Times New Roman" w:eastAsia="Times New Roman" w:hAnsi="Times New Roman"/>
                <w:sz w:val="11"/>
                <w:szCs w:val="11"/>
                <w:color w:val="auto"/>
              </w:rPr>
              <w:t>GA Communications, Inc.</w:t>
            </w:r>
          </w:p>
        </w:tc>
        <w:tc>
          <w:tcPr>
            <w:tcW w:w="100" w:type="dxa"/>
            <w:vAlign w:val="bottom"/>
          </w:tcPr>
          <w:p>
            <w:pPr>
              <w:spacing w:after="0"/>
              <w:rPr>
                <w:sz w:val="11"/>
                <w:szCs w:val="11"/>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Series B-1 Common Stock (200,000 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0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4,212</w:t>
            </w: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gridSpan w:val="2"/>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367</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4,579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500" w:type="dxa"/>
            <w:vAlign w:val="bottom"/>
            <w:gridSpan w:val="6"/>
          </w:tcPr>
          <w:p>
            <w:pPr>
              <w:ind w:left="20"/>
              <w:spacing w:after="0"/>
              <w:rPr>
                <w:sz w:val="20"/>
                <w:szCs w:val="20"/>
                <w:color w:val="auto"/>
              </w:rPr>
            </w:pPr>
            <w:r>
              <w:rPr>
                <w:rFonts w:ascii="Times New Roman" w:cs="Times New Roman" w:eastAsia="Times New Roman" w:hAnsi="Times New Roman"/>
                <w:sz w:val="11"/>
                <w:szCs w:val="11"/>
                <w:color w:val="auto"/>
              </w:rPr>
              <w:t>LJS Partners, LLC</w:t>
            </w:r>
          </w:p>
        </w:tc>
        <w:tc>
          <w:tcPr>
            <w:tcW w:w="100" w:type="dxa"/>
            <w:vAlign w:val="bottom"/>
          </w:tcPr>
          <w:p>
            <w:pPr>
              <w:spacing w:after="0"/>
              <w:rPr>
                <w:sz w:val="11"/>
                <w:szCs w:val="11"/>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Preferred Units (202,336 units)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756</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00" w:type="dxa"/>
            <w:vAlign w:val="bottom"/>
            <w:gridSpan w:val="6"/>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LJS Partners, LLC</w:t>
            </w:r>
          </w:p>
        </w:tc>
        <w:tc>
          <w:tcPr>
            <w:tcW w:w="100" w:type="dxa"/>
            <w:vAlign w:val="bottom"/>
            <w:shd w:val="clear" w:color="auto" w:fill="CFF0FC"/>
          </w:tcPr>
          <w:p>
            <w:pPr>
              <w:spacing w:after="0"/>
              <w:rPr>
                <w:sz w:val="9"/>
                <w:szCs w:val="9"/>
                <w:color w:val="auto"/>
              </w:rPr>
            </w:pPr>
          </w:p>
        </w:tc>
        <w:tc>
          <w:tcPr>
            <w:tcW w:w="202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Common Membership Units (2,593,234</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3,951</w:t>
            </w: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vMerge w:val="restart"/>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3,213</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7,164</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units)</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vMerge w:val="continue"/>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gridSpan w:val="2"/>
            <w:vMerge w:val="continue"/>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8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4,707</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MMI Holdings, LLC</w:t>
            </w:r>
          </w:p>
        </w:tc>
        <w:tc>
          <w:tcPr>
            <w:tcW w:w="100" w:type="dxa"/>
            <w:vAlign w:val="bottom"/>
            <w:shd w:val="clear" w:color="auto" w:fill="CFF0FC"/>
          </w:tcPr>
          <w:p>
            <w:pPr>
              <w:spacing w:after="0"/>
              <w:rPr>
                <w:sz w:val="11"/>
                <w:szCs w:val="11"/>
                <w:color w:val="auto"/>
              </w:rPr>
            </w:pP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First Lien Debt (12.0% Cash, Due 1/31/22)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2,600</w:t>
            </w: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316</w:t>
            </w: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2,600</w:t>
            </w:r>
          </w:p>
        </w:tc>
        <w:tc>
          <w:tcPr>
            <w:tcW w:w="24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500" w:type="dxa"/>
            <w:vAlign w:val="bottom"/>
            <w:gridSpan w:val="6"/>
          </w:tcPr>
          <w:p>
            <w:pPr>
              <w:ind w:left="20"/>
              <w:spacing w:after="0" w:line="103" w:lineRule="exact"/>
              <w:rPr>
                <w:sz w:val="20"/>
                <w:szCs w:val="20"/>
                <w:color w:val="auto"/>
              </w:rPr>
            </w:pPr>
            <w:r>
              <w:rPr>
                <w:rFonts w:ascii="Times New Roman" w:cs="Times New Roman" w:eastAsia="Times New Roman" w:hAnsi="Times New Roman"/>
                <w:sz w:val="11"/>
                <w:szCs w:val="11"/>
                <w:color w:val="auto"/>
              </w:rPr>
              <w:t>MMI Holdings, LLC</w:t>
            </w:r>
          </w:p>
        </w:tc>
        <w:tc>
          <w:tcPr>
            <w:tcW w:w="100" w:type="dxa"/>
            <w:vAlign w:val="bottom"/>
          </w:tcPr>
          <w:p>
            <w:pPr>
              <w:spacing w:after="0"/>
              <w:rPr>
                <w:sz w:val="8"/>
                <w:szCs w:val="8"/>
                <w:color w:val="auto"/>
              </w:rPr>
            </w:pPr>
          </w:p>
        </w:tc>
        <w:tc>
          <w:tcPr>
            <w:tcW w:w="20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Second Lien Debt (6.0% Cash, Due 1/31/22)</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400</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24</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400</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3"/>
          </w:tcPr>
          <w:p>
            <w:pPr>
              <w:jc w:val="right"/>
              <w:ind w:right="220"/>
              <w:spacing w:after="0" w:line="103"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6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2"/>
          </w:tcPr>
          <w:p>
            <w:pPr>
              <w:jc w:val="right"/>
              <w:ind w:right="182"/>
              <w:spacing w:after="0" w:line="103"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400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500" w:type="dxa"/>
            <w:vAlign w:val="bottom"/>
            <w:gridSpan w:val="6"/>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MMI Holdings, LLC </w:t>
            </w:r>
            <w:r>
              <w:rPr>
                <w:rFonts w:ascii="Times New Roman" w:cs="Times New Roman" w:eastAsia="Times New Roman" w:hAnsi="Times New Roman"/>
                <w:sz w:val="14"/>
                <w:szCs w:val="14"/>
                <w:color w:val="auto"/>
                <w:vertAlign w:val="superscript"/>
              </w:rPr>
              <w:t>(5)</w:t>
            </w:r>
          </w:p>
        </w:tc>
        <w:tc>
          <w:tcPr>
            <w:tcW w:w="100" w:type="dxa"/>
            <w:vAlign w:val="bottom"/>
          </w:tcPr>
          <w:p>
            <w:pPr>
              <w:spacing w:after="0"/>
              <w:rPr>
                <w:sz w:val="12"/>
                <w:szCs w:val="12"/>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Preferred Units (1,000 units, 6.0% PIK</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1,815</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(27 )</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gridSpan w:val="6"/>
          </w:tcPr>
          <w:p>
            <w:pPr>
              <w:ind w:left="20"/>
              <w:spacing w:after="0"/>
              <w:rPr>
                <w:sz w:val="20"/>
                <w:szCs w:val="20"/>
                <w:color w:val="auto"/>
              </w:rPr>
            </w:pPr>
            <w:r>
              <w:rPr>
                <w:rFonts w:ascii="Times New Roman" w:cs="Times New Roman" w:eastAsia="Times New Roman" w:hAnsi="Times New Roman"/>
                <w:sz w:val="11"/>
                <w:szCs w:val="11"/>
                <w:color w:val="auto"/>
              </w:rPr>
              <w:t>MMI Holdings, LLC</w:t>
            </w:r>
          </w:p>
        </w:tc>
        <w:tc>
          <w:tcPr>
            <w:tcW w:w="100" w:type="dxa"/>
            <w:vAlign w:val="bottom"/>
          </w:tcPr>
          <w:p>
            <w:pPr>
              <w:spacing w:after="0"/>
              <w:rPr>
                <w:sz w:val="12"/>
                <w:szCs w:val="12"/>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Common Membership Units (45 units)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(141 )</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0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5,019</w:t>
            </w: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gridSpan w:val="2"/>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200" w:type="dxa"/>
            <w:vAlign w:val="bottom"/>
            <w:tcBorders>
              <w:bottom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4,961</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500" w:type="dxa"/>
            <w:vAlign w:val="bottom"/>
            <w:gridSpan w:val="6"/>
          </w:tcPr>
          <w:p>
            <w:pPr>
              <w:ind w:left="20"/>
              <w:spacing w:after="0" w:line="102" w:lineRule="exact"/>
              <w:rPr>
                <w:sz w:val="20"/>
                <w:szCs w:val="20"/>
                <w:color w:val="auto"/>
              </w:rPr>
            </w:pPr>
            <w:r>
              <w:rPr>
                <w:rFonts w:ascii="Times New Roman" w:cs="Times New Roman" w:eastAsia="Times New Roman" w:hAnsi="Times New Roman"/>
                <w:sz w:val="11"/>
                <w:szCs w:val="11"/>
                <w:color w:val="auto"/>
              </w:rPr>
              <w:t>Navis Holdings, Inc.</w:t>
            </w:r>
          </w:p>
        </w:tc>
        <w:tc>
          <w:tcPr>
            <w:tcW w:w="100" w:type="dxa"/>
            <w:vAlign w:val="bottom"/>
          </w:tcPr>
          <w:p>
            <w:pPr>
              <w:spacing w:after="0"/>
              <w:rPr>
                <w:sz w:val="8"/>
                <w:szCs w:val="8"/>
                <w:color w:val="auto"/>
              </w:rPr>
            </w:pPr>
          </w:p>
        </w:tc>
        <w:tc>
          <w:tcPr>
            <w:tcW w:w="2020" w:type="dxa"/>
            <w:vAlign w:val="bottom"/>
          </w:tcPr>
          <w:p>
            <w:pPr>
              <w:ind w:left="20"/>
              <w:spacing w:after="0" w:line="102" w:lineRule="exact"/>
              <w:rPr>
                <w:sz w:val="20"/>
                <w:szCs w:val="20"/>
                <w:color w:val="auto"/>
              </w:rPr>
            </w:pPr>
            <w:r>
              <w:rPr>
                <w:rFonts w:ascii="Times New Roman" w:cs="Times New Roman" w:eastAsia="Times New Roman" w:hAnsi="Times New Roman"/>
                <w:sz w:val="11"/>
                <w:szCs w:val="11"/>
                <w:color w:val="auto"/>
              </w:rPr>
              <w:t>First Lien Debt (9.0% Cash, 2.0% PIK, Due</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6/30/23)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10,882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(11,212 )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Navis Holdings, Inc.</w:t>
            </w:r>
          </w:p>
        </w:tc>
        <w:tc>
          <w:tcPr>
            <w:tcW w:w="100" w:type="dxa"/>
            <w:vAlign w:val="bottom"/>
            <w:shd w:val="clear" w:color="auto" w:fill="CFF0FC"/>
          </w:tcPr>
          <w:p>
            <w:pPr>
              <w:spacing w:after="0"/>
              <w:rPr>
                <w:sz w:val="12"/>
                <w:szCs w:val="12"/>
                <w:color w:val="auto"/>
              </w:rPr>
            </w:pP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Class A Preferred Stock (1,000 shares)</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986</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00" w:type="dxa"/>
            <w:vAlign w:val="bottom"/>
            <w:gridSpan w:val="6"/>
          </w:tcPr>
          <w:p>
            <w:pPr>
              <w:ind w:left="20"/>
              <w:spacing w:after="0"/>
              <w:rPr>
                <w:sz w:val="20"/>
                <w:szCs w:val="20"/>
                <w:color w:val="auto"/>
              </w:rPr>
            </w:pPr>
            <w:r>
              <w:rPr>
                <w:rFonts w:ascii="Times New Roman" w:cs="Times New Roman" w:eastAsia="Times New Roman" w:hAnsi="Times New Roman"/>
                <w:sz w:val="11"/>
                <w:szCs w:val="11"/>
                <w:color w:val="auto"/>
              </w:rPr>
              <w:t>Navis Holdings, Inc.</w:t>
            </w:r>
          </w:p>
        </w:tc>
        <w:tc>
          <w:tcPr>
            <w:tcW w:w="100" w:type="dxa"/>
            <w:vAlign w:val="bottom"/>
          </w:tcPr>
          <w:p>
            <w:pPr>
              <w:spacing w:after="0"/>
              <w:rPr>
                <w:sz w:val="11"/>
                <w:szCs w:val="11"/>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Common Stock (60,000 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(260 )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0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1,093</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11,868</w:t>
            </w: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(12,472</w:t>
            </w:r>
          </w:p>
        </w:tc>
        <w:tc>
          <w:tcPr>
            <w:tcW w:w="100" w:type="dxa"/>
            <w:vAlign w:val="bottom"/>
            <w:tcBorders>
              <w:bottom w:val="single" w:sz="8" w:color="CFF0FC"/>
            </w:tcBorders>
            <w:shd w:val="clear" w:color="auto" w:fill="CFF0FC"/>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260</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500" w:type="dxa"/>
            <w:vAlign w:val="bottom"/>
            <w:gridSpan w:val="6"/>
          </w:tcPr>
          <w:p>
            <w:pPr>
              <w:ind w:left="20"/>
              <w:spacing w:after="0" w:line="102" w:lineRule="exact"/>
              <w:rPr>
                <w:sz w:val="20"/>
                <w:szCs w:val="20"/>
                <w:color w:val="auto"/>
              </w:rPr>
            </w:pPr>
            <w:r>
              <w:rPr>
                <w:rFonts w:ascii="Times New Roman" w:cs="Times New Roman" w:eastAsia="Times New Roman" w:hAnsi="Times New Roman"/>
                <w:sz w:val="11"/>
                <w:szCs w:val="11"/>
                <w:color w:val="auto"/>
              </w:rPr>
              <w:t>Nth Degree Investment Group,</w:t>
            </w:r>
          </w:p>
        </w:tc>
        <w:tc>
          <w:tcPr>
            <w:tcW w:w="100" w:type="dxa"/>
            <w:vAlign w:val="bottom"/>
          </w:tcPr>
          <w:p>
            <w:pPr>
              <w:spacing w:after="0"/>
              <w:rPr>
                <w:sz w:val="8"/>
                <w:szCs w:val="8"/>
                <w:color w:val="auto"/>
              </w:rPr>
            </w:pPr>
          </w:p>
        </w:tc>
        <w:tc>
          <w:tcPr>
            <w:tcW w:w="2020" w:type="dxa"/>
            <w:vAlign w:val="bottom"/>
          </w:tcPr>
          <w:p>
            <w:pPr>
              <w:ind w:left="20"/>
              <w:spacing w:after="0" w:line="102" w:lineRule="exact"/>
              <w:rPr>
                <w:sz w:val="20"/>
                <w:szCs w:val="20"/>
                <w:color w:val="auto"/>
              </w:rPr>
            </w:pPr>
            <w:r>
              <w:rPr>
                <w:rFonts w:ascii="Times New Roman" w:cs="Times New Roman" w:eastAsia="Times New Roman" w:hAnsi="Times New Roman"/>
                <w:sz w:val="11"/>
                <w:szCs w:val="11"/>
                <w:color w:val="auto"/>
              </w:rPr>
              <w:t>Membership Units (6,088,000 Units)</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2"/>
            <w:vMerge w:val="restart"/>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00" w:type="dxa"/>
            <w:vAlign w:val="bottom"/>
            <w:gridSpan w:val="6"/>
          </w:tcPr>
          <w:p>
            <w:pPr>
              <w:ind w:left="20"/>
              <w:spacing w:after="0"/>
              <w:rPr>
                <w:sz w:val="20"/>
                <w:szCs w:val="20"/>
                <w:color w:val="auto"/>
              </w:rPr>
            </w:pPr>
            <w:r>
              <w:rPr>
                <w:rFonts w:ascii="Times New Roman" w:cs="Times New Roman" w:eastAsia="Times New Roman" w:hAnsi="Times New Roman"/>
                <w:sz w:val="11"/>
                <w:szCs w:val="11"/>
                <w:color w:val="auto"/>
              </w:rPr>
              <w:t>LLC</w:t>
            </w:r>
          </w:p>
        </w:tc>
        <w:tc>
          <w:tcPr>
            <w:tcW w:w="1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0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gridSpan w:val="2"/>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500" w:type="dxa"/>
            <w:vAlign w:val="bottom"/>
            <w:gridSpan w:val="6"/>
          </w:tcPr>
          <w:p>
            <w:pPr>
              <w:ind w:left="20"/>
              <w:spacing w:after="0" w:line="102" w:lineRule="exact"/>
              <w:rPr>
                <w:sz w:val="20"/>
                <w:szCs w:val="20"/>
                <w:color w:val="auto"/>
              </w:rPr>
            </w:pPr>
            <w:r>
              <w:rPr>
                <w:rFonts w:ascii="Times New Roman" w:cs="Times New Roman" w:eastAsia="Times New Roman" w:hAnsi="Times New Roman"/>
                <w:sz w:val="11"/>
                <w:szCs w:val="11"/>
                <w:color w:val="auto"/>
              </w:rPr>
              <w:t>RAM Payment, LLC</w:t>
            </w:r>
          </w:p>
        </w:tc>
        <w:tc>
          <w:tcPr>
            <w:tcW w:w="100" w:type="dxa"/>
            <w:vAlign w:val="bottom"/>
          </w:tcPr>
          <w:p>
            <w:pPr>
              <w:spacing w:after="0"/>
              <w:rPr>
                <w:sz w:val="8"/>
                <w:szCs w:val="8"/>
                <w:color w:val="auto"/>
              </w:rPr>
            </w:pPr>
          </w:p>
        </w:tc>
        <w:tc>
          <w:tcPr>
            <w:tcW w:w="2020" w:type="dxa"/>
            <w:vAlign w:val="bottom"/>
          </w:tcPr>
          <w:p>
            <w:pPr>
              <w:ind w:left="20"/>
              <w:spacing w:after="0" w:line="102" w:lineRule="exact"/>
              <w:rPr>
                <w:sz w:val="20"/>
                <w:szCs w:val="20"/>
                <w:color w:val="auto"/>
              </w:rPr>
            </w:pPr>
            <w:r>
              <w:rPr>
                <w:rFonts w:ascii="Times New Roman" w:cs="Times New Roman" w:eastAsia="Times New Roman" w:hAnsi="Times New Roman"/>
                <w:sz w:val="11"/>
                <w:szCs w:val="11"/>
                <w:color w:val="auto"/>
                <w:w w:val="99"/>
              </w:rPr>
              <w:t>First Lien Debt (6.5% Cash (1 month LIBOR</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+ 5.0%), 1.5% Floor), Due 1/4/24)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2,451</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(1,455 )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500" w:type="dxa"/>
            <w:vAlign w:val="bottom"/>
            <w:gridSpan w:val="6"/>
          </w:tcPr>
          <w:p>
            <w:pPr>
              <w:ind w:left="20"/>
              <w:spacing w:after="0" w:line="117" w:lineRule="exact"/>
              <w:rPr>
                <w:sz w:val="20"/>
                <w:szCs w:val="20"/>
                <w:color w:val="auto"/>
              </w:rPr>
            </w:pPr>
            <w:r>
              <w:rPr>
                <w:rFonts w:ascii="Times New Roman" w:cs="Times New Roman" w:eastAsia="Times New Roman" w:hAnsi="Times New Roman"/>
                <w:sz w:val="11"/>
                <w:szCs w:val="11"/>
                <w:color w:val="auto"/>
              </w:rPr>
              <w:t>RAM Payment, LLC</w:t>
            </w:r>
          </w:p>
        </w:tc>
        <w:tc>
          <w:tcPr>
            <w:tcW w:w="100" w:type="dxa"/>
            <w:vAlign w:val="bottom"/>
          </w:tcPr>
          <w:p>
            <w:pPr>
              <w:spacing w:after="0"/>
              <w:rPr>
                <w:sz w:val="10"/>
                <w:szCs w:val="10"/>
                <w:color w:val="auto"/>
              </w:rPr>
            </w:pPr>
          </w:p>
        </w:tc>
        <w:tc>
          <w:tcPr>
            <w:tcW w:w="20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First Lien Debt (9.8% Cash, Due 1/4/24)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2,666</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517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6,646</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22"/>
              <w:spacing w:after="0" w:line="117" w:lineRule="exact"/>
              <w:rPr>
                <w:sz w:val="20"/>
                <w:szCs w:val="20"/>
                <w:color w:val="auto"/>
              </w:rPr>
            </w:pPr>
            <w:r>
              <w:rPr>
                <w:rFonts w:ascii="Times New Roman" w:cs="Times New Roman" w:eastAsia="Times New Roman" w:hAnsi="Times New Roman"/>
                <w:sz w:val="11"/>
                <w:szCs w:val="11"/>
                <w:color w:val="auto"/>
              </w:rPr>
              <w:t>(3,939 )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122"/>
              <w:spacing w:after="0" w:line="117" w:lineRule="exact"/>
              <w:rPr>
                <w:sz w:val="20"/>
                <w:szCs w:val="20"/>
                <w:color w:val="auto"/>
              </w:rPr>
            </w:pPr>
            <w:r>
              <w:rPr>
                <w:rFonts w:ascii="Times New Roman" w:cs="Times New Roman" w:eastAsia="Times New Roman" w:hAnsi="Times New Roman"/>
                <w:sz w:val="11"/>
                <w:szCs w:val="11"/>
                <w:color w:val="auto"/>
              </w:rPr>
              <w:t>(1 )</w:t>
            </w:r>
          </w:p>
        </w:tc>
        <w:tc>
          <w:tcPr>
            <w:tcW w:w="10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2,706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500" w:type="dxa"/>
            <w:vAlign w:val="bottom"/>
            <w:gridSpan w:val="6"/>
          </w:tcPr>
          <w:p>
            <w:pPr>
              <w:ind w:left="20"/>
              <w:spacing w:after="0" w:line="140" w:lineRule="exact"/>
              <w:rPr>
                <w:sz w:val="20"/>
                <w:szCs w:val="20"/>
                <w:color w:val="auto"/>
              </w:rPr>
            </w:pPr>
            <w:r>
              <w:rPr>
                <w:rFonts w:ascii="Times New Roman" w:cs="Times New Roman" w:eastAsia="Times New Roman" w:hAnsi="Times New Roman"/>
                <w:sz w:val="11"/>
                <w:szCs w:val="11"/>
                <w:color w:val="auto"/>
              </w:rPr>
              <w:t xml:space="preserve">RAM Payment, LLC </w:t>
            </w:r>
            <w:r>
              <w:rPr>
                <w:rFonts w:ascii="Times New Roman" w:cs="Times New Roman" w:eastAsia="Times New Roman" w:hAnsi="Times New Roman"/>
                <w:sz w:val="14"/>
                <w:szCs w:val="14"/>
                <w:color w:val="auto"/>
                <w:vertAlign w:val="superscript"/>
              </w:rPr>
              <w:t>(5)</w:t>
            </w:r>
          </w:p>
        </w:tc>
        <w:tc>
          <w:tcPr>
            <w:tcW w:w="100" w:type="dxa"/>
            <w:vAlign w:val="bottom"/>
          </w:tcPr>
          <w:p>
            <w:pPr>
              <w:spacing w:after="0"/>
              <w:rPr>
                <w:sz w:val="12"/>
                <w:szCs w:val="12"/>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Preferred Units (86,000 units, 8.0% PIK</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2,874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783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3,726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0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767</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11,971</w:t>
            </w: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(5,394</w:t>
            </w:r>
          </w:p>
        </w:tc>
        <w:tc>
          <w:tcPr>
            <w:tcW w:w="100" w:type="dxa"/>
            <w:vAlign w:val="bottom"/>
            <w:tcBorders>
              <w:bottom w:val="single" w:sz="8" w:color="CFF0FC"/>
            </w:tcBorders>
            <w:shd w:val="clear" w:color="auto" w:fill="CFF0FC"/>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784</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7,430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500" w:type="dxa"/>
            <w:vAlign w:val="bottom"/>
            <w:gridSpan w:val="6"/>
          </w:tcPr>
          <w:p>
            <w:pPr>
              <w:ind w:left="20"/>
              <w:spacing w:after="0" w:line="102" w:lineRule="exact"/>
              <w:rPr>
                <w:sz w:val="20"/>
                <w:szCs w:val="20"/>
                <w:color w:val="auto"/>
              </w:rPr>
            </w:pPr>
            <w:r>
              <w:rPr>
                <w:rFonts w:ascii="Times New Roman" w:cs="Times New Roman" w:eastAsia="Times New Roman" w:hAnsi="Times New Roman"/>
                <w:sz w:val="11"/>
                <w:szCs w:val="11"/>
                <w:color w:val="auto"/>
              </w:rPr>
              <w:t>Sierra Hamilton Holdings</w:t>
            </w:r>
          </w:p>
        </w:tc>
        <w:tc>
          <w:tcPr>
            <w:tcW w:w="100" w:type="dxa"/>
            <w:vAlign w:val="bottom"/>
          </w:tcPr>
          <w:p>
            <w:pPr>
              <w:spacing w:after="0"/>
              <w:rPr>
                <w:sz w:val="8"/>
                <w:szCs w:val="8"/>
                <w:color w:val="auto"/>
              </w:rPr>
            </w:pPr>
          </w:p>
        </w:tc>
        <w:tc>
          <w:tcPr>
            <w:tcW w:w="2020" w:type="dxa"/>
            <w:vAlign w:val="bottom"/>
          </w:tcPr>
          <w:p>
            <w:pPr>
              <w:ind w:left="20"/>
              <w:spacing w:after="0" w:line="102" w:lineRule="exact"/>
              <w:rPr>
                <w:sz w:val="20"/>
                <w:szCs w:val="20"/>
                <w:color w:val="auto"/>
              </w:rPr>
            </w:pPr>
            <w:r>
              <w:rPr>
                <w:rFonts w:ascii="Times New Roman" w:cs="Times New Roman" w:eastAsia="Times New Roman" w:hAnsi="Times New Roman"/>
                <w:sz w:val="11"/>
                <w:szCs w:val="11"/>
                <w:color w:val="auto"/>
              </w:rPr>
              <w:t>Second Lien Debt (15.0%, Due 9/12/23)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500" w:type="dxa"/>
            <w:vAlign w:val="bottom"/>
            <w:gridSpan w:val="6"/>
          </w:tcPr>
          <w:p>
            <w:pPr>
              <w:ind w:left="20"/>
              <w:spacing w:after="0"/>
              <w:rPr>
                <w:sz w:val="20"/>
                <w:szCs w:val="20"/>
                <w:color w:val="auto"/>
              </w:rPr>
            </w:pPr>
            <w:r>
              <w:rPr>
                <w:rFonts w:ascii="Times New Roman" w:cs="Times New Roman" w:eastAsia="Times New Roman" w:hAnsi="Times New Roman"/>
                <w:sz w:val="11"/>
                <w:szCs w:val="11"/>
                <w:color w:val="auto"/>
              </w:rPr>
              <w:t>Corporation</w:t>
            </w: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(450 )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500" w:type="dxa"/>
            <w:vAlign w:val="bottom"/>
            <w:gridSpan w:val="6"/>
            <w:shd w:val="clear" w:color="auto" w:fill="CFF0FC"/>
          </w:tcPr>
          <w:p>
            <w:pPr>
              <w:ind w:left="20"/>
              <w:spacing w:after="0" w:line="112" w:lineRule="exact"/>
              <w:rPr>
                <w:sz w:val="20"/>
                <w:szCs w:val="20"/>
                <w:color w:val="auto"/>
              </w:rPr>
            </w:pPr>
            <w:r>
              <w:rPr>
                <w:rFonts w:ascii="Times New Roman" w:cs="Times New Roman" w:eastAsia="Times New Roman" w:hAnsi="Times New Roman"/>
                <w:sz w:val="11"/>
                <w:szCs w:val="11"/>
                <w:color w:val="auto"/>
              </w:rPr>
              <w:t>Sierra Hamilton Holdings</w:t>
            </w:r>
          </w:p>
        </w:tc>
        <w:tc>
          <w:tcPr>
            <w:tcW w:w="100" w:type="dxa"/>
            <w:vAlign w:val="bottom"/>
            <w:shd w:val="clear" w:color="auto" w:fill="CFF0FC"/>
          </w:tcPr>
          <w:p>
            <w:pPr>
              <w:spacing w:after="0"/>
              <w:rPr>
                <w:sz w:val="9"/>
                <w:szCs w:val="9"/>
                <w:color w:val="auto"/>
              </w:rPr>
            </w:pPr>
          </w:p>
        </w:tc>
        <w:tc>
          <w:tcPr>
            <w:tcW w:w="2020" w:type="dxa"/>
            <w:vAlign w:val="bottom"/>
            <w:shd w:val="clear" w:color="auto" w:fill="CFF0FC"/>
          </w:tcPr>
          <w:p>
            <w:pPr>
              <w:ind w:left="20"/>
              <w:spacing w:after="0" w:line="112" w:lineRule="exact"/>
              <w:rPr>
                <w:sz w:val="20"/>
                <w:szCs w:val="20"/>
                <w:color w:val="auto"/>
              </w:rPr>
            </w:pPr>
            <w:r>
              <w:rPr>
                <w:rFonts w:ascii="Times New Roman" w:cs="Times New Roman" w:eastAsia="Times New Roman" w:hAnsi="Times New Roman"/>
                <w:sz w:val="11"/>
                <w:szCs w:val="11"/>
                <w:color w:val="auto"/>
              </w:rPr>
              <w:t>Common Stock (15,068,000 shares)</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977</w:t>
            </w: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vMerge w:val="restart"/>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80" w:type="dxa"/>
            <w:vAlign w:val="bottom"/>
            <w:gridSpan w:val="2"/>
            <w:vMerge w:val="restart"/>
            <w:shd w:val="clear" w:color="auto" w:fill="CFF0FC"/>
          </w:tcPr>
          <w:p>
            <w:pPr>
              <w:jc w:val="right"/>
              <w:ind w:right="122"/>
              <w:spacing w:after="0"/>
              <w:rPr>
                <w:sz w:val="20"/>
                <w:szCs w:val="20"/>
                <w:color w:val="auto"/>
              </w:rPr>
            </w:pPr>
            <w:r>
              <w:rPr>
                <w:rFonts w:ascii="Times New Roman" w:cs="Times New Roman" w:eastAsia="Times New Roman" w:hAnsi="Times New Roman"/>
                <w:sz w:val="11"/>
                <w:szCs w:val="11"/>
                <w:color w:val="auto"/>
              </w:rPr>
              <w:t>(647 )</w:t>
            </w:r>
          </w:p>
        </w:tc>
        <w:tc>
          <w:tcPr>
            <w:tcW w:w="10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Corporation</w:t>
            </w:r>
          </w:p>
        </w:tc>
        <w:tc>
          <w:tcPr>
            <w:tcW w:w="100" w:type="dxa"/>
            <w:vAlign w:val="bottom"/>
            <w:shd w:val="clear" w:color="auto" w:fill="CFF0FC"/>
          </w:tcPr>
          <w:p>
            <w:pPr>
              <w:spacing w:after="0"/>
              <w:rPr>
                <w:sz w:val="11"/>
                <w:szCs w:val="11"/>
                <w:color w:val="auto"/>
              </w:rPr>
            </w:pPr>
          </w:p>
        </w:tc>
        <w:tc>
          <w:tcPr>
            <w:tcW w:w="2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20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1,418</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(450 )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(647 )</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00" w:type="dxa"/>
            <w:vAlign w:val="bottom"/>
            <w:tcBorders>
              <w:bottom w:val="single" w:sz="8" w:color="CFF0FC"/>
            </w:tcBorders>
            <w:gridSpan w:val="6"/>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V12 Holdings, Inc.</w:t>
            </w:r>
          </w:p>
        </w:tc>
        <w:tc>
          <w:tcPr>
            <w:tcW w:w="100" w:type="dxa"/>
            <w:vAlign w:val="bottom"/>
            <w:tcBorders>
              <w:bottom w:val="single" w:sz="8" w:color="CFF0FC"/>
            </w:tcBorders>
            <w:shd w:val="clear" w:color="auto" w:fill="CFF0FC"/>
          </w:tcPr>
          <w:p>
            <w:pPr>
              <w:spacing w:after="0"/>
              <w:rPr>
                <w:sz w:val="11"/>
                <w:szCs w:val="11"/>
                <w:color w:val="auto"/>
              </w:rPr>
            </w:pPr>
          </w:p>
        </w:tc>
        <w:tc>
          <w:tcPr>
            <w:tcW w:w="2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Second Lien Debt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gridSpan w:val="2"/>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CFF0FC"/>
            </w:tcBorders>
            <w:shd w:val="clear" w:color="auto" w:fill="CFF0FC"/>
          </w:tcPr>
          <w:p>
            <w:pPr>
              <w:spacing w:after="0"/>
              <w:rPr>
                <w:sz w:val="15"/>
                <w:szCs w:val="15"/>
                <w:color w:val="auto"/>
              </w:rPr>
            </w:pPr>
          </w:p>
        </w:tc>
        <w:tc>
          <w:tcPr>
            <w:tcW w:w="148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1"/>
                <w:szCs w:val="11"/>
                <w:b w:val="1"/>
                <w:bCs w:val="1"/>
                <w:i w:val="1"/>
                <w:iCs w:val="1"/>
                <w:color w:val="auto"/>
              </w:rPr>
              <w:t>Total Affiliate investments</w:t>
            </w:r>
          </w:p>
        </w:tc>
        <w:tc>
          <w:tcPr>
            <w:tcW w:w="100" w:type="dxa"/>
            <w:vAlign w:val="bottom"/>
            <w:tcBorders>
              <w:bottom w:val="single" w:sz="8" w:color="CFF0FC"/>
            </w:tcBorders>
            <w:shd w:val="clear" w:color="auto" w:fill="CFF0FC"/>
          </w:tcPr>
          <w:p>
            <w:pPr>
              <w:spacing w:after="0"/>
              <w:rPr>
                <w:sz w:val="15"/>
                <w:szCs w:val="15"/>
                <w:color w:val="auto"/>
              </w:rPr>
            </w:pPr>
          </w:p>
        </w:tc>
        <w:tc>
          <w:tcPr>
            <w:tcW w:w="20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4,996</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93,425</w:t>
            </w:r>
          </w:p>
        </w:tc>
        <w:tc>
          <w:tcPr>
            <w:tcW w:w="24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495</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(34,128</w:t>
            </w:r>
          </w:p>
        </w:tc>
        <w:tc>
          <w:tcPr>
            <w:tcW w:w="100" w:type="dxa"/>
            <w:vAlign w:val="bottom"/>
            <w:tcBorders>
              <w:bottom w:val="single" w:sz="8" w:color="CFF0FC"/>
            </w:tcBorders>
            <w:shd w:val="clear" w:color="auto" w:fill="CFF0FC"/>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2,475</w:t>
            </w:r>
          </w:p>
        </w:tc>
        <w:tc>
          <w:tcPr>
            <w:tcW w:w="2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(908</w:t>
            </w:r>
          </w:p>
        </w:tc>
        <w:tc>
          <w:tcPr>
            <w:tcW w:w="200" w:type="dxa"/>
            <w:vAlign w:val="bottom"/>
            <w:tcBorders>
              <w:bottom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61,359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Borders>
              <w:top w:val="single" w:sz="8" w:color="CFF0FC"/>
            </w:tcBorders>
          </w:tcPr>
          <w:p>
            <w:pPr>
              <w:spacing w:after="0"/>
              <w:rPr>
                <w:sz w:val="7"/>
                <w:szCs w:val="7"/>
                <w:color w:val="auto"/>
              </w:rPr>
            </w:pPr>
          </w:p>
        </w:tc>
        <w:tc>
          <w:tcPr>
            <w:tcW w:w="900" w:type="dxa"/>
            <w:vAlign w:val="bottom"/>
            <w:tcBorders>
              <w:top w:val="single" w:sz="8" w:color="auto"/>
              <w:bottom w:val="single" w:sz="8" w:color="auto"/>
            </w:tcBorders>
          </w:tcPr>
          <w:p>
            <w:pPr>
              <w:spacing w:after="0" w:line="75" w:lineRule="exact"/>
              <w:rPr>
                <w:sz w:val="20"/>
                <w:szCs w:val="20"/>
                <w:color w:val="auto"/>
              </w:rPr>
            </w:pPr>
            <w:r>
              <w:rPr>
                <w:rFonts w:ascii="Times New Roman" w:cs="Times New Roman" w:eastAsia="Times New Roman" w:hAnsi="Times New Roman"/>
                <w:sz w:val="8"/>
                <w:szCs w:val="8"/>
                <w:b w:val="1"/>
                <w:bCs w:val="1"/>
                <w:i w:val="1"/>
                <w:iCs w:val="1"/>
                <w:color w:val="auto"/>
              </w:rPr>
              <w:t>Control investments</w:t>
            </w:r>
          </w:p>
        </w:tc>
        <w:tc>
          <w:tcPr>
            <w:tcW w:w="260" w:type="dxa"/>
            <w:vAlign w:val="bottom"/>
            <w:tcBorders>
              <w:top w:val="single" w:sz="8" w:color="auto"/>
            </w:tcBorders>
            <w:gridSpan w:val="3"/>
          </w:tcPr>
          <w:p>
            <w:pPr>
              <w:spacing w:after="0"/>
              <w:rPr>
                <w:sz w:val="7"/>
                <w:szCs w:val="7"/>
                <w:color w:val="auto"/>
              </w:rPr>
            </w:pPr>
          </w:p>
        </w:tc>
        <w:tc>
          <w:tcPr>
            <w:tcW w:w="320" w:type="dxa"/>
            <w:vAlign w:val="bottom"/>
            <w:tcBorders>
              <w:top w:val="single" w:sz="8" w:color="CFF0FC"/>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2020" w:type="dxa"/>
            <w:vAlign w:val="bottom"/>
            <w:tcBorders>
              <w:top w:val="single" w:sz="8" w:color="CFF0FC"/>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460" w:type="dxa"/>
            <w:vAlign w:val="bottom"/>
            <w:tcBorders>
              <w:top w:val="single" w:sz="8" w:color="CFF0FC"/>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00" w:type="dxa"/>
            <w:vAlign w:val="bottom"/>
            <w:gridSpan w:val="6"/>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Vology, Inc.</w:t>
            </w:r>
          </w:p>
        </w:tc>
        <w:tc>
          <w:tcPr>
            <w:tcW w:w="100" w:type="dxa"/>
            <w:vAlign w:val="bottom"/>
            <w:shd w:val="clear" w:color="auto" w:fill="CFF0FC"/>
          </w:tcPr>
          <w:p>
            <w:pPr>
              <w:spacing w:after="0"/>
              <w:rPr>
                <w:sz w:val="9"/>
                <w:szCs w:val="9"/>
                <w:color w:val="auto"/>
              </w:rPr>
            </w:pPr>
          </w:p>
        </w:tc>
        <w:tc>
          <w:tcPr>
            <w:tcW w:w="202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First Lien Debt (10.5% Cash (1 month</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LIBOR + 8.5%, 2.0% Floor), Due 3/31/22)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3,635</w:t>
            </w:r>
          </w:p>
        </w:tc>
        <w:tc>
          <w:tcPr>
            <w:tcW w:w="3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3,732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(97 )</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3,635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00" w:type="dxa"/>
            <w:vAlign w:val="bottom"/>
            <w:gridSpan w:val="6"/>
          </w:tcPr>
          <w:p>
            <w:pPr>
              <w:ind w:left="20"/>
              <w:spacing w:after="0"/>
              <w:rPr>
                <w:sz w:val="20"/>
                <w:szCs w:val="20"/>
                <w:color w:val="auto"/>
              </w:rPr>
            </w:pPr>
            <w:r>
              <w:rPr>
                <w:rFonts w:ascii="Times New Roman" w:cs="Times New Roman" w:eastAsia="Times New Roman" w:hAnsi="Times New Roman"/>
                <w:sz w:val="11"/>
                <w:szCs w:val="11"/>
                <w:color w:val="auto"/>
              </w:rPr>
              <w:t>Vology, Inc.</w:t>
            </w:r>
          </w:p>
        </w:tc>
        <w:tc>
          <w:tcPr>
            <w:tcW w:w="100" w:type="dxa"/>
            <w:vAlign w:val="bottom"/>
          </w:tcPr>
          <w:p>
            <w:pPr>
              <w:spacing w:after="0"/>
              <w:rPr>
                <w:sz w:val="11"/>
                <w:szCs w:val="11"/>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Class A Preferred Units (9,041,810 Units)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4,687</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(1,483 )</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Borders>
              <w:bottom w:val="single" w:sz="8" w:color="CFF0FC"/>
            </w:tcBorders>
            <w:gridSpan w:val="6"/>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Vology, Inc.</w:t>
            </w:r>
          </w:p>
        </w:tc>
        <w:tc>
          <w:tcPr>
            <w:tcW w:w="100" w:type="dxa"/>
            <w:vAlign w:val="bottom"/>
            <w:tcBorders>
              <w:bottom w:val="single" w:sz="8" w:color="CFF0FC"/>
            </w:tcBorders>
            <w:shd w:val="clear" w:color="auto" w:fill="CFF0FC"/>
          </w:tcPr>
          <w:p>
            <w:pPr>
              <w:spacing w:after="0"/>
              <w:rPr>
                <w:sz w:val="11"/>
                <w:szCs w:val="11"/>
                <w:color w:val="auto"/>
              </w:rPr>
            </w:pPr>
          </w:p>
        </w:tc>
        <w:tc>
          <w:tcPr>
            <w:tcW w:w="2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Membership Units (5,363,982 Units)</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gridSpan w:val="2"/>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i w:val="1"/>
                <w:iCs w:val="1"/>
                <w:color w:val="auto"/>
              </w:rPr>
              <w:t>Total Control investments</w:t>
            </w: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8,419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(97 )</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(1,483 )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-4148455</wp:posOffset>
            </wp:positionV>
            <wp:extent cx="774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-4148455</wp:posOffset>
            </wp:positionV>
            <wp:extent cx="7747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-4148455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-4148455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-4148455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-4148455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-4148455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-3959860</wp:posOffset>
            </wp:positionV>
            <wp:extent cx="774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-3959860</wp:posOffset>
            </wp:positionV>
            <wp:extent cx="774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-3959860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-3959860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-3959860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-3959860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-3702685</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-3702685</wp:posOffset>
            </wp:positionV>
            <wp:extent cx="774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-3702685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-3702685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-3702685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-3702685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-3333750</wp:posOffset>
            </wp:positionV>
            <wp:extent cx="7747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-3333750</wp:posOffset>
            </wp:positionV>
            <wp:extent cx="7747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-3333750</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-3333750</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-3333750</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-3333750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-3333750</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-3085465</wp:posOffset>
            </wp:positionV>
            <wp:extent cx="774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-3085465</wp:posOffset>
            </wp:positionV>
            <wp:extent cx="774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-3085465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-3085465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-3085465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-3085465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-3085465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-2811145</wp:posOffset>
            </wp:positionV>
            <wp:extent cx="7132320" cy="1631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-2468245</wp:posOffset>
            </wp:positionV>
            <wp:extent cx="7747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-2468245</wp:posOffset>
            </wp:positionV>
            <wp:extent cx="774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-2468245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-2468245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-2468245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-2468245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-2030730</wp:posOffset>
            </wp:positionV>
            <wp:extent cx="774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-2030730</wp:posOffset>
            </wp:positionV>
            <wp:extent cx="77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-2030730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-2030730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-2030730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-2030730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-1773555</wp:posOffset>
            </wp:positionV>
            <wp:extent cx="774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-1773555</wp:posOffset>
            </wp:positionV>
            <wp:extent cx="774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-1773555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-1773555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-1773555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-1773555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-1602105</wp:posOffset>
            </wp:positionV>
            <wp:extent cx="7132320" cy="857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-1268095</wp:posOffset>
            </wp:positionV>
            <wp:extent cx="7747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-1268095</wp:posOffset>
            </wp:positionV>
            <wp:extent cx="7747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-1268095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-1268095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-1268095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-1268095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-942340</wp:posOffset>
            </wp:positionV>
            <wp:extent cx="77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-942340</wp:posOffset>
            </wp:positionV>
            <wp:extent cx="774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-942340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-942340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-942340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-942340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-753745</wp:posOffset>
            </wp:positionV>
            <wp:extent cx="7747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-753745</wp:posOffset>
            </wp:positionV>
            <wp:extent cx="7747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-753745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-753745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-753745</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-753745</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-565150</wp:posOffset>
            </wp:positionV>
            <wp:extent cx="774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-548005</wp:posOffset>
            </wp:positionV>
            <wp:extent cx="774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-565150</wp:posOffset>
            </wp:positionV>
            <wp:extent cx="774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-548005</wp:posOffset>
            </wp:positionV>
            <wp:extent cx="7747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-565150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-548005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-565150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-548005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-565150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-548005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-565150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-548005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-119380</wp:posOffset>
            </wp:positionV>
            <wp:extent cx="7747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-119380</wp:posOffset>
            </wp:positionV>
            <wp:extent cx="7747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-119380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-119380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-119380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-119380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(1)</w:t>
      </w:r>
    </w:p>
    <w:p>
      <w:pPr>
        <w:ind w:left="460"/>
        <w:spacing w:after="0"/>
        <w:rPr>
          <w:sz w:val="20"/>
          <w:szCs w:val="20"/>
          <w:color w:val="auto"/>
        </w:rPr>
      </w:pPr>
      <w:r>
        <w:rPr>
          <w:rFonts w:ascii="Times New Roman" w:cs="Times New Roman" w:eastAsia="Times New Roman" w:hAnsi="Times New Roman"/>
          <w:sz w:val="14"/>
          <w:szCs w:val="14"/>
          <w:color w:val="auto"/>
        </w:rPr>
        <w:t>Represents the total amount of interest, original issue discount, fees and dividends credited to income for the portion of the year an investment was included in Affiliate or Control</w:t>
      </w:r>
    </w:p>
    <w:p>
      <w:pPr>
        <w:ind w:left="460" w:hanging="439"/>
        <w:spacing w:after="0" w:line="189" w:lineRule="auto"/>
        <w:tabs>
          <w:tab w:leader="none" w:pos="460" w:val="left"/>
        </w:tabs>
        <w:numPr>
          <w:ilvl w:val="0"/>
          <w:numId w:val="17"/>
        </w:numPr>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14"/>
          <w:szCs w:val="14"/>
          <w:color w:val="auto"/>
        </w:rPr>
        <w:t>categories, respectively.</w:t>
      </w:r>
    </w:p>
    <w:p>
      <w:pPr>
        <w:ind w:left="460"/>
        <w:spacing w:after="0"/>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14"/>
          <w:szCs w:val="14"/>
          <w:color w:val="auto"/>
        </w:rPr>
        <w:t>Gross additions include increases in the cost basis of investments resulting from new portfolio investments, follow-on investments, accrued PIK and accretion of original issue discount.</w:t>
      </w:r>
    </w:p>
    <w:p>
      <w:pPr>
        <w:spacing w:after="0" w:line="1" w:lineRule="exact"/>
        <w:rPr>
          <w:rFonts w:ascii="Times New Roman" w:cs="Times New Roman" w:eastAsia="Times New Roman" w:hAnsi="Times New Roman"/>
          <w:sz w:val="18"/>
          <w:szCs w:val="18"/>
          <w:color w:val="auto"/>
          <w:vertAlign w:val="subscript"/>
        </w:rPr>
      </w:pPr>
    </w:p>
    <w:p>
      <w:pPr>
        <w:ind w:left="460" w:hanging="439"/>
        <w:spacing w:after="0" w:line="187" w:lineRule="auto"/>
        <w:tabs>
          <w:tab w:leader="none" w:pos="460" w:val="left"/>
        </w:tabs>
        <w:numPr>
          <w:ilvl w:val="0"/>
          <w:numId w:val="17"/>
        </w:numPr>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14"/>
          <w:szCs w:val="14"/>
          <w:color w:val="auto"/>
        </w:rPr>
        <w:t>Gross additions also include transfers into Affiliate or Control classification.</w:t>
      </w:r>
    </w:p>
    <w:p>
      <w:pPr>
        <w:ind w:left="460"/>
        <w:spacing w:after="0"/>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14"/>
          <w:szCs w:val="14"/>
          <w:color w:val="auto"/>
        </w:rPr>
        <w:t>Gross reductions include decreases in the cost basis of investments resulting from principal repayments and sales. Gross reductions also include transfers out of Affiliate or Control</w:t>
      </w:r>
    </w:p>
    <w:p>
      <w:pPr>
        <w:spacing w:after="0" w:line="1" w:lineRule="exact"/>
        <w:rPr>
          <w:rFonts w:ascii="Times New Roman" w:cs="Times New Roman" w:eastAsia="Times New Roman" w:hAnsi="Times New Roman"/>
          <w:sz w:val="18"/>
          <w:szCs w:val="18"/>
          <w:color w:val="auto"/>
          <w:vertAlign w:val="subscript"/>
        </w:rPr>
      </w:pPr>
    </w:p>
    <w:p>
      <w:pPr>
        <w:ind w:left="460" w:hanging="439"/>
        <w:spacing w:after="0" w:line="187" w:lineRule="auto"/>
        <w:tabs>
          <w:tab w:leader="none" w:pos="460" w:val="left"/>
        </w:tabs>
        <w:numPr>
          <w:ilvl w:val="0"/>
          <w:numId w:val="17"/>
        </w:numPr>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14"/>
          <w:szCs w:val="14"/>
          <w:color w:val="auto"/>
        </w:rPr>
        <w:t>classification.</w:t>
      </w:r>
    </w:p>
    <w:p>
      <w:pPr>
        <w:ind w:left="460" w:right="3440" w:hanging="439"/>
        <w:spacing w:after="0" w:line="219" w:lineRule="auto"/>
        <w:tabs>
          <w:tab w:leader="none" w:pos="460" w:val="left"/>
        </w:tabs>
        <w:numPr>
          <w:ilvl w:val="0"/>
          <w:numId w:val="17"/>
        </w:numPr>
        <w:rPr>
          <w:rFonts w:ascii="Times New Roman" w:cs="Times New Roman" w:eastAsia="Times New Roman" w:hAnsi="Times New Roman"/>
          <w:sz w:val="19"/>
          <w:szCs w:val="19"/>
          <w:color w:val="auto"/>
          <w:vertAlign w:val="subscript"/>
        </w:rPr>
      </w:pPr>
      <w:r>
        <w:rPr>
          <w:rFonts w:ascii="Times New Roman" w:cs="Times New Roman" w:eastAsia="Times New Roman" w:hAnsi="Times New Roman"/>
          <w:sz w:val="14"/>
          <w:szCs w:val="14"/>
          <w:color w:val="auto"/>
        </w:rPr>
        <w:t>All debt investments are income producing. Equity and warrant investments are non-income producing, unless otherwise noted. The equity investment is income producing, based on rate disclosed.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4"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right"/>
        <w:ind w:right="52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Agreements</w:t>
      </w:r>
    </w:p>
    <w:p>
      <w:pPr>
        <w:spacing w:after="0" w:line="11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4"/>
          <w:szCs w:val="14"/>
          <w:color w:val="auto"/>
        </w:rPr>
        <w:t>On July 1, 2021, the Company entered into an investment advisory agreement (the “Investment Advisory Agreement”) with the Investment Advisor, which was approved by the Company’s stockholders on May 27, 2021. Unless earlier terminated in accordance with its terms, the Investment Advisory Agreement will remain in effect until July 1, 2023, a period of two years from the date it first became effective and will remain in effect from year-to-year thereafter if approved annually by the Board or by a majority of our outstanding voting securities, including, in either case, by a majority of our directors who are not "interested persons" as such term is defined in Section 2(a)(19) of the 1940 Act ("Independent Directors"). Subject to the overall supervision of the Board, the Investment Advisor manages our day-to-day operations and provides investment advisory and management services to us. Under the terms of the Investment Advisory Agreement, the Investment Advisor:</w:t>
      </w:r>
    </w:p>
    <w:p>
      <w:pPr>
        <w:spacing w:after="0" w:line="75" w:lineRule="exact"/>
        <w:rPr>
          <w:sz w:val="20"/>
          <w:szCs w:val="20"/>
          <w:color w:val="auto"/>
        </w:rPr>
      </w:pPr>
    </w:p>
    <w:p>
      <w:pPr>
        <w:ind w:left="880" w:hanging="123"/>
        <w:spacing w:after="0"/>
        <w:tabs>
          <w:tab w:leader="none" w:pos="8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determines the composition of our portfolio, the nature and timing of the changes to our portfolio, and the manner of implementing such changes;</w:t>
      </w:r>
    </w:p>
    <w:p>
      <w:pPr>
        <w:spacing w:after="0" w:line="122" w:lineRule="exact"/>
        <w:rPr>
          <w:rFonts w:ascii="Times New Roman" w:cs="Times New Roman" w:eastAsia="Times New Roman" w:hAnsi="Times New Roman"/>
          <w:sz w:val="14"/>
          <w:szCs w:val="14"/>
          <w:color w:val="auto"/>
        </w:rPr>
      </w:pPr>
    </w:p>
    <w:p>
      <w:pPr>
        <w:ind w:left="880" w:hanging="123"/>
        <w:spacing w:after="0"/>
        <w:tabs>
          <w:tab w:leader="none" w:pos="8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identifies, evaluates, and negotiates the structure of the investments we make (including performing due diligence on our prospective portfolio companies);</w:t>
      </w:r>
    </w:p>
    <w:p>
      <w:pPr>
        <w:spacing w:after="0" w:line="109" w:lineRule="exact"/>
        <w:rPr>
          <w:rFonts w:ascii="Times New Roman" w:cs="Times New Roman" w:eastAsia="Times New Roman" w:hAnsi="Times New Roman"/>
          <w:sz w:val="14"/>
          <w:szCs w:val="14"/>
          <w:color w:val="auto"/>
        </w:rPr>
      </w:pPr>
    </w:p>
    <w:p>
      <w:pPr>
        <w:ind w:left="880" w:hanging="123"/>
        <w:spacing w:after="0"/>
        <w:tabs>
          <w:tab w:leader="none" w:pos="8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closes and monitors the investments we make; and</w:t>
      </w:r>
    </w:p>
    <w:p>
      <w:pPr>
        <w:spacing w:after="0" w:line="109" w:lineRule="exact"/>
        <w:rPr>
          <w:rFonts w:ascii="Times New Roman" w:cs="Times New Roman" w:eastAsia="Times New Roman" w:hAnsi="Times New Roman"/>
          <w:sz w:val="14"/>
          <w:szCs w:val="14"/>
          <w:color w:val="auto"/>
        </w:rPr>
      </w:pPr>
    </w:p>
    <w:p>
      <w:pPr>
        <w:ind w:left="880" w:hanging="123"/>
        <w:spacing w:after="0"/>
        <w:tabs>
          <w:tab w:leader="none" w:pos="8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provides us with other investment advisory, research, and related services as we may from time to time require.</w:t>
      </w:r>
    </w:p>
    <w:p>
      <w:pPr>
        <w:spacing w:after="0" w:line="109" w:lineRule="exact"/>
        <w:rPr>
          <w:sz w:val="20"/>
          <w:szCs w:val="20"/>
          <w:color w:val="auto"/>
        </w:rPr>
      </w:pPr>
    </w:p>
    <w:p>
      <w:pPr>
        <w:jc w:val="both"/>
        <w:ind w:firstLine="749"/>
        <w:spacing w:after="0" w:line="302" w:lineRule="auto"/>
        <w:rPr>
          <w:sz w:val="20"/>
          <w:szCs w:val="20"/>
          <w:color w:val="auto"/>
        </w:rPr>
      </w:pPr>
      <w:r>
        <w:rPr>
          <w:rFonts w:ascii="Times New Roman" w:cs="Times New Roman" w:eastAsia="Times New Roman" w:hAnsi="Times New Roman"/>
          <w:sz w:val="14"/>
          <w:szCs w:val="14"/>
          <w:color w:val="auto"/>
        </w:rPr>
        <w:t>The Investment Advisor’s services under the Investment Advisory Agreement are not exclusive, and it is free to furnish similar services to other entities so long as its services to us are not impaired.</w:t>
      </w:r>
    </w:p>
    <w:p>
      <w:pPr>
        <w:spacing w:after="0" w:line="4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6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4"/>
          <w:szCs w:val="14"/>
          <w:color w:val="auto"/>
        </w:rPr>
        <w:t>Pursuant to the Investment Advisory Agreement, the Company has agreed to pay the Investment Advisor a fee for investment advisory and management services consisting of two components — a base management fee and an incentive fee.</w:t>
      </w:r>
    </w:p>
    <w:p>
      <w:pPr>
        <w:spacing w:after="0" w:line="5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4"/>
          <w:szCs w:val="14"/>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w:t>
      </w:r>
    </w:p>
    <w:p>
      <w:pPr>
        <w:spacing w:after="0" w:line="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incentive fee consists of the following two parts:</w:t>
      </w:r>
    </w:p>
    <w:p>
      <w:pPr>
        <w:spacing w:after="0" w:line="109"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4"/>
          <w:szCs w:val="14"/>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Company pays the Investment Advisor an incentive fee with respect to the pre-incentive fee net investment income in each calendar quarter as follows:</w:t>
      </w:r>
    </w:p>
    <w:p>
      <w:pPr>
        <w:spacing w:after="0" w:line="78" w:lineRule="exact"/>
        <w:rPr>
          <w:sz w:val="20"/>
          <w:szCs w:val="20"/>
          <w:color w:val="auto"/>
        </w:rPr>
      </w:pPr>
    </w:p>
    <w:p>
      <w:pPr>
        <w:ind w:left="880" w:hanging="123"/>
        <w:spacing w:after="0"/>
        <w:tabs>
          <w:tab w:leader="none" w:pos="8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incentive fee in any calendar quarter in which the pre-incentive fee net investment income does not exceed the hurdle of 2.0%;</w:t>
      </w:r>
    </w:p>
    <w:p>
      <w:pPr>
        <w:spacing w:after="0" w:line="109" w:lineRule="exact"/>
        <w:rPr>
          <w:rFonts w:ascii="Times New Roman" w:cs="Times New Roman" w:eastAsia="Times New Roman" w:hAnsi="Times New Roman"/>
          <w:sz w:val="14"/>
          <w:szCs w:val="14"/>
          <w:color w:val="auto"/>
        </w:rPr>
      </w:pPr>
    </w:p>
    <w:p>
      <w:pPr>
        <w:jc w:val="both"/>
        <w:ind w:firstLine="757"/>
        <w:spacing w:after="0" w:line="261" w:lineRule="auto"/>
        <w:tabs>
          <w:tab w:leader="none" w:pos="887"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spacing w:after="0" w:line="69" w:lineRule="exact"/>
        <w:rPr>
          <w:rFonts w:ascii="Times New Roman" w:cs="Times New Roman" w:eastAsia="Times New Roman" w:hAnsi="Times New Roman"/>
          <w:sz w:val="14"/>
          <w:szCs w:val="14"/>
          <w:color w:val="auto"/>
        </w:rPr>
      </w:pPr>
    </w:p>
    <w:p>
      <w:pPr>
        <w:ind w:firstLine="757"/>
        <w:spacing w:after="0" w:line="302" w:lineRule="auto"/>
        <w:tabs>
          <w:tab w:leader="none" w:pos="87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4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4"/>
          <w:szCs w:val="14"/>
          <w:color w:val="auto"/>
        </w:rPr>
        <w:t>The second part of the incentive fee is determined and payable in arrears as of the end of each calendar year, commencing on December 31, 2021, and equals 20.0% of the Company’s realized capital gains, if any, on a cumulative basis with respect to each of the investments in the Company’s portfolio from the fiscal quarter ending on or immediately prior to July 1, 2021 through the end of each calendar year beginning with the calendar year ending December 31, 2021, computed net of all realized capital losses and unrealized capital depreciation on a cumulative basis from September 30, 2021 through the end of each calendar year beginning with the calendar year ending December 31, 2021, less the aggregate amount of any previously paid capital gain fees under the Investment Advisory Agreement. Any realized capital gains, realized capital losses and unrealized capital depreciation with respect to the Company’s portfolio as of the end of the fiscal quarter ending on or immediately prior to July 1, 2021 are excluded from the calculations of the capital gains fee. In the event that the Investment Advisory Agreement terminates as of a date that is not a calendar year end, the termination date shall be treated as though it were a calendar year end for purposes of calculating and paying a capital gains fee.</w:t>
      </w:r>
    </w:p>
    <w:p>
      <w:pPr>
        <w:spacing w:after="0" w:line="9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4"/>
          <w:szCs w:val="14"/>
          <w:color w:val="auto"/>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4"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right"/>
        <w:ind w:right="52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such payment is payable under the Investment Advisory Agreement. As of June 30, 2022 and December 31, 2021, the Company had incentive fees payable to the Investment Advisor of zero and zero related to fees earned in prior years but deferred under the incentive fee deferral mechanism.</w:t>
      </w:r>
    </w:p>
    <w:p>
      <w:pPr>
        <w:spacing w:after="0" w:line="54"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4"/>
          <w:szCs w:val="14"/>
          <w:color w:val="auto"/>
        </w:rPr>
        <w:t>As part of the Transaction, the Investment Advisor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spacing w:after="0" w:line="6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4"/>
          <w:szCs w:val="14"/>
          <w:color w:val="auto"/>
        </w:rPr>
        <w:t>For the three months ended June 30, 2022 and 2021, the Company incurred $1.0 million and $1.3 million in base management fees, respectively. The Company did not earn an incentive fee related to pre-incentive fee net investment income or capital gains for both the three months ended June 30, 2022 and 2021.</w:t>
      </w:r>
    </w:p>
    <w:p>
      <w:pPr>
        <w:spacing w:after="0" w:line="54"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4"/>
          <w:szCs w:val="14"/>
          <w:color w:val="auto"/>
        </w:rPr>
        <w:t>For the six months ended June 30, 2022 and 2021, the Company incurred $2.0 million and $3.4 million in base management fees, respectively. The Company did not earn an incentive fee related to pre-incentive fee net investment income or capital gains for both the six months ended June 30, 2022 and 2021.</w:t>
      </w:r>
    </w:p>
    <w:p>
      <w:pPr>
        <w:spacing w:after="0" w:line="6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4"/>
          <w:szCs w:val="14"/>
          <w:color w:val="auto"/>
        </w:rPr>
        <w:t>On July 1, 2021,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p>
    <w:p>
      <w:pPr>
        <w:spacing w:after="0" w:line="73"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4"/>
          <w:szCs w:val="14"/>
          <w:color w:val="auto"/>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will remain in effect until July 1, 2021, a period of two years from the date it first became effective and will remain in effect from year-to-year thereafter if approved annually by the Board.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spacing w:after="0" w:line="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For the three months ended June 30, 2022 and 2021, the Company accrued $0.1 million and $0.4 million, respectively, for the Company’s allocable portion of the Administrator’s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overhead.</w:t>
      </w:r>
    </w:p>
    <w:p>
      <w:pPr>
        <w:spacing w:after="0" w:line="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For the six months ended June 30, 2022 and 2021, the Company accrued $0.3 million and $0.7 million, respectively, for the Company’s allocable portion of the Administrator’s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overhead.</w:t>
      </w:r>
    </w:p>
    <w:p>
      <w:pPr>
        <w:spacing w:after="0" w:line="10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4"/>
          <w:szCs w:val="14"/>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Related Party Transactions</w:t>
      </w:r>
    </w:p>
    <w:p>
      <w:pPr>
        <w:spacing w:after="0" w:line="111"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4"/>
          <w:szCs w:val="14"/>
          <w:color w:val="auto"/>
        </w:rPr>
        <w:t>As of June 30, 2022 and December 31, 2021, the Company had $1.0 million and $1.1 million of management and incentive fees payable. These amounts are reflected in the accompanying consolidated statements of assets and liabilities under the caption “Management and incentive fees payable."</w:t>
      </w:r>
    </w:p>
    <w:p>
      <w:pPr>
        <w:spacing w:after="0" w:line="162" w:lineRule="exact"/>
        <w:rPr>
          <w:sz w:val="20"/>
          <w:szCs w:val="20"/>
          <w:color w:val="auto"/>
        </w:rPr>
      </w:pPr>
    </w:p>
    <w:p>
      <w:pPr>
        <w:jc w:val="both"/>
        <w:ind w:right="100" w:firstLine="749"/>
        <w:spacing w:after="0" w:line="261" w:lineRule="auto"/>
        <w:rPr>
          <w:sz w:val="20"/>
          <w:szCs w:val="20"/>
          <w:color w:val="auto"/>
        </w:rPr>
      </w:pPr>
      <w:r>
        <w:rPr>
          <w:rFonts w:ascii="Times New Roman" w:cs="Times New Roman" w:eastAsia="Times New Roman" w:hAnsi="Times New Roman"/>
          <w:sz w:val="14"/>
          <w:szCs w:val="14"/>
          <w:color w:val="auto"/>
        </w:rPr>
        <w:t>During the both three and six months ended June 30, 2022, the Company sold $7.9 million in total investments to an affiliated fund in accordance with, and pursuant to procedures adopted under, Rule 17a-7 of the 1940 Act. Realized losses on those sales for the same periods amounted to less than $0.1 million, respectively. There were no transactions subject to Rule 17a-7 under the 1940 Act during the three and six months ended June 30, 2021.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Borrowings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SBA-guaranteed Debentures</w:t>
      </w:r>
    </w:p>
    <w:p>
      <w:pPr>
        <w:spacing w:after="0" w:line="11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4"/>
          <w:szCs w:val="14"/>
          <w:color w:val="auto"/>
        </w:rPr>
        <w:t>The Company, through its wholly owned subsidiary Fund III, historically used debenture leverage provided through the SBA to fund a portion of its investment portfolio. As of December 31, 2021, the Company had no SBA-guaranteed debentures outstanding. On June 10, 2021, Fund III repaid all of its remaining SBA-guaranteed debentures.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w:t>
      </w:r>
    </w:p>
    <w:p>
      <w:pPr>
        <w:spacing w:after="0" w:line="7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4"/>
          <w:szCs w:val="14"/>
          <w:color w:val="auto"/>
        </w:rPr>
        <w:t>On March 1, 2019, Fund II repaid its outstanding SBA-guaranteed debentures and relinquished its SBIC license. On June 10, 2021, Fund III repaid its SBA-guaranteed debentures and relinquished its SBIC license.</w:t>
      </w:r>
    </w:p>
    <w:p>
      <w:pPr>
        <w:spacing w:after="0" w:line="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As of June 30, 2022 and December 31, 2021, there were no SBA-guaranteed debentures outstanding.</w:t>
      </w:r>
    </w:p>
    <w:p>
      <w:pPr>
        <w:spacing w:after="0" w:line="10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4"/>
          <w:szCs w:val="14"/>
          <w:color w:val="auto"/>
        </w:rPr>
        <w:t>The following table summarizes the historical interest expense and annual charges, deferred financing costs, average outstanding balance, and average stated interest and annual charge rate on the SBA-guaranteed debentures for the three and six months ended June 30, 2022 and 2021 (dollars in thousands):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4" w:lineRule="exact"/>
        <w:rPr>
          <w:sz w:val="20"/>
          <w:szCs w:val="20"/>
          <w:color w:val="auto"/>
        </w:rPr>
      </w:pPr>
    </w:p>
    <w:p>
      <w:pPr>
        <w:jc w:val="right"/>
        <w:ind w:right="524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right"/>
        <w:ind w:righ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tcPr>
          <w:p>
            <w:pPr>
              <w:spacing w:after="0"/>
              <w:rPr>
                <w:sz w:val="16"/>
                <w:szCs w:val="16"/>
                <w:color w:val="auto"/>
              </w:rPr>
            </w:pPr>
          </w:p>
        </w:tc>
        <w:tc>
          <w:tcPr>
            <w:tcW w:w="308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6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69"/>
        </w:trPr>
        <w:tc>
          <w:tcPr>
            <w:tcW w:w="3780" w:type="dxa"/>
            <w:vAlign w:val="bottom"/>
          </w:tcPr>
          <w:p>
            <w:pPr>
              <w:spacing w:after="0"/>
              <w:rPr>
                <w:sz w:val="14"/>
                <w:szCs w:val="14"/>
                <w:color w:val="auto"/>
              </w:rPr>
            </w:pPr>
          </w:p>
        </w:tc>
        <w:tc>
          <w:tcPr>
            <w:tcW w:w="12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expense and annual charges</w:t>
            </w:r>
          </w:p>
        </w:tc>
        <w:tc>
          <w:tcPr>
            <w:tcW w:w="1200" w:type="dxa"/>
            <w:vAlign w:val="bottom"/>
            <w:tcBorders>
              <w:top w:val="single" w:sz="8" w:color="auto"/>
            </w:tcBorders>
            <w:shd w:val="clear" w:color="auto" w:fill="CFF0FC"/>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220" w:type="dxa"/>
            <w:vAlign w:val="bottom"/>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financing costs</w:t>
            </w:r>
          </w:p>
        </w:tc>
        <w:tc>
          <w:tcPr>
            <w:tcW w:w="1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3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interest and financing expenses</w:t>
            </w:r>
          </w:p>
        </w:tc>
        <w:tc>
          <w:tcPr>
            <w:tcW w:w="1200" w:type="dxa"/>
            <w:vAlign w:val="bottom"/>
            <w:tcBorders>
              <w:bottom w:val="single" w:sz="8" w:color="auto"/>
            </w:tcBorders>
            <w:shd w:val="clear" w:color="auto" w:fill="CFF0FC"/>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37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Average outstanding balance</w:t>
            </w:r>
          </w:p>
        </w:tc>
        <w:tc>
          <w:tcPr>
            <w:tcW w:w="1200" w:type="dxa"/>
            <w:vAlign w:val="bottom"/>
          </w:tcPr>
          <w:p>
            <w:pPr>
              <w:jc w:val="right"/>
              <w:ind w:right="10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9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52,275</w:t>
            </w:r>
          </w:p>
        </w:tc>
        <w:tc>
          <w:tcPr>
            <w:tcW w:w="220" w:type="dxa"/>
            <w:vAlign w:val="bottom"/>
          </w:tcPr>
          <w:p>
            <w:pPr>
              <w:spacing w:after="0"/>
              <w:rPr>
                <w:sz w:val="13"/>
                <w:szCs w:val="13"/>
                <w:color w:val="auto"/>
              </w:rPr>
            </w:pPr>
          </w:p>
        </w:tc>
        <w:tc>
          <w:tcPr>
            <w:tcW w:w="380" w:type="dxa"/>
            <w:vAlign w:val="bottom"/>
          </w:tcPr>
          <w:p>
            <w:pPr>
              <w:jc w:val="right"/>
              <w:ind w:right="2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68,105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6"/>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stated interest and annual charge rate</w:t>
            </w:r>
          </w:p>
        </w:tc>
        <w:tc>
          <w:tcPr>
            <w:tcW w:w="12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3.10 %</w:t>
            </w:r>
          </w:p>
        </w:tc>
        <w:tc>
          <w:tcPr>
            <w:tcW w:w="3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3.14 %</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-248285</wp:posOffset>
            </wp:positionV>
            <wp:extent cx="774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-230505</wp:posOffset>
            </wp:positionV>
            <wp:extent cx="774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-248285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-230505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-248285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-230505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2022 Notes</w:t>
      </w:r>
    </w:p>
    <w:p>
      <w:pPr>
        <w:spacing w:after="0" w:line="113" w:lineRule="exact"/>
        <w:rPr>
          <w:sz w:val="20"/>
          <w:szCs w:val="20"/>
          <w:color w:val="auto"/>
        </w:rPr>
      </w:pPr>
    </w:p>
    <w:p>
      <w:pPr>
        <w:jc w:val="both"/>
        <w:ind w:right="20" w:firstLine="787"/>
        <w:spacing w:after="0" w:line="256" w:lineRule="auto"/>
        <w:rPr>
          <w:sz w:val="20"/>
          <w:szCs w:val="20"/>
          <w:color w:val="auto"/>
        </w:rPr>
      </w:pPr>
      <w:r>
        <w:rPr>
          <w:rFonts w:ascii="Times New Roman" w:cs="Times New Roman" w:eastAsia="Times New Roman" w:hAnsi="Times New Roman"/>
          <w:sz w:val="14"/>
          <w:szCs w:val="14"/>
          <w:color w:val="auto"/>
        </w:rPr>
        <w:t>On May 16, 2017, the Company issued $70.0 million in aggregate principal amount of 6.0% fixed-rate notes due May 31, 2022 (the “2022 Notes”). On May 25, 2017, the Company issued an additional $5.0 million in aggregate principal amount of the 2022 Notes pursuant to a partial exercise of the underwriters’ overallotment option. On November 1, 2021, the Company notified the Trustee for the Company's 2022 Notes, of the Company's election to redeem $50.0 million aggregate principal amount of the 2022 Notes outstanding. The redemption was completed on December 6, 2021. On May 31, 2022, the remaining 2022 Notes reached maturity, and the entire outstanding principal of the 2022 Notes became payable and was paid by the Company. Accordingly, as of June 30, 2022, there were no 2022 Notes outstanding. As of December 31, 2021, the Company had $22.8 million in aggregate principal amount of 2022 Notes outstanding.</w:t>
      </w:r>
    </w:p>
    <w:p>
      <w:pPr>
        <w:spacing w:after="0" w:line="73"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14"/>
          <w:szCs w:val="14"/>
          <w:color w:val="auto"/>
        </w:rPr>
        <w:t>The 2022 Notes were scheduled to mature on May 31, 2022 and could be redeemed in whole or in part at any time or from time to time at the Company’s option on or after May 31, 2019 at a redemption price equal to 100% of the outstanding principal, plus accrued and unpaid interest. Interest on the 2022 Notes was payable quarterly. The 2022 Notes were listed on the NASDAQ Global Select Market under the trading symbol "CPTAL" with a par value of $25.00 per share.</w:t>
      </w:r>
    </w:p>
    <w:p>
      <w:pPr>
        <w:spacing w:after="0" w:line="6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4"/>
          <w:szCs w:val="14"/>
          <w:color w:val="auto"/>
        </w:rPr>
        <w:t>The following table summarizes the interest expense, deferred financing costs, average outstanding balance, and average stated interest rate on the 2022 Notes for the three and six months ended June 30, 2022 and 2021 (dollars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2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5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3820" w:type="dxa"/>
            <w:vAlign w:val="bottom"/>
          </w:tcPr>
          <w:p>
            <w:pPr>
              <w:spacing w:after="0"/>
              <w:rPr>
                <w:sz w:val="14"/>
                <w:szCs w:val="14"/>
                <w:color w:val="auto"/>
              </w:rPr>
            </w:pPr>
          </w:p>
        </w:tc>
        <w:tc>
          <w:tcPr>
            <w:tcW w:w="11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100" w:type="dxa"/>
            <w:vAlign w:val="bottom"/>
            <w:shd w:val="clear" w:color="auto" w:fill="CFF0FC"/>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9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2,185</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financing costs</w:t>
            </w:r>
          </w:p>
        </w:tc>
        <w:tc>
          <w:tcPr>
            <w:tcW w:w="1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2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interest and financing expenses</w:t>
            </w:r>
          </w:p>
        </w:tc>
        <w:tc>
          <w:tcPr>
            <w:tcW w:w="1100" w:type="dxa"/>
            <w:vAlign w:val="bottom"/>
            <w:tcBorders>
              <w:bottom w:val="single" w:sz="8" w:color="auto"/>
            </w:tcBorders>
            <w:shd w:val="clear" w:color="auto" w:fill="CFF0FC"/>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2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9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24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2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38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Average outstanding balance</w:t>
            </w:r>
          </w:p>
        </w:tc>
        <w:tc>
          <w:tcPr>
            <w:tcW w:w="1100" w:type="dxa"/>
            <w:vAlign w:val="bottom"/>
          </w:tcPr>
          <w:p>
            <w:pPr>
              <w:jc w:val="right"/>
              <w:ind w:right="9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15,055</w:t>
            </w:r>
          </w:p>
        </w:tc>
        <w:tc>
          <w:tcPr>
            <w:tcW w:w="280" w:type="dxa"/>
            <w:vAlign w:val="bottom"/>
          </w:tcPr>
          <w:p>
            <w:pPr>
              <w:spacing w:after="0"/>
              <w:rPr>
                <w:sz w:val="13"/>
                <w:szCs w:val="13"/>
                <w:color w:val="auto"/>
              </w:rPr>
            </w:pPr>
          </w:p>
        </w:tc>
        <w:tc>
          <w:tcPr>
            <w:tcW w:w="1140" w:type="dxa"/>
            <w:vAlign w:val="bottom"/>
          </w:tcPr>
          <w:p>
            <w:pPr>
              <w:jc w:val="right"/>
              <w:ind w:right="9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72,833</w:t>
            </w:r>
          </w:p>
        </w:tc>
        <w:tc>
          <w:tcPr>
            <w:tcW w:w="240" w:type="dxa"/>
            <w:vAlign w:val="bottom"/>
          </w:tcPr>
          <w:p>
            <w:pPr>
              <w:spacing w:after="0"/>
              <w:rPr>
                <w:sz w:val="13"/>
                <w:szCs w:val="13"/>
                <w:color w:val="auto"/>
              </w:rPr>
            </w:pPr>
          </w:p>
        </w:tc>
        <w:tc>
          <w:tcPr>
            <w:tcW w:w="1060" w:type="dxa"/>
            <w:vAlign w:val="bottom"/>
          </w:tcPr>
          <w:p>
            <w:pPr>
              <w:jc w:val="right"/>
              <w:ind w:right="90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18,923</w:t>
            </w:r>
          </w:p>
        </w:tc>
        <w:tc>
          <w:tcPr>
            <w:tcW w:w="240" w:type="dxa"/>
            <w:vAlign w:val="bottom"/>
          </w:tcPr>
          <w:p>
            <w:pPr>
              <w:spacing w:after="0"/>
              <w:rPr>
                <w:sz w:val="13"/>
                <w:szCs w:val="13"/>
                <w:color w:val="auto"/>
              </w:rPr>
            </w:pPr>
          </w:p>
        </w:tc>
        <w:tc>
          <w:tcPr>
            <w:tcW w:w="1120" w:type="dxa"/>
            <w:vAlign w:val="bottom"/>
          </w:tcPr>
          <w:p>
            <w:pPr>
              <w:jc w:val="right"/>
              <w:ind w:right="9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72,833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5"/>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stated interest rate</w:t>
            </w:r>
          </w:p>
        </w:tc>
        <w:tc>
          <w:tcPr>
            <w:tcW w:w="1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6.00 %</w:t>
            </w:r>
          </w:p>
        </w:tc>
        <w:tc>
          <w:tcPr>
            <w:tcW w:w="1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6.00 %</w:t>
            </w:r>
          </w:p>
        </w:tc>
        <w:tc>
          <w:tcPr>
            <w:tcW w:w="10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6.00 %</w:t>
            </w:r>
          </w:p>
        </w:tc>
        <w:tc>
          <w:tcPr>
            <w:tcW w:w="112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-247650</wp:posOffset>
            </wp:positionV>
            <wp:extent cx="768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-230505</wp:posOffset>
            </wp:positionV>
            <wp:extent cx="768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-230505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-230505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2022 Convertible Notes</w:t>
      </w:r>
    </w:p>
    <w:p>
      <w:pPr>
        <w:spacing w:after="0" w:line="127" w:lineRule="exact"/>
        <w:rPr>
          <w:sz w:val="20"/>
          <w:szCs w:val="20"/>
          <w:color w:val="auto"/>
        </w:rPr>
      </w:pPr>
    </w:p>
    <w:p>
      <w:pPr>
        <w:jc w:val="both"/>
        <w:ind w:right="20" w:firstLine="749"/>
        <w:spacing w:after="0" w:line="255" w:lineRule="auto"/>
        <w:rPr>
          <w:sz w:val="20"/>
          <w:szCs w:val="20"/>
          <w:color w:val="auto"/>
        </w:rPr>
      </w:pPr>
      <w:r>
        <w:rPr>
          <w:rFonts w:ascii="Times New Roman" w:cs="Times New Roman" w:eastAsia="Times New Roman" w:hAnsi="Times New Roman"/>
          <w:sz w:val="14"/>
          <w:szCs w:val="14"/>
          <w:color w:val="auto"/>
        </w:rPr>
        <w:t>On May 26, 2017, the Company issued $50.0 million in aggregate principal amount of 5.75% fixed-rate convertible notes due May 31, 2022 (the “2022 Convertible Notes”). On June 26, 2017, the Company issued an additional $2.1 million in aggregate principal amount of the 2022 Convertible Notes pursuant to a partial exercise of the underwriters’ overallotment option. On May 31, 2022, the 2022 Convertible Notes reached maturity, and the entire outstanding principal of the 2022 Convertible Notes became payable, and was paid by the Company. Accordingly, as of June 30, 2022, there were no 2022 Convertible Notes outstanding. As of December 31, 2021, the Company had $52.1 million in 2022 Convertible Notes outstanding.</w:t>
      </w:r>
    </w:p>
    <w:p>
      <w:pPr>
        <w:spacing w:after="0" w:line="85" w:lineRule="exact"/>
        <w:rPr>
          <w:sz w:val="20"/>
          <w:szCs w:val="20"/>
          <w:color w:val="auto"/>
        </w:rPr>
      </w:pPr>
    </w:p>
    <w:p>
      <w:pPr>
        <w:jc w:val="both"/>
        <w:ind w:right="20" w:firstLine="749"/>
        <w:spacing w:after="0" w:line="251" w:lineRule="auto"/>
        <w:rPr>
          <w:sz w:val="20"/>
          <w:szCs w:val="20"/>
          <w:color w:val="auto"/>
        </w:rPr>
      </w:pPr>
      <w:r>
        <w:rPr>
          <w:rFonts w:ascii="Times New Roman" w:cs="Times New Roman" w:eastAsia="Times New Roman" w:hAnsi="Times New Roman"/>
          <w:sz w:val="14"/>
          <w:szCs w:val="14"/>
          <w:color w:val="auto"/>
        </w:rPr>
        <w:t>The 2022 Convertible Notes were convertible, at the holder’s option, into shares of the Company’s common stock at any time on or prior to the close of business on the business day immediately preceding the maturity date. The conversion rate for the 2022 Convertible Notes was initially 1.5913 shares per $25.00 principal amount of 2022 Convertible Notes (equivalent to an initial conversion price of approximately $15.71 per share of common stock). The initial conversion premium was approximately 14.0%. As a result of the reverse stock split, the conversion rate for the 2022 Convertible Notes was 0.2652 shares per $25.00 principal amount of 2022 Convertible Notes (equivalent to a conversion price of approximately $94.26), effective August 21, 2020. Upon conversion, the Company was obligated to deliver shares of its common stock (and cash in lieu of fractional shares). The conversion rate was subject to adjustment if certain events occurred as outlined in the supplemental indenture relating to the 2022 Convertible Notes. The Company determined that the embedded conversion option in the 2022 Convertible Notes was not required to be separately accounted for as a derivative under U.S. GAAP.</w:t>
      </w:r>
    </w:p>
    <w:p>
      <w:pPr>
        <w:spacing w:after="0" w:line="77"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14"/>
          <w:szCs w:val="14"/>
          <w:color w:val="auto"/>
        </w:rPr>
        <w:t>In addition, pursuant to a “fundamental change”, as defined in the supplemental indenture relating to the 2022 Convertible Notes, holders of the 2022 Convertible Notes could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were not redeemable prior to maturity and no “sinking fund” was provided for the 2022 Convertible Notes.</w:t>
      </w:r>
    </w:p>
    <w:p>
      <w:pPr>
        <w:spacing w:after="0" w:line="238" w:lineRule="exact"/>
        <w:rPr>
          <w:sz w:val="20"/>
          <w:szCs w:val="20"/>
          <w:color w:val="auto"/>
        </w:rPr>
      </w:pPr>
    </w:p>
    <w:p>
      <w:pPr>
        <w:jc w:val="both"/>
        <w:ind w:right="20" w:firstLine="749"/>
        <w:spacing w:after="0" w:line="302" w:lineRule="auto"/>
        <w:rPr>
          <w:sz w:val="20"/>
          <w:szCs w:val="20"/>
          <w:color w:val="auto"/>
        </w:rPr>
      </w:pPr>
      <w:r>
        <w:rPr>
          <w:rFonts w:ascii="Times New Roman" w:cs="Times New Roman" w:eastAsia="Times New Roman" w:hAnsi="Times New Roman"/>
          <w:sz w:val="14"/>
          <w:szCs w:val="14"/>
          <w:color w:val="auto"/>
        </w:rPr>
        <w:t>The following table summarizes the interest expense, deferred financing costs, average outstanding balance, and average stated interest rate on the 2022 Convertible Notes for the three and six months ended June 30, 2022 and 2021 (dollars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3780" w:type="dxa"/>
            <w:vAlign w:val="bottom"/>
          </w:tcPr>
          <w:p>
            <w:pPr>
              <w:spacing w:after="0"/>
              <w:rPr>
                <w:sz w:val="14"/>
                <w:szCs w:val="14"/>
                <w:color w:val="auto"/>
              </w:rPr>
            </w:pPr>
          </w:p>
        </w:tc>
        <w:tc>
          <w:tcPr>
            <w:tcW w:w="11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140" w:type="dxa"/>
            <w:vAlign w:val="bottom"/>
            <w:shd w:val="clear" w:color="auto" w:fill="CFF0FC"/>
          </w:tcPr>
          <w:p>
            <w:pPr>
              <w:jc w:val="right"/>
              <w:ind w:right="98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financing costs</w:t>
            </w:r>
          </w:p>
        </w:tc>
        <w:tc>
          <w:tcPr>
            <w:tcW w:w="1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6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2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3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interest and financing expenses</w:t>
            </w:r>
          </w:p>
        </w:tc>
        <w:tc>
          <w:tcPr>
            <w:tcW w:w="1140" w:type="dxa"/>
            <w:vAlign w:val="bottom"/>
            <w:tcBorders>
              <w:bottom w:val="single" w:sz="8" w:color="auto"/>
            </w:tcBorders>
            <w:shd w:val="clear" w:color="auto" w:fill="CFF0FC"/>
          </w:tcPr>
          <w:p>
            <w:pPr>
              <w:jc w:val="right"/>
              <w:ind w:right="98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2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2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2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37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Average outstanding balance</w:t>
            </w:r>
          </w:p>
        </w:tc>
        <w:tc>
          <w:tcPr>
            <w:tcW w:w="1140" w:type="dxa"/>
            <w:vAlign w:val="bottom"/>
          </w:tcPr>
          <w:p>
            <w:pPr>
              <w:jc w:val="right"/>
              <w:ind w:right="9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34,343</w:t>
            </w:r>
          </w:p>
        </w:tc>
        <w:tc>
          <w:tcPr>
            <w:tcW w:w="260" w:type="dxa"/>
            <w:vAlign w:val="bottom"/>
          </w:tcPr>
          <w:p>
            <w:pPr>
              <w:spacing w:after="0"/>
              <w:rPr>
                <w:sz w:val="13"/>
                <w:szCs w:val="13"/>
                <w:color w:val="auto"/>
              </w:rPr>
            </w:pPr>
          </w:p>
        </w:tc>
        <w:tc>
          <w:tcPr>
            <w:tcW w:w="1100" w:type="dxa"/>
            <w:vAlign w:val="bottom"/>
          </w:tcPr>
          <w:p>
            <w:pPr>
              <w:jc w:val="right"/>
              <w:ind w:right="9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52,088</w:t>
            </w:r>
          </w:p>
        </w:tc>
        <w:tc>
          <w:tcPr>
            <w:tcW w:w="260" w:type="dxa"/>
            <w:vAlign w:val="bottom"/>
          </w:tcPr>
          <w:p>
            <w:pPr>
              <w:spacing w:after="0"/>
              <w:rPr>
                <w:sz w:val="13"/>
                <w:szCs w:val="13"/>
                <w:color w:val="auto"/>
              </w:rPr>
            </w:pPr>
          </w:p>
        </w:tc>
        <w:tc>
          <w:tcPr>
            <w:tcW w:w="1120" w:type="dxa"/>
            <w:vAlign w:val="bottom"/>
          </w:tcPr>
          <w:p>
            <w:pPr>
              <w:jc w:val="right"/>
              <w:ind w:right="9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43,166</w:t>
            </w:r>
          </w:p>
        </w:tc>
        <w:tc>
          <w:tcPr>
            <w:tcW w:w="220" w:type="dxa"/>
            <w:vAlign w:val="bottom"/>
          </w:tcPr>
          <w:p>
            <w:pPr>
              <w:spacing w:after="0"/>
              <w:rPr>
                <w:sz w:val="13"/>
                <w:szCs w:val="13"/>
                <w:color w:val="auto"/>
              </w:rPr>
            </w:pPr>
          </w:p>
        </w:tc>
        <w:tc>
          <w:tcPr>
            <w:tcW w:w="1080" w:type="dxa"/>
            <w:vAlign w:val="bottom"/>
          </w:tcPr>
          <w:p>
            <w:pPr>
              <w:jc w:val="right"/>
              <w:ind w:right="9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52,088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6"/>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stated interest rate</w:t>
            </w:r>
          </w:p>
        </w:tc>
        <w:tc>
          <w:tcPr>
            <w:tcW w:w="1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5.75 %</w:t>
            </w:r>
          </w:p>
        </w:tc>
        <w:tc>
          <w:tcPr>
            <w:tcW w:w="1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5.75 %</w:t>
            </w:r>
          </w:p>
        </w:tc>
        <w:tc>
          <w:tcPr>
            <w:tcW w:w="1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5.75 %</w:t>
            </w:r>
          </w:p>
        </w:tc>
        <w:tc>
          <w:tcPr>
            <w:tcW w:w="108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5.75 %</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-248285</wp:posOffset>
            </wp:positionV>
            <wp:extent cx="7747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-231140</wp:posOffset>
            </wp:positionV>
            <wp:extent cx="7747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-248285</wp:posOffset>
            </wp:positionV>
            <wp:extent cx="768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-231140</wp:posOffset>
            </wp:positionV>
            <wp:extent cx="768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-248285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-231140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2026 Notes</w:t>
      </w:r>
    </w:p>
    <w:p>
      <w:pPr>
        <w:spacing w:after="0" w:line="113"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14"/>
          <w:szCs w:val="14"/>
          <w:color w:val="auto"/>
        </w:rPr>
        <w:t>On October 29, 2021, the Company issued $50.0 million in aggregate principal amount of 5.25% fixed-rate notes due October 30, 2026 (the "2026 Notes") pursuant to a supplemental indenture with U.S. Bank National Association (the "Trustee"), which supplements that certain base indenture, dated as of June 16, 2014. The 2026 Notes were issued in a private placement exempt from registration under the Section 4(a)(2) of the Securities Act of 1933, as amended (the "Securities Act"). The</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17"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4"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right"/>
        <w:ind w:right="52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net proceeds to the Company were approximately $48.8 million, after deducting estimated offering expenses. The Notes will mature on October 30, 2026 and may be redeemed in whole or in part at the Company's option at any time or from time to time at the redemption prices set forth in the Indenture. The Notes bear interest at a rate of 5.25% per year payable semi-annually on April 30 and October 30 of each year, commencing on April 30, 2022. The Notes are general unsecured obligations of the Company that rank senior in right of payment to all of the Company's existing and future indebtedness that is expressly subordinated in right of payment to the Notes, rank pari passu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spacing w:after="0" w:line="75" w:lineRule="exact"/>
        <w:rPr>
          <w:sz w:val="20"/>
          <w:szCs w:val="20"/>
          <w:color w:val="auto"/>
        </w:rPr>
      </w:pPr>
    </w:p>
    <w:p>
      <w:pPr>
        <w:jc w:val="both"/>
        <w:ind w:firstLine="811"/>
        <w:spacing w:after="0" w:line="261" w:lineRule="auto"/>
        <w:rPr>
          <w:sz w:val="20"/>
          <w:szCs w:val="20"/>
          <w:color w:val="auto"/>
        </w:rPr>
      </w:pPr>
      <w:r>
        <w:rPr>
          <w:rFonts w:ascii="Times New Roman" w:cs="Times New Roman" w:eastAsia="Times New Roman" w:hAnsi="Times New Roman"/>
          <w:sz w:val="14"/>
          <w:szCs w:val="14"/>
          <w:color w:val="auto"/>
        </w:rPr>
        <w:t>In connection with the offering, the Company entered into a Registration Rights Agreement, dated as of October 29, 2021 (the "Registration Rights Agreement"), with the purchasers of the 2026 Notes. Pursuant to the Registration Rights Agreement, the Company is obligated to file with the Securities and Exchange Commission a registration statement relating to an offer to exchange the 2026 Notes for new notes issued by the Company that are registered under the Securities Act and otherwise have terms substantially identical to those of the 2026 Notes, and to use its commercially reasonable efforts to cause such registration statement to be declared effective.</w:t>
      </w:r>
    </w:p>
    <w:p>
      <w:pPr>
        <w:spacing w:after="0" w:line="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As of June 30, 2022 and December 31, 2021, the Company had $50.0 million, respectively in 2026 Notes outstanding.</w:t>
      </w:r>
    </w:p>
    <w:p>
      <w:pPr>
        <w:spacing w:after="0" w:line="109" w:lineRule="exact"/>
        <w:rPr>
          <w:sz w:val="20"/>
          <w:szCs w:val="20"/>
          <w:color w:val="auto"/>
        </w:rPr>
      </w:pPr>
    </w:p>
    <w:p>
      <w:pPr>
        <w:jc w:val="both"/>
        <w:ind w:firstLine="749"/>
        <w:spacing w:after="0" w:line="302" w:lineRule="auto"/>
        <w:rPr>
          <w:sz w:val="20"/>
          <w:szCs w:val="20"/>
          <w:color w:val="auto"/>
        </w:rPr>
      </w:pPr>
      <w:r>
        <w:rPr>
          <w:rFonts w:ascii="Times New Roman" w:cs="Times New Roman" w:eastAsia="Times New Roman" w:hAnsi="Times New Roman"/>
          <w:sz w:val="14"/>
          <w:szCs w:val="14"/>
          <w:color w:val="auto"/>
        </w:rPr>
        <w:t>The following table summarizes the interest expense, deferred financing costs, average outstanding balance, and average stated interest rate on the 2026 Notes for the three and six months ended June 30, 2022 and 2021 (dollars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00" w:type="dxa"/>
            <w:vAlign w:val="bottom"/>
          </w:tcPr>
          <w:p>
            <w:pPr>
              <w:spacing w:after="0"/>
              <w:rPr>
                <w:sz w:val="16"/>
                <w:szCs w:val="16"/>
                <w:color w:val="auto"/>
              </w:rPr>
            </w:pPr>
          </w:p>
        </w:tc>
        <w:tc>
          <w:tcPr>
            <w:tcW w:w="3260" w:type="dxa"/>
            <w:vAlign w:val="bottom"/>
            <w:tcBorders>
              <w:bottom w:val="single" w:sz="8" w:color="auto"/>
            </w:tcBorders>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00" w:type="dxa"/>
            <w:vAlign w:val="bottom"/>
          </w:tcPr>
          <w:p>
            <w:pPr>
              <w:spacing w:after="0"/>
              <w:rPr>
                <w:sz w:val="16"/>
                <w:szCs w:val="16"/>
                <w:color w:val="auto"/>
              </w:rPr>
            </w:pPr>
          </w:p>
        </w:tc>
      </w:tr>
      <w:tr>
        <w:trPr>
          <w:trHeight w:val="169"/>
        </w:trPr>
        <w:tc>
          <w:tcPr>
            <w:tcW w:w="3700" w:type="dxa"/>
            <w:vAlign w:val="bottom"/>
          </w:tcPr>
          <w:p>
            <w:pPr>
              <w:spacing w:after="0"/>
              <w:rPr>
                <w:sz w:val="14"/>
                <w:szCs w:val="14"/>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20" w:type="dxa"/>
            <w:vAlign w:val="bottom"/>
            <w:shd w:val="clear" w:color="auto" w:fill="CFF0FC"/>
          </w:tcPr>
          <w:p>
            <w:pPr>
              <w:jc w:val="right"/>
              <w:ind w:right="10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26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r>
      <w:tr>
        <w:trPr>
          <w:trHeight w:val="175"/>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financing costs</w:t>
            </w:r>
          </w:p>
        </w:tc>
        <w:tc>
          <w:tcPr>
            <w:tcW w:w="1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6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209"/>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interest and financing expenses</w:t>
            </w:r>
          </w:p>
        </w:tc>
        <w:tc>
          <w:tcPr>
            <w:tcW w:w="1220" w:type="dxa"/>
            <w:vAlign w:val="bottom"/>
            <w:tcBorders>
              <w:bottom w:val="single" w:sz="8" w:color="auto"/>
            </w:tcBorders>
            <w:shd w:val="clear" w:color="auto" w:fill="CFF0FC"/>
          </w:tcPr>
          <w:p>
            <w:pPr>
              <w:jc w:val="right"/>
              <w:ind w:right="10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26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37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Average outstanding balance</w:t>
            </w:r>
          </w:p>
        </w:tc>
        <w:tc>
          <w:tcPr>
            <w:tcW w:w="1220" w:type="dxa"/>
            <w:vAlign w:val="bottom"/>
          </w:tcPr>
          <w:p>
            <w:pPr>
              <w:jc w:val="right"/>
              <w:ind w:right="10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50,000</w:t>
            </w:r>
          </w:p>
        </w:tc>
        <w:tc>
          <w:tcPr>
            <w:tcW w:w="260" w:type="dxa"/>
            <w:vAlign w:val="bottom"/>
          </w:tcPr>
          <w:p>
            <w:pPr>
              <w:spacing w:after="0"/>
              <w:rPr>
                <w:sz w:val="13"/>
                <w:szCs w:val="13"/>
                <w:color w:val="auto"/>
              </w:rPr>
            </w:pPr>
          </w:p>
        </w:tc>
        <w:tc>
          <w:tcPr>
            <w:tcW w:w="1200" w:type="dxa"/>
            <w:vAlign w:val="bottom"/>
          </w:tcPr>
          <w:p>
            <w:pPr>
              <w:jc w:val="right"/>
              <w:ind w:right="10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50,000</w:t>
            </w:r>
          </w:p>
        </w:tc>
        <w:tc>
          <w:tcPr>
            <w:tcW w:w="240" w:type="dxa"/>
            <w:vAlign w:val="bottom"/>
          </w:tcPr>
          <w:p>
            <w:pPr>
              <w:spacing w:after="0"/>
              <w:rPr>
                <w:sz w:val="13"/>
                <w:szCs w:val="13"/>
                <w:color w:val="auto"/>
              </w:rPr>
            </w:pPr>
          </w:p>
        </w:tc>
        <w:tc>
          <w:tcPr>
            <w:tcW w:w="380" w:type="dxa"/>
            <w:vAlign w:val="bottom"/>
          </w:tcPr>
          <w:p>
            <w:pPr>
              <w:jc w:val="right"/>
              <w:ind w:right="2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r>
      <w:tr>
        <w:trPr>
          <w:trHeight w:val="17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stated interest rate</w:t>
            </w:r>
          </w:p>
        </w:tc>
        <w:tc>
          <w:tcPr>
            <w:tcW w:w="12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5.25 %</w:t>
            </w:r>
          </w:p>
        </w:tc>
        <w:tc>
          <w:tcPr>
            <w:tcW w:w="12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5.25 %</w:t>
            </w:r>
          </w:p>
        </w:tc>
        <w:tc>
          <w:tcPr>
            <w:tcW w:w="3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-248285</wp:posOffset>
            </wp:positionV>
            <wp:extent cx="774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-230505</wp:posOffset>
            </wp:positionV>
            <wp:extent cx="774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-248285</wp:posOffset>
            </wp:positionV>
            <wp:extent cx="774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-230505</wp:posOffset>
            </wp:positionV>
            <wp:extent cx="774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-248285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-230505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2032 Convertible Notes</w:t>
      </w:r>
    </w:p>
    <w:p>
      <w:pPr>
        <w:spacing w:after="0" w:line="1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On April 1, 2022, the Company issued $15.0 million in aggregate principal amount of 5.25% fixed-rate convertible notes due April 1, 2032 (the “2032 Convertible Notes”).</w:t>
      </w:r>
    </w:p>
    <w:p>
      <w:pPr>
        <w:spacing w:after="0" w:line="10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4"/>
          <w:szCs w:val="14"/>
          <w:color w:val="auto"/>
        </w:rPr>
        <w:t>The 2032 Convertible Notes are convertible, at the holder’s option and at any time on or prior to the close of business on the business day immediately preceding the maturity date, into such number of shares of the Company’s common stock as is equal to the principal balance of the notes being converted on such date divided by the “Conversion Price,” as described below. The Company will not issue more than 539,503 shares of common stock in the aggregate under the purchase agreement governing the 2032 Convertible Notes (the “Purchase Agreement”); however, such number of shares may be adjusted from time to time to give effect to any forward or reverse stock splits with respect to the common stock as well as any further adjustments described in the purchase agreement. The “Conversion Price” will be equal to the average “Closing Sale Price” for the five “Trading Days” immediately prior to the relevant “Conversion Date,” as those terms are defined in the Purchase Agreement, subject to certain anti-dilutive provisions, as further described in the Purchase Agreement. No holder of a 2032 Convertible Note will be entitled to convert any such note or portion thereof if such conversion would result in more than $7,500,000 in principal amount of 2032 Convertible Notes being converted in any such calendar quarter. The Company has determined that the embedded conversion option in the 2032 Convertible Notes is not required to be separately accounted for as a derivative under U.S. GAAP.</w:t>
      </w:r>
    </w:p>
    <w:p>
      <w:pPr>
        <w:spacing w:after="0" w:line="7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4"/>
          <w:szCs w:val="14"/>
          <w:color w:val="auto"/>
        </w:rPr>
        <w:t>The Company obtained an Investment Grade rating from a Nationally Recognized Statistical Rating Organization (“NRSRO”) with respect to the 2032 Convertible Notes. The 2032 Convertible Notes have a fixed interest rate of 5.25% per annum payable semi-annually on March 31 and September 30 of each year, commencing on September 30, 2022, subject to a step up of 0.75% per annum to the extent that the 2032 Convertible Notes are downgraded below Investment Grade by an NRSRO or the 2032 Convertible Notes no longer maintain a rating from an NRSRO. The Company will also be required to pay an additional interest rate of 2.0% per annum (x) on any overdue payment of interest and (y) during the continuance of an “Event of Default.” The Company intends to use the net proceeds from the offering of the 2032 Convertible Notes for general corporate purposes, which may include repaying outstanding indebtedness, making opportunistic investments and paying corporate expenses. In addition, on the occurrence of a “Change in Control Repurchase Event” or “Delisting Event,” as defined in the Purchase Agreement, the Company will generally be required to make an offer to purchase the outstanding 2032 Convertible Notes at a price equal to 100% of the principal amount of such 2032 Convertible Notes plus accrued and unpaid interest to the repurchase date. The 2032 Convertible Notes are redeemable prior to maturity. No “sinking fund” is provided for the 2032 Convertible Notes.</w:t>
      </w:r>
    </w:p>
    <w:p>
      <w:pPr>
        <w:spacing w:after="0" w:line="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As of June 30, 2022, the Company had $15.0 million in 2032 Convertible Notes outstanding.</w:t>
      </w:r>
    </w:p>
    <w:p>
      <w:pPr>
        <w:spacing w:after="0" w:line="12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4"/>
          <w:szCs w:val="14"/>
          <w:color w:val="auto"/>
        </w:rPr>
        <w:t>The following table summarizes the interest expense, deferred financing costs, average outstanding balance, and average stated interest rate on the 2032 Convertible Notes for the three and six months ended June 30, 2022 and 2021 (dollars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00" w:type="dxa"/>
            <w:vAlign w:val="bottom"/>
          </w:tcPr>
          <w:p>
            <w:pPr>
              <w:spacing w:after="0"/>
              <w:rPr>
                <w:sz w:val="16"/>
                <w:szCs w:val="16"/>
                <w:color w:val="auto"/>
              </w:rPr>
            </w:pPr>
          </w:p>
        </w:tc>
        <w:tc>
          <w:tcPr>
            <w:tcW w:w="3260" w:type="dxa"/>
            <w:vAlign w:val="bottom"/>
            <w:tcBorders>
              <w:bottom w:val="single" w:sz="8" w:color="auto"/>
            </w:tcBorders>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00" w:type="dxa"/>
            <w:vAlign w:val="bottom"/>
          </w:tcPr>
          <w:p>
            <w:pPr>
              <w:spacing w:after="0"/>
              <w:rPr>
                <w:sz w:val="16"/>
                <w:szCs w:val="16"/>
                <w:color w:val="auto"/>
              </w:rPr>
            </w:pPr>
          </w:p>
        </w:tc>
      </w:tr>
      <w:tr>
        <w:trPr>
          <w:trHeight w:val="169"/>
        </w:trPr>
        <w:tc>
          <w:tcPr>
            <w:tcW w:w="3700" w:type="dxa"/>
            <w:vAlign w:val="bottom"/>
          </w:tcPr>
          <w:p>
            <w:pPr>
              <w:spacing w:after="0"/>
              <w:rPr>
                <w:sz w:val="14"/>
                <w:szCs w:val="14"/>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20" w:type="dxa"/>
            <w:vAlign w:val="bottom"/>
            <w:shd w:val="clear" w:color="auto" w:fill="CFF0FC"/>
          </w:tcPr>
          <w:p>
            <w:pPr>
              <w:jc w:val="right"/>
              <w:ind w:right="10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26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r>
      <w:tr>
        <w:trPr>
          <w:trHeight w:val="175"/>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financing costs</w:t>
            </w:r>
          </w:p>
        </w:tc>
        <w:tc>
          <w:tcPr>
            <w:tcW w:w="1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209"/>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interest and financing expenses</w:t>
            </w:r>
          </w:p>
        </w:tc>
        <w:tc>
          <w:tcPr>
            <w:tcW w:w="1220" w:type="dxa"/>
            <w:vAlign w:val="bottom"/>
            <w:tcBorders>
              <w:bottom w:val="single" w:sz="8" w:color="auto"/>
            </w:tcBorders>
            <w:shd w:val="clear" w:color="auto" w:fill="CFF0FC"/>
          </w:tcPr>
          <w:p>
            <w:pPr>
              <w:jc w:val="right"/>
              <w:ind w:right="10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26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37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Average outstanding balance</w:t>
            </w:r>
          </w:p>
        </w:tc>
        <w:tc>
          <w:tcPr>
            <w:tcW w:w="1220" w:type="dxa"/>
            <w:vAlign w:val="bottom"/>
          </w:tcPr>
          <w:p>
            <w:pPr>
              <w:jc w:val="right"/>
              <w:ind w:right="10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15,000</w:t>
            </w:r>
          </w:p>
        </w:tc>
        <w:tc>
          <w:tcPr>
            <w:tcW w:w="260" w:type="dxa"/>
            <w:vAlign w:val="bottom"/>
          </w:tcPr>
          <w:p>
            <w:pPr>
              <w:spacing w:after="0"/>
              <w:rPr>
                <w:sz w:val="13"/>
                <w:szCs w:val="13"/>
                <w:color w:val="auto"/>
              </w:rPr>
            </w:pPr>
          </w:p>
        </w:tc>
        <w:tc>
          <w:tcPr>
            <w:tcW w:w="1200" w:type="dxa"/>
            <w:vAlign w:val="bottom"/>
          </w:tcPr>
          <w:p>
            <w:pPr>
              <w:jc w:val="right"/>
              <w:ind w:right="10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15,000</w:t>
            </w:r>
          </w:p>
        </w:tc>
        <w:tc>
          <w:tcPr>
            <w:tcW w:w="240" w:type="dxa"/>
            <w:vAlign w:val="bottom"/>
          </w:tcPr>
          <w:p>
            <w:pPr>
              <w:spacing w:after="0"/>
              <w:rPr>
                <w:sz w:val="13"/>
                <w:szCs w:val="13"/>
                <w:color w:val="auto"/>
              </w:rPr>
            </w:pPr>
          </w:p>
        </w:tc>
        <w:tc>
          <w:tcPr>
            <w:tcW w:w="380" w:type="dxa"/>
            <w:vAlign w:val="bottom"/>
          </w:tcPr>
          <w:p>
            <w:pPr>
              <w:jc w:val="right"/>
              <w:ind w:right="2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r>
      <w:tr>
        <w:trPr>
          <w:trHeight w:val="175"/>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stated interest rate</w:t>
            </w:r>
          </w:p>
        </w:tc>
        <w:tc>
          <w:tcPr>
            <w:tcW w:w="12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5.25 %</w:t>
            </w:r>
          </w:p>
        </w:tc>
        <w:tc>
          <w:tcPr>
            <w:tcW w:w="12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5.25 %</w:t>
            </w:r>
          </w:p>
        </w:tc>
        <w:tc>
          <w:tcPr>
            <w:tcW w:w="3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-247650</wp:posOffset>
            </wp:positionV>
            <wp:extent cx="7747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-231140</wp:posOffset>
            </wp:positionV>
            <wp:extent cx="7747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-247650</wp:posOffset>
            </wp:positionV>
            <wp:extent cx="774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-231140</wp:posOffset>
            </wp:positionV>
            <wp:extent cx="7747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-231140</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KeyBank Credit Facility</w:t>
      </w:r>
    </w:p>
    <w:p>
      <w:pPr>
        <w:spacing w:after="0" w:line="113" w:lineRule="exact"/>
        <w:rPr>
          <w:sz w:val="20"/>
          <w:szCs w:val="20"/>
          <w:color w:val="auto"/>
        </w:rPr>
      </w:pPr>
    </w:p>
    <w:p>
      <w:pPr>
        <w:jc w:val="both"/>
        <w:ind w:right="20" w:firstLine="797"/>
        <w:spacing w:after="0" w:line="302" w:lineRule="auto"/>
        <w:rPr>
          <w:sz w:val="20"/>
          <w:szCs w:val="20"/>
          <w:color w:val="auto"/>
        </w:rPr>
      </w:pPr>
      <w:r>
        <w:rPr>
          <w:rFonts w:ascii="Times New Roman" w:cs="Times New Roman" w:eastAsia="Times New Roman" w:hAnsi="Times New Roman"/>
          <w:sz w:val="14"/>
          <w:szCs w:val="14"/>
          <w:color w:val="auto"/>
        </w:rPr>
        <w:t>On October 30, 2020, Capitala Business Lending, LLC ("CBL"), a direct, wholly owned, consolidated subsidiary of the Company, entered into a senior secured revolving credit agreement ("the KeyBank Credit Facility"), with the Investment Advisor at the time, as collateral manager, the lenders from time to time parties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26" w:name="page27"/>
    <w:bookmarkEnd w:id="2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4" w:lineRule="exact"/>
        <w:rPr>
          <w:sz w:val="20"/>
          <w:szCs w:val="20"/>
          <w:color w:val="auto"/>
        </w:rPr>
      </w:pPr>
    </w:p>
    <w:p>
      <w:pPr>
        <w:jc w:val="right"/>
        <w:ind w:right="524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right"/>
        <w:ind w:righ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4"/>
          <w:szCs w:val="14"/>
          <w:color w:val="auto"/>
        </w:rPr>
        <w:t>thereto (each a “Lender”), KeyBank National Association, as administrative agent, and U.S. Bank National Association, as custodian. The KeyBank Credit Facility was amended on May 10, 2022. Under the KeyBank Credit Facility, the Lenders have agreed to extend credit to CBL in an aggregate principal amount of up to $75.0 million as of May 10, 2022, with an uncommitted accordion feature that allows the Company to borrow up to an additional $125.0 million. The KeyBank Credit Facility matures on May 10, 2027, unless there is an earlier termination or event of default. The period during which the Lenders may make loans to CBL under the KeyBank Credit Facility commenced on October 30, 2020 and will continue through May 10, 2025, unless there is an earlier termination or event of default. Borrowings under the KeyBank Credit Facility bear interest at 1M Term SOFR plus 2.90% during the 3-year revolving period and 3.25% thereafter, with a 0.40% 1M Term SOFR floor. CBL will also pay an unused commitment fee at a rate of (1) 1.00% if utilization is less than or equal to 30.0%, (2) 0.65% if utilization is greater than 30.0% but less than or equal to 60.0%, or (3) 0.35% if utilization is greater than 60.0%, per annum on the unutilized portion of the aggregate commitments under the KeyBank Credit Facility. As of June 30, 2022 and December 31, 2021, there were draws of $40.6 million and zero, respectively, on KeyBank Credit Facility. The KeyBank Credit Facility includes customary affirmative and negative covenants, including certain limitations on the incurrence of additional indebtedness and liens, as well as usual and customary events of default for revolving credit facilities of this nature. As of June 30, 2022 and December 31, 2021, assets pledged to secure the KeyBank Credit Facility had a fair value of $95.5 million and $57.7 million, respectively.</w:t>
      </w:r>
    </w:p>
    <w:p>
      <w:pPr>
        <w:spacing w:after="0" w:line="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following table summarizes the interest expense, deferred financing costs, unused commitment fees, average outstanding balance, and average stated interest rate on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KeyBank Credit Facility for the three and six months ended June 30, 2022 and 2021 (dollars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20" w:type="dxa"/>
            <w:vAlign w:val="bottom"/>
          </w:tcPr>
          <w:p>
            <w:pPr>
              <w:spacing w:after="0"/>
              <w:rPr>
                <w:sz w:val="16"/>
                <w:szCs w:val="16"/>
                <w:color w:val="auto"/>
              </w:rPr>
            </w:pPr>
          </w:p>
        </w:tc>
        <w:tc>
          <w:tcPr>
            <w:tcW w:w="310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6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69"/>
        </w:trPr>
        <w:tc>
          <w:tcPr>
            <w:tcW w:w="382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100" w:type="dxa"/>
            <w:vAlign w:val="bottom"/>
            <w:shd w:val="clear" w:color="auto" w:fill="CFF0FC"/>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2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10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financing costs</w:t>
            </w:r>
          </w:p>
        </w:tc>
        <w:tc>
          <w:tcPr>
            <w:tcW w:w="1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Unused commitment fees</w:t>
            </w:r>
          </w:p>
        </w:tc>
        <w:tc>
          <w:tcPr>
            <w:tcW w:w="110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8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4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4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interest and financing expenses</w:t>
            </w:r>
          </w:p>
        </w:tc>
        <w:tc>
          <w:tcPr>
            <w:tcW w:w="1100" w:type="dxa"/>
            <w:vAlign w:val="bottom"/>
            <w:tcBorders>
              <w:bottom w:val="single" w:sz="8" w:color="auto"/>
            </w:tcBorders>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280" w:type="dxa"/>
            <w:vAlign w:val="bottom"/>
          </w:tcPr>
          <w:p>
            <w:pPr>
              <w:spacing w:after="0"/>
              <w:rPr>
                <w:sz w:val="14"/>
                <w:szCs w:val="14"/>
                <w:color w:val="auto"/>
              </w:rPr>
            </w:pPr>
          </w:p>
        </w:tc>
        <w:tc>
          <w:tcPr>
            <w:tcW w:w="1180" w:type="dxa"/>
            <w:vAlign w:val="bottom"/>
            <w:tcBorders>
              <w:bottom w:val="single" w:sz="8" w:color="auto"/>
            </w:tcBorders>
          </w:tcPr>
          <w:p>
            <w:pPr>
              <w:jc w:val="right"/>
              <w:ind w:right="10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240" w:type="dxa"/>
            <w:vAlign w:val="bottom"/>
          </w:tcPr>
          <w:p>
            <w:pPr>
              <w:spacing w:after="0"/>
              <w:rPr>
                <w:sz w:val="14"/>
                <w:szCs w:val="14"/>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240" w:type="dxa"/>
            <w:vAlign w:val="bottom"/>
          </w:tcPr>
          <w:p>
            <w:pPr>
              <w:spacing w:after="0"/>
              <w:rPr>
                <w:sz w:val="14"/>
                <w:szCs w:val="14"/>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38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Average outstanding balance</w:t>
            </w:r>
          </w:p>
        </w:tc>
        <w:tc>
          <w:tcPr>
            <w:tcW w:w="1100" w:type="dxa"/>
            <w:vAlign w:val="bottom"/>
            <w:shd w:val="clear" w:color="auto" w:fill="CFF0FC"/>
          </w:tcPr>
          <w:p>
            <w:pPr>
              <w:jc w:val="right"/>
              <w:ind w:right="9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25,907</w:t>
            </w:r>
          </w:p>
        </w:tc>
        <w:tc>
          <w:tcPr>
            <w:tcW w:w="28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10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5,209</w:t>
            </w: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20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13,025</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2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2,619</w:t>
            </w: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88"/>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stated interest rate</w:t>
            </w:r>
          </w:p>
        </w:tc>
        <w:tc>
          <w:tcPr>
            <w:tcW w:w="1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3.84 %</w:t>
            </w:r>
          </w:p>
        </w:tc>
        <w:tc>
          <w:tcPr>
            <w:tcW w:w="11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4.25 %</w:t>
            </w:r>
          </w:p>
        </w:tc>
        <w:tc>
          <w:tcPr>
            <w:tcW w:w="360" w:type="dxa"/>
            <w:vAlign w:val="bottom"/>
          </w:tcPr>
          <w:p>
            <w:pPr>
              <w:spacing w:after="0"/>
              <w:rPr>
                <w:sz w:val="16"/>
                <w:szCs w:val="16"/>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3.84 %</w:t>
            </w:r>
          </w:p>
        </w:tc>
        <w:tc>
          <w:tcPr>
            <w:tcW w:w="38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4.25 %</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-375920</wp:posOffset>
            </wp:positionV>
            <wp:extent cx="768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-375920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-375920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-375920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Instruments Disclosed, But Not Carried, At Fair Value</w:t>
      </w:r>
    </w:p>
    <w:p>
      <w:pPr>
        <w:spacing w:after="0" w:line="111" w:lineRule="exact"/>
        <w:rPr>
          <w:sz w:val="20"/>
          <w:szCs w:val="20"/>
          <w:color w:val="auto"/>
        </w:rPr>
      </w:pPr>
    </w:p>
    <w:p>
      <w:pPr>
        <w:jc w:val="both"/>
        <w:ind w:right="40" w:firstLine="749"/>
        <w:spacing w:after="0" w:line="282" w:lineRule="auto"/>
        <w:rPr>
          <w:sz w:val="20"/>
          <w:szCs w:val="20"/>
          <w:color w:val="auto"/>
        </w:rPr>
      </w:pPr>
      <w:r>
        <w:rPr>
          <w:rFonts w:ascii="Times New Roman" w:cs="Times New Roman" w:eastAsia="Times New Roman" w:hAnsi="Times New Roman"/>
          <w:sz w:val="14"/>
          <w:szCs w:val="14"/>
          <w:color w:val="auto"/>
        </w:rPr>
        <w:t>The following table presents the outstanding principal and fair value of the Company’s financial liabilities disclosed, but not carried, at fair value as of June 30, 2022, and the level of each financial liability within the fair value hierarchy (dollars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2032 Convertible Notes</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KeyBank Credit Facility</w:t>
            </w:r>
          </w:p>
        </w:tc>
        <w:tc>
          <w:tcPr>
            <w:tcW w:w="2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40,596</w:t>
            </w:r>
          </w:p>
        </w:tc>
        <w:tc>
          <w:tcPr>
            <w:tcW w:w="2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40,596</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40,596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105,596</w:t>
            </w:r>
          </w:p>
        </w:tc>
        <w:tc>
          <w:tcPr>
            <w:tcW w:w="5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105,596</w:t>
            </w:r>
          </w:p>
        </w:tc>
        <w:tc>
          <w:tcPr>
            <w:tcW w:w="5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-144780</wp:posOffset>
            </wp:positionV>
            <wp:extent cx="7683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-144780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-144780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-144780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p>
      <w:pPr>
        <w:jc w:val="both"/>
        <w:ind w:right="40" w:firstLine="839"/>
        <w:spacing w:after="0" w:line="302" w:lineRule="auto"/>
        <w:rPr>
          <w:sz w:val="20"/>
          <w:szCs w:val="20"/>
          <w:color w:val="auto"/>
        </w:rPr>
      </w:pPr>
      <w:r>
        <w:rPr>
          <w:rFonts w:ascii="Times New Roman" w:cs="Times New Roman" w:eastAsia="Times New Roman" w:hAnsi="Times New Roman"/>
          <w:sz w:val="14"/>
          <w:szCs w:val="14"/>
          <w:color w:val="auto"/>
        </w:rPr>
        <w:t>The following table presents the outstanding principal and fair value of the Company’s financial liabilities disclosed, but not carried, at fair value as of December 31, 2021, and the level of each financial liability within the fair value hierarchy (dollars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2022 Notes</w:t>
            </w:r>
          </w:p>
        </w:tc>
        <w:tc>
          <w:tcPr>
            <w:tcW w:w="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22,833</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23,285</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23,285</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 Convertible Notes</w:t>
            </w: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52,088</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52,983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52,983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26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8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4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124,921</w:t>
            </w:r>
          </w:p>
        </w:tc>
        <w:tc>
          <w:tcPr>
            <w:tcW w:w="28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126,268</w:t>
            </w:r>
          </w:p>
        </w:tc>
        <w:tc>
          <w:tcPr>
            <w:tcW w:w="24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76,268</w:t>
            </w:r>
          </w:p>
        </w:tc>
        <w:tc>
          <w:tcPr>
            <w:tcW w:w="24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4"/>
          <w:szCs w:val="14"/>
          <w:color w:val="auto"/>
        </w:rPr>
        <w:t>The estimated fair value of the 2022 Notes and 2022 Convertible Notes was based on their respective closing prices as of the measurement date as they were traded on the NASDAQ Global Select Market under the ticker “CPTAL” (2022 Notes) and on the NASDAQ Capital Market under the ticker “CPTAG” (2022 Convertible Notes).</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estimated fair value of the 2026 Notes, 2032 Convertible Notes and KeyBank Credit Facility approximates the principal value.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Directors’ Fees</w:t>
      </w:r>
    </w:p>
    <w:p>
      <w:pPr>
        <w:spacing w:after="0" w:line="111" w:lineRule="exact"/>
        <w:rPr>
          <w:sz w:val="20"/>
          <w:szCs w:val="20"/>
          <w:color w:val="auto"/>
        </w:rPr>
      </w:pPr>
    </w:p>
    <w:p>
      <w:pPr>
        <w:jc w:val="both"/>
        <w:ind w:right="20" w:firstLine="749"/>
        <w:spacing w:after="0" w:line="253" w:lineRule="auto"/>
        <w:rPr>
          <w:sz w:val="20"/>
          <w:szCs w:val="20"/>
          <w:color w:val="auto"/>
        </w:rPr>
      </w:pPr>
      <w:r>
        <w:rPr>
          <w:rFonts w:ascii="Times New Roman" w:cs="Times New Roman" w:eastAsia="Times New Roman" w:hAnsi="Times New Roman"/>
          <w:sz w:val="14"/>
          <w:szCs w:val="14"/>
          <w:color w:val="auto"/>
        </w:rPr>
        <w:t>Our Independent Directors receive an annual fee of $50,000. They also receive $5,000 plus reimbursement of reasonable out-of-pocket expenses incurred in connection with attending each Board meeting and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three and six months ended June 30, 2022, the Company recognized directors’ fees expense of $0.1 million and $0.2 million, respectively. For the three and six months ended June 30, 2021, the Company recognized directors’ fees expense of $0.1 million and $0.2 million, respectively. No compensation is expected to be paid to directors who are “interested persons” of the Company, as such term is defined in Section 2(a)(19) of the 1940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Earnings Per Share</w:t>
      </w:r>
    </w:p>
    <w:p>
      <w:pPr>
        <w:spacing w:after="0" w:line="123" w:lineRule="exact"/>
        <w:rPr>
          <w:sz w:val="20"/>
          <w:szCs w:val="20"/>
          <w:color w:val="auto"/>
        </w:rPr>
      </w:pPr>
    </w:p>
    <w:p>
      <w:pPr>
        <w:jc w:val="both"/>
        <w:ind w:right="20" w:firstLine="749"/>
        <w:spacing w:after="0" w:line="263" w:lineRule="auto"/>
        <w:rPr>
          <w:sz w:val="20"/>
          <w:szCs w:val="20"/>
          <w:color w:val="auto"/>
        </w:rPr>
      </w:pPr>
      <w:r>
        <w:rPr>
          <w:rFonts w:ascii="Times New Roman" w:cs="Times New Roman" w:eastAsia="Times New Roman" w:hAnsi="Times New Roman"/>
          <w:sz w:val="14"/>
          <w:szCs w:val="14"/>
          <w:color w:val="auto"/>
        </w:rPr>
        <w:t xml:space="preserve">In accordance with the provisions of ASC Topic 260 - </w:t>
      </w:r>
      <w:r>
        <w:rPr>
          <w:rFonts w:ascii="Times New Roman" w:cs="Times New Roman" w:eastAsia="Times New Roman" w:hAnsi="Times New Roman"/>
          <w:sz w:val="14"/>
          <w:szCs w:val="14"/>
          <w:i w:val="1"/>
          <w:iCs w:val="1"/>
          <w:color w:val="auto"/>
        </w:rPr>
        <w:t>Earnings per Share</w:t>
      </w:r>
      <w:r>
        <w:rPr>
          <w:rFonts w:ascii="Times New Roman" w:cs="Times New Roman" w:eastAsia="Times New Roman" w:hAnsi="Times New Roman"/>
          <w:sz w:val="14"/>
          <w:szCs w:val="14"/>
          <w:color w:val="auto"/>
        </w:rPr>
        <w:t xml:space="preserve"> (“ASC 260”), basic earnings per share is computed by dividing earnings available to common stockholders by the weighted average number of shares of the Company’s common stock outstanding during the period. Other potentially dilutive shares of the Company’s common stock, and the related impact to earnings, are considered when calculating diluted earnings per share. For the three and six months ended June</w:t>
      </w:r>
    </w:p>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17" w:right="3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4"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right"/>
        <w:ind w:right="52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30, 2022 and 2021, 0.6 million in convertible shares related to the 2022 Convertible Notes were considered anti-dilutive. For the three and six months ended June 30, 2022 , 0.5 million in convertible shares related to the 2032 Convertible Notes were considered anti-dilutive.</w:t>
      </w:r>
    </w:p>
    <w:p>
      <w:pPr>
        <w:spacing w:after="0" w:line="54" w:lineRule="exact"/>
        <w:rPr>
          <w:sz w:val="20"/>
          <w:szCs w:val="20"/>
          <w:color w:val="auto"/>
        </w:rPr>
      </w:pPr>
    </w:p>
    <w:p>
      <w:pPr>
        <w:ind w:firstLine="788"/>
        <w:spacing w:after="0" w:line="282" w:lineRule="auto"/>
        <w:rPr>
          <w:sz w:val="20"/>
          <w:szCs w:val="20"/>
          <w:color w:val="auto"/>
        </w:rPr>
      </w:pPr>
      <w:r>
        <w:rPr>
          <w:rFonts w:ascii="Times New Roman" w:cs="Times New Roman" w:eastAsia="Times New Roman" w:hAnsi="Times New Roman"/>
          <w:sz w:val="14"/>
          <w:szCs w:val="14"/>
          <w:color w:val="auto"/>
        </w:rPr>
        <w:t>The following information sets forth the computation of the weighted average basic and diluted net increase (decrease) in net assets per share resulting from operations for the three and six months ended June 30, 2022 and 2021 (dollars in thousands, except share and per share data):</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5"/>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20" w:type="dxa"/>
            <w:vAlign w:val="bottom"/>
          </w:tcPr>
          <w:p>
            <w:pPr>
              <w:spacing w:after="0"/>
              <w:rPr>
                <w:sz w:val="16"/>
                <w:szCs w:val="16"/>
                <w:color w:val="auto"/>
              </w:rPr>
            </w:pPr>
          </w:p>
        </w:tc>
        <w:tc>
          <w:tcPr>
            <w:tcW w:w="240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288"/>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19"/>
                <w:szCs w:val="19"/>
                <w:b w:val="1"/>
                <w:bCs w:val="1"/>
                <w:color w:val="auto"/>
                <w:vertAlign w:val="superscript"/>
              </w:rPr>
              <w:t>(1)</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268"/>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19"/>
                <w:szCs w:val="19"/>
                <w:b w:val="1"/>
                <w:bCs w:val="1"/>
                <w:color w:val="auto"/>
                <w:vertAlign w:val="superscript"/>
              </w:rPr>
              <w:t>(1)</w:t>
            </w: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82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Net (decrease) increase in net assets resulting from operations - basic and diluted </w:t>
            </w:r>
            <w:r>
              <w:rPr>
                <w:rFonts w:ascii="Times New Roman" w:cs="Times New Roman" w:eastAsia="Times New Roman" w:hAnsi="Times New Roman"/>
                <w:sz w:val="19"/>
                <w:szCs w:val="19"/>
                <w:color w:val="auto"/>
                <w:vertAlign w:val="superscript"/>
              </w:rPr>
              <w:t>(1)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(5,034</w:t>
            </w:r>
          </w:p>
        </w:tc>
        <w:tc>
          <w:tcPr>
            <w:tcW w:w="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(7,554</w:t>
            </w:r>
          </w:p>
        </w:tc>
        <w:tc>
          <w:tcPr>
            <w:tcW w:w="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(5,892</w:t>
            </w:r>
          </w:p>
        </w:tc>
        <w:tc>
          <w:tcPr>
            <w:tcW w:w="2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4,800</w:t>
            </w:r>
          </w:p>
        </w:tc>
        <w:tc>
          <w:tcPr>
            <w:tcW w:w="100" w:type="dxa"/>
            <w:vAlign w:val="bottom"/>
            <w:shd w:val="clear" w:color="auto" w:fill="CFF0FC"/>
          </w:tcPr>
          <w:p>
            <w:pPr>
              <w:spacing w:after="0"/>
              <w:rPr>
                <w:sz w:val="14"/>
                <w:szCs w:val="14"/>
                <w:color w:val="auto"/>
              </w:rPr>
            </w:pPr>
          </w:p>
        </w:tc>
      </w:tr>
      <w:tr>
        <w:trPr>
          <w:trHeight w:val="169"/>
        </w:trPr>
        <w:tc>
          <w:tcPr>
            <w:tcW w:w="582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Weighted average common stock outstanding – basic and diluted </w:t>
            </w:r>
            <w:r>
              <w:rPr>
                <w:rFonts w:ascii="Times New Roman" w:cs="Times New Roman" w:eastAsia="Times New Roman" w:hAnsi="Times New Roman"/>
                <w:sz w:val="18"/>
                <w:szCs w:val="18"/>
                <w:color w:val="auto"/>
                <w:vertAlign w:val="superscript"/>
              </w:rPr>
              <w:t>(1)</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2,711,068</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2,711,068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2,711,068</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2,711,068</w:t>
            </w:r>
          </w:p>
        </w:tc>
        <w:tc>
          <w:tcPr>
            <w:tcW w:w="100" w:type="dxa"/>
            <w:vAlign w:val="bottom"/>
          </w:tcPr>
          <w:p>
            <w:pPr>
              <w:spacing w:after="0"/>
              <w:rPr>
                <w:sz w:val="14"/>
                <w:szCs w:val="14"/>
                <w:color w:val="auto"/>
              </w:rPr>
            </w:pPr>
          </w:p>
        </w:tc>
      </w:tr>
      <w:tr>
        <w:trPr>
          <w:trHeight w:val="182"/>
        </w:trPr>
        <w:tc>
          <w:tcPr>
            <w:tcW w:w="5820" w:type="dxa"/>
            <w:vAlign w:val="bottom"/>
          </w:tcPr>
          <w:p>
            <w:pPr>
              <w:ind w:left="20"/>
              <w:spacing w:after="0" w:line="183" w:lineRule="exact"/>
              <w:rPr>
                <w:sz w:val="20"/>
                <w:szCs w:val="20"/>
                <w:color w:val="auto"/>
              </w:rPr>
            </w:pPr>
            <w:r>
              <w:rPr>
                <w:rFonts w:ascii="Times New Roman" w:cs="Times New Roman" w:eastAsia="Times New Roman" w:hAnsi="Times New Roman"/>
                <w:sz w:val="14"/>
                <w:szCs w:val="14"/>
                <w:color w:val="auto"/>
              </w:rPr>
              <w:t xml:space="preserve">Net (decrease) increase in net assets per share from operations - basic and diluted </w:t>
            </w:r>
            <w:r>
              <w:rPr>
                <w:rFonts w:ascii="Times New Roman" w:cs="Times New Roman" w:eastAsia="Times New Roman" w:hAnsi="Times New Roman"/>
                <w:sz w:val="19"/>
                <w:szCs w:val="19"/>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200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jc w:val="both"/>
        <w:ind w:left="520" w:hanging="512"/>
        <w:spacing w:after="0" w:line="220" w:lineRule="auto"/>
        <w:tabs>
          <w:tab w:leader="none" w:pos="52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applying the if-converted method, conversion is not assumed for purposes of computing diluted earnings per share if the effect would be anti-dilutive. For the three and six months ended June 30, 2022, conversion of the 2022 Convertible Notes into 0.6 million shares was not assumed as the effect on diluted earnings per share would be anti-dilutive. For the three and six months ended June 30, 2022, conversion of the 2032 Convertible Notes into 0.5 million shares was not assumed as the effect on diluted earnings per share would be anti-dilutive.</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Distributions</w:t>
      </w:r>
    </w:p>
    <w:p>
      <w:pPr>
        <w:spacing w:after="0" w:line="11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The Company’s distributions are recorded on the record date. Stockholders have the option to receive payment of the distribution in cash, shares of the Company’s common stock, or a combination of cash and shares of common stock. Tax characteristics of all distributions paid are reported to stockholders on Form 1099 after the end of the calendar year. Accordingly, distributions may be subject to reclassification based on future dividends and operating results and will not be determined until the end of the year. The Company’s Board determined not to declare a distribution for the quarters ended June 30, 2022 and 2021.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28" w:name="page29"/>
    <w:bookmarkEnd w:id="28"/>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LOGAN RIDGE FINANCE CORPORATION</w:t>
      </w:r>
    </w:p>
    <w:p>
      <w:pPr>
        <w:spacing w:after="0" w:line="2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4" w:lineRule="exact"/>
        <w:rPr>
          <w:sz w:val="20"/>
          <w:szCs w:val="20"/>
          <w:color w:val="auto"/>
        </w:rPr>
      </w:pPr>
    </w:p>
    <w:p>
      <w:pPr>
        <w:jc w:val="right"/>
        <w:ind w:right="530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right"/>
        <w:ind w:right="53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Financial Highlights</w:t>
      </w:r>
    </w:p>
    <w:p>
      <w:pPr>
        <w:spacing w:after="0" w:line="1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following is a schedule of financial highlights for the six months ended June 30, 2022 and 2021 (dollars in thousands, except share and per share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3180" w:type="dxa"/>
            <w:vAlign w:val="bottom"/>
            <w:tcBorders>
              <w:top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1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asset value at beginning of year</w:t>
            </w:r>
          </w:p>
        </w:tc>
        <w:tc>
          <w:tcPr>
            <w:tcW w:w="1120" w:type="dxa"/>
            <w:vAlign w:val="bottom"/>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39.48</w:t>
            </w:r>
          </w:p>
        </w:tc>
        <w:tc>
          <w:tcPr>
            <w:tcW w:w="280" w:type="dxa"/>
            <w:vAlign w:val="bottom"/>
          </w:tcPr>
          <w:p>
            <w:pPr>
              <w:spacing w:after="0"/>
              <w:rPr>
                <w:sz w:val="15"/>
                <w:szCs w:val="15"/>
                <w:color w:val="auto"/>
              </w:rPr>
            </w:pPr>
          </w:p>
        </w:tc>
        <w:tc>
          <w:tcPr>
            <w:tcW w:w="112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80" w:type="dxa"/>
            <w:vAlign w:val="bottom"/>
            <w:gridSpan w:val="2"/>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Net investment loss</w:t>
            </w:r>
            <w:r>
              <w:rPr>
                <w:rFonts w:ascii="Times New Roman" w:cs="Times New Roman" w:eastAsia="Times New Roman" w:hAnsi="Times New Roman"/>
                <w:sz w:val="19"/>
                <w:szCs w:val="19"/>
                <w:color w:val="auto"/>
                <w:vertAlign w:val="superscript"/>
              </w:rPr>
              <w:t>(1)</w:t>
            </w:r>
          </w:p>
        </w:tc>
        <w:tc>
          <w:tcPr>
            <w:tcW w:w="1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(0.73 )</w:t>
            </w:r>
          </w:p>
        </w:tc>
        <w:tc>
          <w:tcPr>
            <w:tcW w:w="1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(0.28 )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Net realized gain (loss) on investments</w:t>
            </w:r>
            <w:r>
              <w:rPr>
                <w:rFonts w:ascii="Times New Roman" w:cs="Times New Roman" w:eastAsia="Times New Roman" w:hAnsi="Times New Roman"/>
                <w:sz w:val="19"/>
                <w:szCs w:val="19"/>
                <w:color w:val="auto"/>
                <w:vertAlign w:val="superscript"/>
              </w:rPr>
              <w:t>(1)</w:t>
            </w:r>
          </w:p>
        </w:tc>
        <w:tc>
          <w:tcPr>
            <w:tcW w:w="1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(2.61 )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80" w:type="dxa"/>
            <w:vAlign w:val="bottom"/>
            <w:gridSpan w:val="2"/>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Net change in unrealized appreciation on investments</w:t>
            </w:r>
            <w:r>
              <w:rPr>
                <w:rFonts w:ascii="Times New Roman" w:cs="Times New Roman" w:eastAsia="Times New Roman" w:hAnsi="Times New Roman"/>
                <w:sz w:val="19"/>
                <w:szCs w:val="19"/>
                <w:color w:val="auto"/>
                <w:vertAlign w:val="superscript"/>
              </w:rPr>
              <w:t>(1)</w:t>
            </w:r>
          </w:p>
        </w:tc>
        <w:tc>
          <w:tcPr>
            <w:tcW w:w="1120" w:type="dxa"/>
            <w:vAlign w:val="bottom"/>
            <w:shd w:val="clear" w:color="auto" w:fill="CFF0FC"/>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(7.15 )</w:t>
            </w:r>
          </w:p>
        </w:tc>
        <w:tc>
          <w:tcPr>
            <w:tcW w:w="1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Net realized loss on extinguishment of debt</w:t>
            </w:r>
            <w:r>
              <w:rPr>
                <w:rFonts w:ascii="Times New Roman" w:cs="Times New Roman" w:eastAsia="Times New Roman" w:hAnsi="Times New Roman"/>
                <w:sz w:val="19"/>
                <w:szCs w:val="19"/>
                <w:color w:val="auto"/>
                <w:vertAlign w:val="superscript"/>
              </w:rPr>
              <w:t>(2)</w:t>
            </w:r>
          </w:p>
        </w:tc>
        <w:tc>
          <w:tcPr>
            <w:tcW w:w="112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(0.30 )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2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asset value at end of year</w:t>
            </w:r>
          </w:p>
        </w:tc>
        <w:tc>
          <w:tcPr>
            <w:tcW w:w="1120" w:type="dxa"/>
            <w:vAlign w:val="bottom"/>
            <w:tcBorders>
              <w:top w:val="single" w:sz="8" w:color="auto"/>
              <w:bottom w:val="single" w:sz="8" w:color="auto"/>
            </w:tcBorders>
            <w:shd w:val="clear" w:color="auto" w:fill="CFF0FC"/>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37.31</w:t>
            </w:r>
          </w:p>
        </w:tc>
        <w:tc>
          <w:tcPr>
            <w:tcW w:w="28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assets at end of period</w:t>
            </w:r>
          </w:p>
        </w:tc>
        <w:tc>
          <w:tcPr>
            <w:tcW w:w="1120" w:type="dxa"/>
            <w:vAlign w:val="bottom"/>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101,137</w:t>
            </w:r>
          </w:p>
        </w:tc>
        <w:tc>
          <w:tcPr>
            <w:tcW w:w="280" w:type="dxa"/>
            <w:vAlign w:val="bottom"/>
          </w:tcPr>
          <w:p>
            <w:pPr>
              <w:spacing w:after="0"/>
              <w:rPr>
                <w:sz w:val="14"/>
                <w:szCs w:val="14"/>
                <w:color w:val="auto"/>
              </w:rPr>
            </w:pPr>
          </w:p>
        </w:tc>
        <w:tc>
          <w:tcPr>
            <w:tcW w:w="112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Shares outstanding at end of period</w:t>
            </w:r>
          </w:p>
        </w:tc>
        <w:tc>
          <w:tcPr>
            <w:tcW w:w="1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2,711,068</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2,711,068</w:t>
            </w: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 share market value at end of period</w:t>
            </w:r>
          </w:p>
        </w:tc>
        <w:tc>
          <w:tcPr>
            <w:tcW w:w="1120" w:type="dxa"/>
            <w:vAlign w:val="bottom"/>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280" w:type="dxa"/>
            <w:vAlign w:val="bottom"/>
          </w:tcPr>
          <w:p>
            <w:pPr>
              <w:spacing w:after="0"/>
              <w:rPr>
                <w:sz w:val="15"/>
                <w:szCs w:val="15"/>
                <w:color w:val="auto"/>
              </w:rPr>
            </w:pPr>
          </w:p>
        </w:tc>
        <w:tc>
          <w:tcPr>
            <w:tcW w:w="112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80" w:type="dxa"/>
            <w:vAlign w:val="bottom"/>
            <w:gridSpan w:val="2"/>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Total return based on market value</w:t>
            </w:r>
            <w:r>
              <w:rPr>
                <w:rFonts w:ascii="Times New Roman" w:cs="Times New Roman" w:eastAsia="Times New Roman" w:hAnsi="Times New Roman"/>
                <w:sz w:val="19"/>
                <w:szCs w:val="19"/>
                <w:color w:val="auto"/>
                <w:vertAlign w:val="superscript"/>
              </w:rPr>
              <w:t>(3)</w:t>
            </w:r>
          </w:p>
        </w:tc>
        <w:tc>
          <w:tcPr>
            <w:tcW w:w="1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(31.36 )%</w:t>
            </w:r>
          </w:p>
        </w:tc>
        <w:tc>
          <w:tcPr>
            <w:tcW w:w="1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70.37 %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72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Ratio/Supplemental data:</w:t>
            </w: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2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Ratio of net investment (loss) income to average net assets</w:t>
            </w:r>
            <w:r>
              <w:rPr>
                <w:rFonts w:ascii="Times New Roman" w:cs="Times New Roman" w:eastAsia="Times New Roman" w:hAnsi="Times New Roman"/>
                <w:sz w:val="19"/>
                <w:szCs w:val="19"/>
                <w:color w:val="auto"/>
                <w:vertAlign w:val="superscript"/>
              </w:rPr>
              <w:t>(4)</w:t>
            </w:r>
          </w:p>
        </w:tc>
        <w:tc>
          <w:tcPr>
            <w:tcW w:w="112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(3.81 )%</w:t>
            </w:r>
          </w:p>
        </w:tc>
        <w:tc>
          <w:tcPr>
            <w:tcW w:w="112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(1.32 )%</w:t>
            </w:r>
          </w:p>
        </w:tc>
        <w:tc>
          <w:tcPr>
            <w:tcW w:w="0" w:type="dxa"/>
            <w:vAlign w:val="bottom"/>
          </w:tcPr>
          <w:p>
            <w:pPr>
              <w:spacing w:after="0"/>
              <w:rPr>
                <w:sz w:val="1"/>
                <w:szCs w:val="1"/>
                <w:color w:val="auto"/>
              </w:rPr>
            </w:pPr>
          </w:p>
        </w:tc>
      </w:tr>
      <w:tr>
        <w:trPr>
          <w:trHeight w:val="204"/>
        </w:trPr>
        <w:tc>
          <w:tcPr>
            <w:tcW w:w="728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4"/>
                <w:szCs w:val="14"/>
                <w:color w:val="auto"/>
              </w:rPr>
              <w:t>Ratio of interest and financing expenses to average net assets</w:t>
            </w:r>
            <w:r>
              <w:rPr>
                <w:rFonts w:ascii="Times New Roman" w:cs="Times New Roman" w:eastAsia="Times New Roman" w:hAnsi="Times New Roman"/>
                <w:sz w:val="19"/>
                <w:szCs w:val="19"/>
                <w:color w:val="auto"/>
                <w:vertAlign w:val="superscript"/>
              </w:rPr>
              <w:t>(4)</w:t>
            </w:r>
          </w:p>
        </w:tc>
        <w:tc>
          <w:tcPr>
            <w:tcW w:w="11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8.31 %</w:t>
            </w:r>
          </w:p>
        </w:tc>
        <w:tc>
          <w:tcPr>
            <w:tcW w:w="1120" w:type="dxa"/>
            <w:vAlign w:val="bottom"/>
          </w:tcPr>
          <w:p>
            <w:pPr>
              <w:spacing w:after="0"/>
              <w:rPr>
                <w:sz w:val="17"/>
                <w:szCs w:val="17"/>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10.14 %</w:t>
            </w:r>
          </w:p>
        </w:tc>
        <w:tc>
          <w:tcPr>
            <w:tcW w:w="0" w:type="dxa"/>
            <w:vAlign w:val="bottom"/>
          </w:tcPr>
          <w:p>
            <w:pPr>
              <w:spacing w:after="0"/>
              <w:rPr>
                <w:sz w:val="1"/>
                <w:szCs w:val="1"/>
                <w:color w:val="auto"/>
              </w:rPr>
            </w:pPr>
          </w:p>
        </w:tc>
      </w:tr>
      <w:tr>
        <w:trPr>
          <w:trHeight w:val="176"/>
        </w:trPr>
        <w:tc>
          <w:tcPr>
            <w:tcW w:w="7280" w:type="dxa"/>
            <w:vAlign w:val="bottom"/>
            <w:gridSpan w:val="2"/>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Ratio of other operating expenses to average net assets</w:t>
            </w:r>
            <w:r>
              <w:rPr>
                <w:rFonts w:ascii="Times New Roman" w:cs="Times New Roman" w:eastAsia="Times New Roman" w:hAnsi="Times New Roman"/>
                <w:sz w:val="19"/>
                <w:szCs w:val="19"/>
                <w:color w:val="auto"/>
                <w:vertAlign w:val="superscript"/>
              </w:rPr>
              <w:t>(4)</w:t>
            </w:r>
          </w:p>
        </w:tc>
        <w:tc>
          <w:tcPr>
            <w:tcW w:w="1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8.28 %</w:t>
            </w:r>
          </w:p>
        </w:tc>
        <w:tc>
          <w:tcPr>
            <w:tcW w:w="1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8.71 %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Ratio of total expenses including tax provision, net of fee waivers, to average net assets</w:t>
            </w:r>
            <w:r>
              <w:rPr>
                <w:rFonts w:ascii="Times New Roman" w:cs="Times New Roman" w:eastAsia="Times New Roman" w:hAnsi="Times New Roman"/>
                <w:sz w:val="19"/>
                <w:szCs w:val="19"/>
                <w:color w:val="auto"/>
                <w:vertAlign w:val="superscript"/>
              </w:rPr>
              <w:t>(4)</w:t>
            </w:r>
          </w:p>
        </w:tc>
        <w:tc>
          <w:tcPr>
            <w:tcW w:w="1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16.59 %</w:t>
            </w:r>
          </w:p>
        </w:tc>
        <w:tc>
          <w:tcPr>
            <w:tcW w:w="11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18.85 %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80" w:type="dxa"/>
            <w:vAlign w:val="bottom"/>
            <w:gridSpan w:val="2"/>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Portfolio turnover rate</w:t>
            </w:r>
            <w:r>
              <w:rPr>
                <w:rFonts w:ascii="Times New Roman" w:cs="Times New Roman" w:eastAsia="Times New Roman" w:hAnsi="Times New Roman"/>
                <w:sz w:val="19"/>
                <w:szCs w:val="19"/>
                <w:color w:val="auto"/>
                <w:vertAlign w:val="superscript"/>
              </w:rPr>
              <w:t>(5)</w:t>
            </w:r>
          </w:p>
        </w:tc>
        <w:tc>
          <w:tcPr>
            <w:tcW w:w="1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24.31 %</w:t>
            </w:r>
          </w:p>
        </w:tc>
        <w:tc>
          <w:tcPr>
            <w:tcW w:w="1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Average debt outstanding</w:t>
            </w:r>
            <w:r>
              <w:rPr>
                <w:rFonts w:ascii="Times New Roman" w:cs="Times New Roman" w:eastAsia="Times New Roman" w:hAnsi="Times New Roman"/>
                <w:sz w:val="19"/>
                <w:szCs w:val="19"/>
                <w:color w:val="auto"/>
                <w:vertAlign w:val="superscript"/>
              </w:rPr>
              <w:t>(6)</w:t>
            </w:r>
          </w:p>
        </w:tc>
        <w:tc>
          <w:tcPr>
            <w:tcW w:w="1120" w:type="dxa"/>
            <w:vAlign w:val="bottom"/>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132,655</w:t>
            </w:r>
          </w:p>
        </w:tc>
        <w:tc>
          <w:tcPr>
            <w:tcW w:w="280" w:type="dxa"/>
            <w:vAlign w:val="bottom"/>
          </w:tcPr>
          <w:p>
            <w:pPr>
              <w:spacing w:after="0"/>
              <w:rPr>
                <w:sz w:val="15"/>
                <w:szCs w:val="15"/>
                <w:color w:val="auto"/>
              </w:rPr>
            </w:pPr>
          </w:p>
        </w:tc>
        <w:tc>
          <w:tcPr>
            <w:tcW w:w="112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195,644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debt outstanding per common share</w:t>
            </w:r>
          </w:p>
        </w:tc>
        <w:tc>
          <w:tcPr>
            <w:tcW w:w="1120" w:type="dxa"/>
            <w:vAlign w:val="bottom"/>
            <w:shd w:val="clear" w:color="auto" w:fill="CFF0FC"/>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48.93</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72.17</w:t>
            </w: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Asset coverage ratio per unit</w:t>
            </w:r>
            <w:r>
              <w:rPr>
                <w:rFonts w:ascii="Times New Roman" w:cs="Times New Roman" w:eastAsia="Times New Roman" w:hAnsi="Times New Roman"/>
                <w:sz w:val="19"/>
                <w:szCs w:val="19"/>
                <w:color w:val="auto"/>
                <w:vertAlign w:val="superscript"/>
              </w:rPr>
              <w:t>(7)</w:t>
            </w:r>
          </w:p>
        </w:tc>
        <w:tc>
          <w:tcPr>
            <w:tcW w:w="1120" w:type="dxa"/>
            <w:vAlign w:val="bottom"/>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280" w:type="dxa"/>
            <w:vAlign w:val="bottom"/>
          </w:tcPr>
          <w:p>
            <w:pPr>
              <w:spacing w:after="0"/>
              <w:rPr>
                <w:sz w:val="21"/>
                <w:szCs w:val="21"/>
                <w:color w:val="auto"/>
              </w:rPr>
            </w:pPr>
          </w:p>
        </w:tc>
        <w:tc>
          <w:tcPr>
            <w:tcW w:w="112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w:t>
            </w:r>
          </w:p>
        </w:tc>
        <w:tc>
          <w:tcPr>
            <w:tcW w:w="69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Based on daily weighted average balance of shares of the Company’s common stock outstanding during the period.</w:t>
            </w: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(2)</w:t>
            </w:r>
          </w:p>
        </w:tc>
        <w:tc>
          <w:tcPr>
            <w:tcW w:w="69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300" w:type="dxa"/>
            <w:vAlign w:val="bottom"/>
            <w:vMerge w:val="continue"/>
          </w:tcPr>
          <w:p>
            <w:pPr>
              <w:spacing w:after="0"/>
              <w:rPr>
                <w:sz w:val="4"/>
                <w:szCs w:val="4"/>
                <w:color w:val="auto"/>
              </w:rPr>
            </w:pPr>
          </w:p>
        </w:tc>
        <w:tc>
          <w:tcPr>
            <w:tcW w:w="11020" w:type="dxa"/>
            <w:vAlign w:val="bottom"/>
            <w:gridSpan w:val="8"/>
            <w:vMerge w:val="restart"/>
          </w:tcPr>
          <w:p>
            <w:pPr>
              <w:ind w:left="180"/>
              <w:spacing w:after="0"/>
              <w:rPr>
                <w:sz w:val="20"/>
                <w:szCs w:val="20"/>
                <w:color w:val="auto"/>
              </w:rPr>
            </w:pPr>
            <w:r>
              <w:rPr>
                <w:rFonts w:ascii="Times New Roman" w:cs="Times New Roman" w:eastAsia="Times New Roman" w:hAnsi="Times New Roman"/>
                <w:sz w:val="14"/>
                <w:szCs w:val="14"/>
                <w:color w:val="auto"/>
              </w:rPr>
              <w:t>Includes the impact of different share amounts used in calculating per share data based on weighted average shares of the Company’s common stock outstanding during the period and</w:t>
            </w:r>
          </w:p>
        </w:tc>
        <w:tc>
          <w:tcPr>
            <w:tcW w:w="0" w:type="dxa"/>
            <w:vAlign w:val="bottom"/>
          </w:tcPr>
          <w:p>
            <w:pPr>
              <w:spacing w:after="0"/>
              <w:rPr>
                <w:sz w:val="1"/>
                <w:szCs w:val="1"/>
                <w:color w:val="auto"/>
              </w:rPr>
            </w:pPr>
          </w:p>
        </w:tc>
      </w:tr>
      <w:tr>
        <w:trPr>
          <w:trHeight w:val="111"/>
        </w:trPr>
        <w:tc>
          <w:tcPr>
            <w:tcW w:w="300" w:type="dxa"/>
            <w:vAlign w:val="bottom"/>
          </w:tcPr>
          <w:p>
            <w:pPr>
              <w:spacing w:after="0"/>
              <w:rPr>
                <w:sz w:val="9"/>
                <w:szCs w:val="9"/>
                <w:color w:val="auto"/>
              </w:rPr>
            </w:pPr>
          </w:p>
        </w:tc>
        <w:tc>
          <w:tcPr>
            <w:tcW w:w="110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020" w:type="dxa"/>
            <w:vAlign w:val="bottom"/>
            <w:gridSpan w:val="8"/>
          </w:tcPr>
          <w:p>
            <w:pPr>
              <w:ind w:left="180"/>
              <w:spacing w:after="0" w:line="149" w:lineRule="exact"/>
              <w:rPr>
                <w:sz w:val="20"/>
                <w:szCs w:val="20"/>
                <w:color w:val="auto"/>
              </w:rPr>
            </w:pPr>
            <w:r>
              <w:rPr>
                <w:rFonts w:ascii="Times New Roman" w:cs="Times New Roman" w:eastAsia="Times New Roman" w:hAnsi="Times New Roman"/>
                <w:sz w:val="14"/>
                <w:szCs w:val="14"/>
                <w:color w:val="auto"/>
              </w:rPr>
              <w:t>certain per share data based on shares of the Company’s common stock outstanding as of a period end or transaction date. Also includes the impact of shares of the Company’s common</w:t>
            </w:r>
          </w:p>
        </w:tc>
        <w:tc>
          <w:tcPr>
            <w:tcW w:w="0" w:type="dxa"/>
            <w:vAlign w:val="bottom"/>
          </w:tcPr>
          <w:p>
            <w:pPr>
              <w:spacing w:after="0"/>
              <w:rPr>
                <w:sz w:val="1"/>
                <w:szCs w:val="1"/>
                <w:color w:val="auto"/>
              </w:rPr>
            </w:pPr>
          </w:p>
        </w:tc>
      </w:tr>
      <w:tr>
        <w:trPr>
          <w:trHeight w:val="175"/>
        </w:trPr>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(3)</w:t>
            </w:r>
          </w:p>
        </w:tc>
        <w:tc>
          <w:tcPr>
            <w:tcW w:w="6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issued under the Company’s DRIP.</w:t>
            </w: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300" w:type="dxa"/>
            <w:vAlign w:val="bottom"/>
            <w:vMerge w:val="continue"/>
          </w:tcPr>
          <w:p>
            <w:pPr>
              <w:spacing w:after="0"/>
              <w:rPr>
                <w:sz w:val="4"/>
                <w:szCs w:val="4"/>
                <w:color w:val="auto"/>
              </w:rPr>
            </w:pPr>
          </w:p>
        </w:tc>
        <w:tc>
          <w:tcPr>
            <w:tcW w:w="11020" w:type="dxa"/>
            <w:vAlign w:val="bottom"/>
            <w:gridSpan w:val="8"/>
            <w:vMerge w:val="restart"/>
          </w:tcPr>
          <w:p>
            <w:pPr>
              <w:ind w:left="180"/>
              <w:spacing w:after="0"/>
              <w:rPr>
                <w:sz w:val="20"/>
                <w:szCs w:val="20"/>
                <w:color w:val="auto"/>
              </w:rPr>
            </w:pPr>
            <w:r>
              <w:rPr>
                <w:rFonts w:ascii="Times New Roman" w:cs="Times New Roman" w:eastAsia="Times New Roman" w:hAnsi="Times New Roman"/>
                <w:sz w:val="14"/>
                <w:szCs w:val="14"/>
                <w:color w:val="auto"/>
              </w:rPr>
              <w:t>Total investment return is calculated assuming a purchase of shares of the Company’s common stock at the current market value on the first day and a sale at the current market value on</w:t>
            </w:r>
          </w:p>
        </w:tc>
        <w:tc>
          <w:tcPr>
            <w:tcW w:w="0" w:type="dxa"/>
            <w:vAlign w:val="bottom"/>
          </w:tcPr>
          <w:p>
            <w:pPr>
              <w:spacing w:after="0"/>
              <w:rPr>
                <w:sz w:val="1"/>
                <w:szCs w:val="1"/>
                <w:color w:val="auto"/>
              </w:rPr>
            </w:pPr>
          </w:p>
        </w:tc>
      </w:tr>
      <w:tr>
        <w:trPr>
          <w:trHeight w:val="111"/>
        </w:trPr>
        <w:tc>
          <w:tcPr>
            <w:tcW w:w="300" w:type="dxa"/>
            <w:vAlign w:val="bottom"/>
          </w:tcPr>
          <w:p>
            <w:pPr>
              <w:spacing w:after="0"/>
              <w:rPr>
                <w:sz w:val="9"/>
                <w:szCs w:val="9"/>
                <w:color w:val="auto"/>
              </w:rPr>
            </w:pPr>
          </w:p>
        </w:tc>
        <w:tc>
          <w:tcPr>
            <w:tcW w:w="110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020" w:type="dxa"/>
            <w:vAlign w:val="bottom"/>
            <w:gridSpan w:val="8"/>
          </w:tcPr>
          <w:p>
            <w:pPr>
              <w:ind w:left="180"/>
              <w:spacing w:after="0" w:line="149" w:lineRule="exact"/>
              <w:rPr>
                <w:sz w:val="20"/>
                <w:szCs w:val="20"/>
                <w:color w:val="auto"/>
              </w:rPr>
            </w:pPr>
            <w:r>
              <w:rPr>
                <w:rFonts w:ascii="Times New Roman" w:cs="Times New Roman" w:eastAsia="Times New Roman" w:hAnsi="Times New Roman"/>
                <w:sz w:val="14"/>
                <w:szCs w:val="14"/>
                <w:color w:val="auto"/>
              </w:rPr>
              <w:t>the last day of the period reported. Dividends and distributions, if any, are assumed for purposes of this calculation to be reinvested at prices obtained under the Company’s DRIP. Total</w:t>
            </w:r>
          </w:p>
        </w:tc>
        <w:tc>
          <w:tcPr>
            <w:tcW w:w="0" w:type="dxa"/>
            <w:vAlign w:val="bottom"/>
          </w:tcPr>
          <w:p>
            <w:pPr>
              <w:spacing w:after="0"/>
              <w:rPr>
                <w:sz w:val="1"/>
                <w:szCs w:val="1"/>
                <w:color w:val="auto"/>
              </w:rPr>
            </w:pPr>
          </w:p>
        </w:tc>
      </w:tr>
      <w:tr>
        <w:trPr>
          <w:trHeight w:val="175"/>
        </w:trPr>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(4)</w:t>
            </w:r>
          </w:p>
        </w:tc>
        <w:tc>
          <w:tcPr>
            <w:tcW w:w="8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investment return does not reflect brokerage commissions. Total investment returns covering less than a full period are not annualized.</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300" w:type="dxa"/>
            <w:vAlign w:val="bottom"/>
            <w:vMerge w:val="continue"/>
          </w:tcPr>
          <w:p>
            <w:pPr>
              <w:spacing w:after="0"/>
              <w:rPr>
                <w:sz w:val="4"/>
                <w:szCs w:val="4"/>
                <w:color w:val="auto"/>
              </w:rPr>
            </w:pPr>
          </w:p>
        </w:tc>
        <w:tc>
          <w:tcPr>
            <w:tcW w:w="69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Ratio is annualized.</w:t>
            </w:r>
          </w:p>
        </w:tc>
        <w:tc>
          <w:tcPr>
            <w:tcW w:w="1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(5)</w:t>
            </w:r>
          </w:p>
        </w:tc>
        <w:tc>
          <w:tcPr>
            <w:tcW w:w="69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300" w:type="dxa"/>
            <w:vAlign w:val="bottom"/>
            <w:vMerge w:val="continue"/>
          </w:tcPr>
          <w:p>
            <w:pPr>
              <w:spacing w:after="0"/>
              <w:rPr>
                <w:sz w:val="4"/>
                <w:szCs w:val="4"/>
                <w:color w:val="auto"/>
              </w:rPr>
            </w:pPr>
          </w:p>
        </w:tc>
        <w:tc>
          <w:tcPr>
            <w:tcW w:w="11020" w:type="dxa"/>
            <w:vAlign w:val="bottom"/>
            <w:gridSpan w:val="8"/>
            <w:vMerge w:val="restart"/>
          </w:tcPr>
          <w:p>
            <w:pPr>
              <w:ind w:left="180"/>
              <w:spacing w:after="0"/>
              <w:rPr>
                <w:sz w:val="20"/>
                <w:szCs w:val="20"/>
                <w:color w:val="auto"/>
              </w:rPr>
            </w:pPr>
            <w:r>
              <w:rPr>
                <w:rFonts w:ascii="Times New Roman" w:cs="Times New Roman" w:eastAsia="Times New Roman" w:hAnsi="Times New Roman"/>
                <w:sz w:val="14"/>
                <w:szCs w:val="14"/>
                <w:color w:val="auto"/>
              </w:rPr>
              <w:t>Portfolio turnover rate is calculated using the lesser of year-to-date sales or year-to-date purchases over the average of the invested assets at fair value. Portfolio turnover rates that cover</w:t>
            </w:r>
          </w:p>
        </w:tc>
        <w:tc>
          <w:tcPr>
            <w:tcW w:w="0" w:type="dxa"/>
            <w:vAlign w:val="bottom"/>
          </w:tcPr>
          <w:p>
            <w:pPr>
              <w:spacing w:after="0"/>
              <w:rPr>
                <w:sz w:val="1"/>
                <w:szCs w:val="1"/>
                <w:color w:val="auto"/>
              </w:rPr>
            </w:pPr>
          </w:p>
        </w:tc>
      </w:tr>
      <w:tr>
        <w:trPr>
          <w:trHeight w:val="111"/>
        </w:trPr>
        <w:tc>
          <w:tcPr>
            <w:tcW w:w="300" w:type="dxa"/>
            <w:vAlign w:val="bottom"/>
          </w:tcPr>
          <w:p>
            <w:pPr>
              <w:spacing w:after="0"/>
              <w:rPr>
                <w:sz w:val="9"/>
                <w:szCs w:val="9"/>
                <w:color w:val="auto"/>
              </w:rPr>
            </w:pPr>
          </w:p>
        </w:tc>
        <w:tc>
          <w:tcPr>
            <w:tcW w:w="110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(6)</w:t>
            </w:r>
          </w:p>
        </w:tc>
        <w:tc>
          <w:tcPr>
            <w:tcW w:w="6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 than a full period are not annualized.</w:t>
            </w: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(7)</w:t>
            </w:r>
          </w:p>
        </w:tc>
        <w:tc>
          <w:tcPr>
            <w:tcW w:w="6980" w:type="dxa"/>
            <w:vAlign w:val="bottom"/>
          </w:tcPr>
          <w:p>
            <w:pPr>
              <w:ind w:left="180"/>
              <w:spacing w:after="0" w:line="159" w:lineRule="exact"/>
              <w:rPr>
                <w:sz w:val="20"/>
                <w:szCs w:val="20"/>
                <w:color w:val="auto"/>
              </w:rPr>
            </w:pPr>
            <w:r>
              <w:rPr>
                <w:rFonts w:ascii="Times New Roman" w:cs="Times New Roman" w:eastAsia="Times New Roman" w:hAnsi="Times New Roman"/>
                <w:sz w:val="14"/>
                <w:szCs w:val="14"/>
                <w:color w:val="auto"/>
              </w:rPr>
              <w:t>Based on the daily weighted average balance of debt outstanding during the period.</w:t>
            </w:r>
          </w:p>
        </w:tc>
        <w:tc>
          <w:tcPr>
            <w:tcW w:w="1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300" w:type="dxa"/>
            <w:vAlign w:val="bottom"/>
            <w:vMerge w:val="continue"/>
          </w:tcPr>
          <w:p>
            <w:pPr>
              <w:spacing w:after="0"/>
              <w:rPr>
                <w:sz w:val="4"/>
                <w:szCs w:val="4"/>
                <w:color w:val="auto"/>
              </w:rPr>
            </w:pPr>
          </w:p>
        </w:tc>
        <w:tc>
          <w:tcPr>
            <w:tcW w:w="11020" w:type="dxa"/>
            <w:vAlign w:val="bottom"/>
            <w:gridSpan w:val="8"/>
            <w:vMerge w:val="restart"/>
          </w:tcPr>
          <w:p>
            <w:pPr>
              <w:ind w:left="180"/>
              <w:spacing w:after="0"/>
              <w:rPr>
                <w:sz w:val="20"/>
                <w:szCs w:val="20"/>
                <w:color w:val="auto"/>
              </w:rPr>
            </w:pPr>
            <w:r>
              <w:rPr>
                <w:rFonts w:ascii="Times New Roman" w:cs="Times New Roman" w:eastAsia="Times New Roman" w:hAnsi="Times New Roman"/>
                <w:sz w:val="14"/>
                <w:szCs w:val="14"/>
                <w:color w:val="auto"/>
              </w:rPr>
              <w:t>Asset coverage per unit is the ratio of the carrying value of our total consolidated assets, less all liabilities and indebtedness not represented by senior securities, to the aggregate amount</w:t>
            </w:r>
          </w:p>
        </w:tc>
        <w:tc>
          <w:tcPr>
            <w:tcW w:w="0" w:type="dxa"/>
            <w:vAlign w:val="bottom"/>
          </w:tcPr>
          <w:p>
            <w:pPr>
              <w:spacing w:after="0"/>
              <w:rPr>
                <w:sz w:val="1"/>
                <w:szCs w:val="1"/>
                <w:color w:val="auto"/>
              </w:rPr>
            </w:pPr>
          </w:p>
        </w:tc>
      </w:tr>
      <w:tr>
        <w:trPr>
          <w:trHeight w:val="127"/>
        </w:trPr>
        <w:tc>
          <w:tcPr>
            <w:tcW w:w="300" w:type="dxa"/>
            <w:vAlign w:val="bottom"/>
          </w:tcPr>
          <w:p>
            <w:pPr>
              <w:spacing w:after="0"/>
              <w:rPr>
                <w:sz w:val="11"/>
                <w:szCs w:val="11"/>
                <w:color w:val="auto"/>
              </w:rPr>
            </w:pPr>
          </w:p>
        </w:tc>
        <w:tc>
          <w:tcPr>
            <w:tcW w:w="110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-2849880</wp:posOffset>
            </wp:positionV>
            <wp:extent cx="7747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-2849880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-2284095</wp:posOffset>
            </wp:positionV>
            <wp:extent cx="7132320" cy="1117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480" w:right="100"/>
        <w:spacing w:after="0" w:line="239" w:lineRule="auto"/>
        <w:rPr>
          <w:sz w:val="20"/>
          <w:szCs w:val="20"/>
          <w:color w:val="auto"/>
        </w:rPr>
      </w:pPr>
      <w:r>
        <w:rPr>
          <w:rFonts w:ascii="Times New Roman" w:cs="Times New Roman" w:eastAsia="Times New Roman" w:hAnsi="Times New Roman"/>
          <w:sz w:val="14"/>
          <w:szCs w:val="14"/>
          <w:color w:val="auto"/>
        </w:rPr>
        <w:t>of senior securities representing indebtedness. There were no SBA-guaranteed debentures outstanding as of June 30, 2022 or 2021. Asset coverage per unit is expressed in terms of dollar amounts per $1,000 of indebtedness.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Subsequent Events</w:t>
      </w:r>
    </w:p>
    <w:p>
      <w:pPr>
        <w:spacing w:after="0" w:line="111"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4"/>
          <w:szCs w:val="14"/>
          <w:color w:val="auto"/>
        </w:rPr>
        <w:t>Management has evaluated subsequent events through the date of issuance of the consolidated financial statements included herein. There have been no other subsequent events that occurred during such period that would be required to be recognized in the consolidated financial statements as of June 30, 2022, other than as set forth below.</w:t>
      </w:r>
    </w:p>
    <w:p>
      <w:pPr>
        <w:spacing w:after="0" w:line="200" w:lineRule="exact"/>
        <w:rPr>
          <w:sz w:val="20"/>
          <w:szCs w:val="20"/>
          <w:color w:val="auto"/>
        </w:rPr>
      </w:pPr>
    </w:p>
    <w:p>
      <w:pPr>
        <w:spacing w:after="0" w:line="2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317" w:right="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4"/>
          <w:szCs w:val="14"/>
          <w:color w:val="auto"/>
        </w:rPr>
        <w:t>The following discussion and analysis should be read in conjunction with our consolidated financial statements and related notes and other financial information appearing elsewhere in this Quarterly Report on Form 10-Q.</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Except as otherwise specified, references to “we,” “us,” “our,” “Logan Ridge,” or the “Company”, refer to Logan Ridge Finance Corporation.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2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4"/>
          <w:szCs w:val="14"/>
          <w:color w:val="auto"/>
        </w:rPr>
        <w:t>This Quarterly Report on Form 10-Q,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8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4"/>
          <w:szCs w:val="14"/>
          <w:color w:val="auto"/>
        </w:rPr>
        <w:t>Some of the statements in this Quarterly Report on Form 10-Q constitute forward-looking statements, which relate to future events or our performance or financial condition. The forward-looking statements contained in this Quarterly Report on Form 10-Q involve risks and uncertainties, including statements as to:</w:t>
      </w:r>
    </w:p>
    <w:p>
      <w:pPr>
        <w:spacing w:after="0" w:line="54" w:lineRule="exact"/>
        <w:rPr>
          <w:sz w:val="20"/>
          <w:szCs w:val="20"/>
          <w:color w:val="auto"/>
        </w:rPr>
      </w:pPr>
    </w:p>
    <w:p>
      <w:pPr>
        <w:ind w:left="1140" w:hanging="383"/>
        <w:spacing w:after="0"/>
        <w:tabs>
          <w:tab w:leader="none" w:pos="1140" w:val="left"/>
        </w:tabs>
        <w:numPr>
          <w:ilvl w:val="0"/>
          <w:numId w:val="2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our future operating results and the impact of the COVID-19 pandemic thereon;</w:t>
      </w:r>
    </w:p>
    <w:p>
      <w:pPr>
        <w:spacing w:after="0" w:line="109" w:lineRule="exact"/>
        <w:rPr>
          <w:rFonts w:ascii="Times New Roman" w:cs="Times New Roman" w:eastAsia="Times New Roman" w:hAnsi="Times New Roman"/>
          <w:sz w:val="14"/>
          <w:szCs w:val="14"/>
          <w:color w:val="231F20"/>
        </w:rPr>
      </w:pPr>
    </w:p>
    <w:p>
      <w:pPr>
        <w:ind w:left="1140" w:hanging="383"/>
        <w:spacing w:after="0" w:line="302" w:lineRule="auto"/>
        <w:tabs>
          <w:tab w:leader="none" w:pos="1140" w:val="left"/>
        </w:tabs>
        <w:numPr>
          <w:ilvl w:val="0"/>
          <w:numId w:val="2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our business prospects and the prospects of our portfolio companies, including our and their ability to achieve our respective objectives as a result of the current COVID-19 pandemic;</w:t>
      </w:r>
    </w:p>
    <w:p>
      <w:pPr>
        <w:spacing w:after="0" w:line="40" w:lineRule="exact"/>
        <w:rPr>
          <w:rFonts w:ascii="Times New Roman" w:cs="Times New Roman" w:eastAsia="Times New Roman" w:hAnsi="Times New Roman"/>
          <w:sz w:val="14"/>
          <w:szCs w:val="14"/>
          <w:color w:val="231F20"/>
        </w:rPr>
      </w:pPr>
    </w:p>
    <w:p>
      <w:pPr>
        <w:ind w:left="1140" w:hanging="383"/>
        <w:spacing w:after="0"/>
        <w:tabs>
          <w:tab w:leader="none" w:pos="1140" w:val="left"/>
        </w:tabs>
        <w:numPr>
          <w:ilvl w:val="0"/>
          <w:numId w:val="2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impact of investments that we expect to make;</w:t>
      </w:r>
    </w:p>
    <w:p>
      <w:pPr>
        <w:spacing w:after="0" w:line="109" w:lineRule="exact"/>
        <w:rPr>
          <w:rFonts w:ascii="Times New Roman" w:cs="Times New Roman" w:eastAsia="Times New Roman" w:hAnsi="Times New Roman"/>
          <w:sz w:val="14"/>
          <w:szCs w:val="14"/>
          <w:color w:val="231F20"/>
        </w:rPr>
      </w:pPr>
    </w:p>
    <w:p>
      <w:pPr>
        <w:ind w:left="1140" w:hanging="383"/>
        <w:spacing w:after="0"/>
        <w:tabs>
          <w:tab w:leader="none" w:pos="1140" w:val="left"/>
        </w:tabs>
        <w:numPr>
          <w:ilvl w:val="0"/>
          <w:numId w:val="2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our contractual arrangements and relationships with third parties;</w:t>
      </w:r>
    </w:p>
    <w:p>
      <w:pPr>
        <w:spacing w:after="0" w:line="109" w:lineRule="exact"/>
        <w:rPr>
          <w:rFonts w:ascii="Times New Roman" w:cs="Times New Roman" w:eastAsia="Times New Roman" w:hAnsi="Times New Roman"/>
          <w:sz w:val="14"/>
          <w:szCs w:val="14"/>
          <w:color w:val="231F20"/>
        </w:rPr>
      </w:pPr>
    </w:p>
    <w:p>
      <w:pPr>
        <w:ind w:left="1140" w:hanging="383"/>
        <w:spacing w:after="0"/>
        <w:tabs>
          <w:tab w:leader="none" w:pos="1140" w:val="left"/>
        </w:tabs>
        <w:numPr>
          <w:ilvl w:val="0"/>
          <w:numId w:val="2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dependence of our future success on the general economy and its impact on the industries in which we invest;</w:t>
      </w:r>
    </w:p>
    <w:p>
      <w:pPr>
        <w:spacing w:after="0" w:line="122" w:lineRule="exact"/>
        <w:rPr>
          <w:rFonts w:ascii="Times New Roman" w:cs="Times New Roman" w:eastAsia="Times New Roman" w:hAnsi="Times New Roman"/>
          <w:sz w:val="14"/>
          <w:szCs w:val="14"/>
          <w:color w:val="231F20"/>
        </w:rPr>
      </w:pPr>
    </w:p>
    <w:p>
      <w:pPr>
        <w:ind w:left="1140" w:hanging="383"/>
        <w:spacing w:after="0"/>
        <w:tabs>
          <w:tab w:leader="none" w:pos="1140" w:val="left"/>
        </w:tabs>
        <w:numPr>
          <w:ilvl w:val="0"/>
          <w:numId w:val="2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our expected financings and investments;</w:t>
      </w:r>
    </w:p>
    <w:p>
      <w:pPr>
        <w:spacing w:after="0" w:line="109" w:lineRule="exact"/>
        <w:rPr>
          <w:rFonts w:ascii="Times New Roman" w:cs="Times New Roman" w:eastAsia="Times New Roman" w:hAnsi="Times New Roman"/>
          <w:sz w:val="14"/>
          <w:szCs w:val="14"/>
          <w:color w:val="231F20"/>
        </w:rPr>
      </w:pPr>
    </w:p>
    <w:p>
      <w:pPr>
        <w:ind w:left="1140" w:hanging="383"/>
        <w:spacing w:after="0"/>
        <w:tabs>
          <w:tab w:leader="none" w:pos="1140" w:val="left"/>
        </w:tabs>
        <w:numPr>
          <w:ilvl w:val="0"/>
          <w:numId w:val="2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adequacy of our cash resources and working capital; and</w:t>
      </w:r>
    </w:p>
    <w:p>
      <w:pPr>
        <w:spacing w:after="0" w:line="109" w:lineRule="exact"/>
        <w:rPr>
          <w:rFonts w:ascii="Times New Roman" w:cs="Times New Roman" w:eastAsia="Times New Roman" w:hAnsi="Times New Roman"/>
          <w:sz w:val="14"/>
          <w:szCs w:val="14"/>
          <w:color w:val="231F20"/>
        </w:rPr>
      </w:pPr>
    </w:p>
    <w:p>
      <w:pPr>
        <w:ind w:left="1140" w:hanging="383"/>
        <w:spacing w:after="0"/>
        <w:tabs>
          <w:tab w:leader="none" w:pos="1140" w:val="left"/>
        </w:tabs>
        <w:numPr>
          <w:ilvl w:val="0"/>
          <w:numId w:val="2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timing of cash flows, if any, from the operations of our portfolio companies and the impact of the COVID-19 pandemic thereon.</w:t>
      </w:r>
    </w:p>
    <w:p>
      <w:pPr>
        <w:spacing w:after="0" w:line="109" w:lineRule="exact"/>
        <w:rPr>
          <w:sz w:val="20"/>
          <w:szCs w:val="20"/>
          <w:color w:val="auto"/>
        </w:rPr>
      </w:pPr>
    </w:p>
    <w:p>
      <w:pPr>
        <w:ind w:firstLine="749"/>
        <w:spacing w:after="0" w:line="302" w:lineRule="auto"/>
        <w:rPr>
          <w:sz w:val="20"/>
          <w:szCs w:val="20"/>
          <w:color w:val="auto"/>
        </w:rPr>
      </w:pPr>
      <w:r>
        <w:rPr>
          <w:rFonts w:ascii="Times New Roman" w:cs="Times New Roman" w:eastAsia="Times New Roman" w:hAnsi="Times New Roman"/>
          <w:sz w:val="14"/>
          <w:szCs w:val="14"/>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40" w:lineRule="exact"/>
        <w:rPr>
          <w:sz w:val="20"/>
          <w:szCs w:val="20"/>
          <w:color w:val="auto"/>
        </w:rPr>
      </w:pPr>
    </w:p>
    <w:p>
      <w:pPr>
        <w:ind w:left="1140" w:hanging="383"/>
        <w:spacing w:after="0" w:line="282" w:lineRule="auto"/>
        <w:tabs>
          <w:tab w:leader="none" w:pos="1140" w:val="left"/>
        </w:tabs>
        <w:numPr>
          <w:ilvl w:val="0"/>
          <w:numId w:val="2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an economic downturn, due to the COVID-19 pandemic or otherwise, could impair our portfolio companies’ ability to continue to operate or repay their borrowings, which could lead to the loss of some or all of our investments in such portfolio companies;</w:t>
      </w:r>
    </w:p>
    <w:p>
      <w:pPr>
        <w:spacing w:after="0" w:line="53" w:lineRule="exact"/>
        <w:rPr>
          <w:rFonts w:ascii="Times New Roman" w:cs="Times New Roman" w:eastAsia="Times New Roman" w:hAnsi="Times New Roman"/>
          <w:sz w:val="14"/>
          <w:szCs w:val="14"/>
          <w:color w:val="231F20"/>
        </w:rPr>
      </w:pPr>
    </w:p>
    <w:p>
      <w:pPr>
        <w:ind w:left="1140" w:hanging="383"/>
        <w:spacing w:after="0" w:line="302" w:lineRule="auto"/>
        <w:tabs>
          <w:tab w:leader="none" w:pos="1140" w:val="left"/>
        </w:tabs>
        <w:numPr>
          <w:ilvl w:val="0"/>
          <w:numId w:val="2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a contraction of available credit and/or an inability to access the equity markets could impair our lending and investment activities and the impact of the COVID-19 pandemic thereon;</w:t>
      </w:r>
    </w:p>
    <w:p>
      <w:pPr>
        <w:spacing w:after="0" w:line="40" w:lineRule="exact"/>
        <w:rPr>
          <w:rFonts w:ascii="Times New Roman" w:cs="Times New Roman" w:eastAsia="Times New Roman" w:hAnsi="Times New Roman"/>
          <w:sz w:val="14"/>
          <w:szCs w:val="14"/>
          <w:color w:val="231F20"/>
        </w:rPr>
      </w:pPr>
    </w:p>
    <w:p>
      <w:pPr>
        <w:ind w:left="1140" w:hanging="383"/>
        <w:spacing w:after="0"/>
        <w:tabs>
          <w:tab w:leader="none" w:pos="1140" w:val="left"/>
        </w:tabs>
        <w:numPr>
          <w:ilvl w:val="0"/>
          <w:numId w:val="2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interest rate volatility could adversely affect our results, particularly if we use leverage as part of our investment strategy; and</w:t>
      </w:r>
    </w:p>
    <w:p>
      <w:pPr>
        <w:spacing w:after="0" w:line="109" w:lineRule="exact"/>
        <w:rPr>
          <w:rFonts w:ascii="Times New Roman" w:cs="Times New Roman" w:eastAsia="Times New Roman" w:hAnsi="Times New Roman"/>
          <w:sz w:val="14"/>
          <w:szCs w:val="14"/>
          <w:color w:val="231F20"/>
        </w:rPr>
      </w:pPr>
    </w:p>
    <w:p>
      <w:pPr>
        <w:ind w:left="1140" w:hanging="383"/>
        <w:spacing w:after="0"/>
        <w:tabs>
          <w:tab w:leader="none" w:pos="1140" w:val="left"/>
        </w:tabs>
        <w:numPr>
          <w:ilvl w:val="0"/>
          <w:numId w:val="2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risks, uncertainties and other factors we identify in “Risk Factors” and elsewhere in this Quarterly Report on Form 10-Q.</w:t>
      </w:r>
    </w:p>
    <w:p>
      <w:pPr>
        <w:spacing w:after="0" w:line="10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our Annual Report on Form 10-K for the fiscal year ended December 31, 2021 and in this Quarterly Report on Form 10-Q.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11"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14"/>
          <w:szCs w:val="14"/>
          <w:color w:val="auto"/>
        </w:rPr>
        <w:t>We are a Maryland corporation that has elected to be regulated as a business development company (‘‘BDC’’) under the Investment Company Act of 1940, as amended (the ‘‘1940 Act’’). Our investment objective is to generate both current income and capital appreciation through debt and equity investments. We are managed by Mount Logan Management LLC (the ‘‘Investment Advisor’’), and BC Partners Management LLC (the ‘‘Administrator’’) provides the administrative services necessary for us to operate.</w:t>
      </w:r>
    </w:p>
    <w:p>
      <w:pPr>
        <w:spacing w:after="0" w:line="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$5.0 million and $50.0 million in trailing twelve-month earnings before interest, tax, depreciation, and amortization (‘‘EBITDA’’).</w:t>
      </w:r>
    </w:p>
    <w:p>
      <w:pPr>
        <w:spacing w:after="0" w:line="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We invest in first lien loans and, to a lesser extent, second lien loans and equity securities issued by lower middle-market and traditional middle-market companies.</w:t>
      </w:r>
    </w:p>
    <w:p>
      <w:pPr>
        <w:spacing w:after="0" w:line="109"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4"/>
          <w:szCs w:val="14"/>
          <w:color w:val="auto"/>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150%, if certain requirements are met, after such borrowing, with certain limited exceptions. As of June 30, 2022, our asset coverage ratio was 194%. To maintain our regulated 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Corporate History</w:t>
      </w:r>
    </w:p>
    <w:p>
      <w:pPr>
        <w:spacing w:after="0" w:line="1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4"/>
          <w:szCs w:val="14"/>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7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4"/>
          <w:szCs w:val="14"/>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small business investment company (“SBIC”) licenses issued by the U.S. Small Business Administration (“SBA”),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(“SBA-guaranteed debentures”) and relinquished its SBIC license. On June 10, 2021, Fund III repaid its SBA-guaranteed debentures and relinquished its SBIC license.</w:t>
      </w:r>
    </w:p>
    <w:p>
      <w:pPr>
        <w:spacing w:after="0" w:line="7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At the time of the Formation Transactions, our portfolio consisted of: (1) approximately $326.3 million in investments; (2) an aggregate of approximately $67.1 million in cash, interest receivable and other assets; and (3) liabilities of approximately $202.2 million of SBA-guaranteed debentures payable. Fund III, our subsidiary, is licensed under the Small Business Investment Act, of 1958, as amended, and has elected to be regulated as BDC under the 1940 Act. Fund II, our subsidiary, was licensed under the SBIC Act until March 1, 2019 and has elected to be regulated as a BDC under the 1940 Act.</w:t>
      </w:r>
    </w:p>
    <w:p>
      <w:pPr>
        <w:spacing w:after="0" w:line="6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spacing w:after="0" w:line="8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231F20"/>
        </w:rPr>
        <w:t>Capitala Business Lending, LLC (“CBL”), a wholly-owned subsidiary of ours, was established on October 30, 2020, for the sole purpose of holding certain investments pledged as collateral under a senior secured revolving credit agreement with KeyBank National Association (the “KeyBank Credit Facility”). See “Financial Condition, Liquidity and Capital Resources” for more details. The financial statements of CBL are consolidated with those of Logan Ridge Finance Corporation.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Definitive Agreement</w:t>
      </w:r>
    </w:p>
    <w:p>
      <w:pPr>
        <w:spacing w:after="0" w:line="12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4"/>
          <w:szCs w:val="14"/>
          <w:color w:val="auto"/>
        </w:rPr>
        <w:t>On April 20, 2021, Capitala Investment Advisors, LLC (“Capitala”), the Company’s former investment adviser, entered into a definitive agreement (the “Definitive Agreement”) with the Investment Advisor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Advisor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w:t>
      </w:r>
    </w:p>
    <w:p>
      <w:pPr>
        <w:spacing w:after="0" w:line="24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4"/>
          <w:szCs w:val="14"/>
          <w:color w:val="auto"/>
        </w:rPr>
        <w:t>As part of the Transaction, the Investment Advisor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spacing w:after="0" w:line="6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4"/>
          <w:szCs w:val="14"/>
          <w:color w:val="auto"/>
        </w:rPr>
        <w:t>On the date of the Closing, the Company changed its name from Capitala Finance Corp. to Logan Ridge Finance Corporation and on July 2, 2021, the Company’s common stock began trading on the NASDAQ Global Select Market under the symbol “LRFC.”</w:t>
      </w:r>
    </w:p>
    <w:p>
      <w:pPr>
        <w:spacing w:after="0" w:line="5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4"/>
          <w:szCs w:val="14"/>
          <w:color w:val="auto"/>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 Warshauer, were appointed as members of the Board (the “Directors”). The Directors were appointed by the Board to fill the vacancies created by the resignations 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p>
    <w:p>
      <w:pPr>
        <w:spacing w:after="0" w:line="7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 On November 9, 2021, Jason T. Roos was replaced as Secretary and Treasurer of the Company by Brandon Satoren, who was also appointed as Chief Accounting Officer. Mr. Roos continues to serve as Chief Financial Officer of the Company.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123"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4"/>
          <w:szCs w:val="14"/>
          <w:color w:val="auto"/>
        </w:rPr>
        <w:t xml:space="preserve">The Company is considered an investment company as defined in Accounting Standards Codification (“ASC”) Topic 946 — </w:t>
      </w:r>
      <w:r>
        <w:rPr>
          <w:rFonts w:ascii="Times New Roman" w:cs="Times New Roman" w:eastAsia="Times New Roman" w:hAnsi="Times New Roman"/>
          <w:sz w:val="14"/>
          <w:szCs w:val="14"/>
          <w:i w:val="1"/>
          <w:iCs w:val="1"/>
          <w:color w:val="auto"/>
        </w:rPr>
        <w:t>Financial Services — Investment Companies</w:t>
      </w:r>
      <w:r>
        <w:rPr>
          <w:rFonts w:ascii="Times New Roman" w:cs="Times New Roman" w:eastAsia="Times New Roman" w:hAnsi="Times New Roman"/>
          <w:sz w:val="14"/>
          <w:szCs w:val="14"/>
          <w:color w:val="auto"/>
        </w:rPr>
        <w:t xml:space="preserve"> (“ASC 946”)</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accompanying unaudited consolidated financial statements have been prepared on the accrual basis of accounting 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CBL, and the Taxable Subsidiaries.</w:t>
      </w:r>
    </w:p>
    <w:p>
      <w:pPr>
        <w:spacing w:after="0" w:line="7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The Company’s financial statements as of June 30, 2022 and December 31, 2021 and for the periods ended June 30, 2022 and 2021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6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2021, filed with the SEC on March 14, 2022.</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t>Consolidation</w:t>
      </w:r>
    </w:p>
    <w:p>
      <w:pPr>
        <w:spacing w:after="0" w:line="12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As provided under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Revenues</w:t>
      </w:r>
    </w:p>
    <w:p>
      <w:pPr>
        <w:spacing w:after="0" w:line="12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4"/>
          <w:szCs w:val="14"/>
          <w:color w:val="auto"/>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fees, origination fees, amendment fees, diligence fees, monitoring fees, fees for providing managerial assistance and possibly consulting fees and performance-based fees. These fees will be recognized as they are earned.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Expenses</w:t>
      </w:r>
    </w:p>
    <w:p>
      <w:pPr>
        <w:spacing w:after="0" w:line="11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Our primary operating expenses include the payment of investment advisory fees to our Investment Advisor,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69" w:lineRule="exact"/>
        <w:rPr>
          <w:sz w:val="20"/>
          <w:szCs w:val="20"/>
          <w:color w:val="auto"/>
        </w:rPr>
      </w:pPr>
    </w:p>
    <w:p>
      <w:pPr>
        <w:ind w:left="1140" w:hanging="383"/>
        <w:spacing w:after="0"/>
        <w:tabs>
          <w:tab w:leader="none" w:pos="1140" w:val="left"/>
        </w:tabs>
        <w:numPr>
          <w:ilvl w:val="0"/>
          <w:numId w:val="2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cost of our organization;</w:t>
      </w:r>
    </w:p>
    <w:p>
      <w:pPr>
        <w:spacing w:after="0" w:line="109" w:lineRule="exact"/>
        <w:rPr>
          <w:rFonts w:ascii="Times New Roman" w:cs="Times New Roman" w:eastAsia="Times New Roman" w:hAnsi="Times New Roman"/>
          <w:sz w:val="14"/>
          <w:szCs w:val="14"/>
          <w:color w:val="231F20"/>
        </w:rPr>
      </w:pPr>
    </w:p>
    <w:p>
      <w:pPr>
        <w:ind w:left="1140" w:hanging="383"/>
        <w:spacing w:after="0"/>
        <w:tabs>
          <w:tab w:leader="none" w:pos="1140" w:val="left"/>
        </w:tabs>
        <w:numPr>
          <w:ilvl w:val="0"/>
          <w:numId w:val="2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cost of calculating our net asset value, including the cost of any third-party valuation services;</w:t>
      </w:r>
    </w:p>
    <w:p>
      <w:pPr>
        <w:spacing w:after="0" w:line="109" w:lineRule="exact"/>
        <w:rPr>
          <w:rFonts w:ascii="Times New Roman" w:cs="Times New Roman" w:eastAsia="Times New Roman" w:hAnsi="Times New Roman"/>
          <w:sz w:val="14"/>
          <w:szCs w:val="14"/>
          <w:color w:val="231F20"/>
        </w:rPr>
      </w:pPr>
    </w:p>
    <w:p>
      <w:pPr>
        <w:ind w:left="1140" w:hanging="383"/>
        <w:spacing w:after="0"/>
        <w:tabs>
          <w:tab w:leader="none" w:pos="1140" w:val="left"/>
        </w:tabs>
        <w:numPr>
          <w:ilvl w:val="0"/>
          <w:numId w:val="2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cost of effecting sales and repurchases of our shares and other securities;</w:t>
      </w:r>
    </w:p>
    <w:p>
      <w:pPr>
        <w:spacing w:after="0" w:line="122" w:lineRule="exact"/>
        <w:rPr>
          <w:rFonts w:ascii="Times New Roman" w:cs="Times New Roman" w:eastAsia="Times New Roman" w:hAnsi="Times New Roman"/>
          <w:sz w:val="14"/>
          <w:szCs w:val="14"/>
          <w:color w:val="231F20"/>
        </w:rPr>
      </w:pPr>
    </w:p>
    <w:p>
      <w:pPr>
        <w:ind w:left="1140" w:hanging="383"/>
        <w:spacing w:after="0"/>
        <w:tabs>
          <w:tab w:leader="none" w:pos="1140" w:val="left"/>
        </w:tabs>
        <w:numPr>
          <w:ilvl w:val="0"/>
          <w:numId w:val="2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interest payable on debt, if any, to finance our investments;</w:t>
      </w:r>
    </w:p>
    <w:p>
      <w:pPr>
        <w:spacing w:after="0" w:line="109" w:lineRule="exact"/>
        <w:rPr>
          <w:rFonts w:ascii="Times New Roman" w:cs="Times New Roman" w:eastAsia="Times New Roman" w:hAnsi="Times New Roman"/>
          <w:sz w:val="14"/>
          <w:szCs w:val="14"/>
          <w:color w:val="231F20"/>
        </w:rPr>
      </w:pPr>
    </w:p>
    <w:p>
      <w:pPr>
        <w:ind w:left="1140" w:hanging="383"/>
        <w:spacing w:after="0" w:line="282" w:lineRule="auto"/>
        <w:tabs>
          <w:tab w:leader="none" w:pos="1140" w:val="left"/>
        </w:tabs>
        <w:numPr>
          <w:ilvl w:val="0"/>
          <w:numId w:val="2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53" w:lineRule="exact"/>
        <w:rPr>
          <w:rFonts w:ascii="Times New Roman" w:cs="Times New Roman" w:eastAsia="Times New Roman" w:hAnsi="Times New Roman"/>
          <w:sz w:val="14"/>
          <w:szCs w:val="14"/>
          <w:color w:val="231F20"/>
        </w:rPr>
      </w:pPr>
    </w:p>
    <w:p>
      <w:pPr>
        <w:ind w:left="1140" w:hanging="383"/>
        <w:spacing w:after="0"/>
        <w:tabs>
          <w:tab w:leader="none" w:pos="1140" w:val="left"/>
        </w:tabs>
        <w:numPr>
          <w:ilvl w:val="0"/>
          <w:numId w:val="2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transfer agent and custodial fees;</w:t>
      </w:r>
    </w:p>
    <w:p>
      <w:pPr>
        <w:spacing w:after="0" w:line="122" w:lineRule="exact"/>
        <w:rPr>
          <w:rFonts w:ascii="Times New Roman" w:cs="Times New Roman" w:eastAsia="Times New Roman" w:hAnsi="Times New Roman"/>
          <w:sz w:val="14"/>
          <w:szCs w:val="14"/>
          <w:color w:val="231F20"/>
        </w:rPr>
      </w:pPr>
    </w:p>
    <w:p>
      <w:pPr>
        <w:ind w:left="1140" w:hanging="383"/>
        <w:spacing w:after="0"/>
        <w:tabs>
          <w:tab w:leader="none" w:pos="1140" w:val="left"/>
        </w:tabs>
        <w:numPr>
          <w:ilvl w:val="0"/>
          <w:numId w:val="2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fees and expenses associated with marketing efforts;</w:t>
      </w:r>
    </w:p>
    <w:p>
      <w:pPr>
        <w:spacing w:after="0" w:line="109" w:lineRule="exact"/>
        <w:rPr>
          <w:rFonts w:ascii="Times New Roman" w:cs="Times New Roman" w:eastAsia="Times New Roman" w:hAnsi="Times New Roman"/>
          <w:sz w:val="14"/>
          <w:szCs w:val="14"/>
          <w:color w:val="231F20"/>
        </w:rPr>
      </w:pPr>
    </w:p>
    <w:p>
      <w:pPr>
        <w:ind w:left="1140" w:hanging="383"/>
        <w:spacing w:after="0" w:line="282" w:lineRule="auto"/>
        <w:tabs>
          <w:tab w:leader="none" w:pos="1140" w:val="left"/>
        </w:tabs>
        <w:numPr>
          <w:ilvl w:val="0"/>
          <w:numId w:val="2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costs associated with our reporting and compliance obligations under the 1940 Act, the Securities Exchange Act of 1934, as amended (the “Exchange Act”), other applicable federal and state securities laws and ongoing stock exchange listing fees;</w:t>
      </w:r>
    </w:p>
    <w:p>
      <w:pPr>
        <w:spacing w:after="0" w:line="53" w:lineRule="exact"/>
        <w:rPr>
          <w:rFonts w:ascii="Times New Roman" w:cs="Times New Roman" w:eastAsia="Times New Roman" w:hAnsi="Times New Roman"/>
          <w:sz w:val="14"/>
          <w:szCs w:val="14"/>
          <w:color w:val="231F20"/>
        </w:rPr>
      </w:pPr>
    </w:p>
    <w:p>
      <w:pPr>
        <w:ind w:left="1140" w:hanging="383"/>
        <w:spacing w:after="0"/>
        <w:tabs>
          <w:tab w:leader="none" w:pos="1140" w:val="left"/>
        </w:tabs>
        <w:numPr>
          <w:ilvl w:val="0"/>
          <w:numId w:val="2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federal, state and local taxes;</w:t>
      </w:r>
    </w:p>
    <w:p>
      <w:pPr>
        <w:spacing w:after="0" w:line="122" w:lineRule="exact"/>
        <w:rPr>
          <w:rFonts w:ascii="Times New Roman" w:cs="Times New Roman" w:eastAsia="Times New Roman" w:hAnsi="Times New Roman"/>
          <w:sz w:val="14"/>
          <w:szCs w:val="14"/>
          <w:color w:val="231F20"/>
        </w:rPr>
      </w:pPr>
    </w:p>
    <w:p>
      <w:pPr>
        <w:ind w:left="1140" w:hanging="383"/>
        <w:spacing w:after="0"/>
        <w:tabs>
          <w:tab w:leader="none" w:pos="1140" w:val="left"/>
        </w:tabs>
        <w:numPr>
          <w:ilvl w:val="0"/>
          <w:numId w:val="2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independent directors’ fees and expenses;</w:t>
      </w:r>
    </w:p>
    <w:p>
      <w:pPr>
        <w:spacing w:after="0" w:line="109" w:lineRule="exact"/>
        <w:rPr>
          <w:rFonts w:ascii="Times New Roman" w:cs="Times New Roman" w:eastAsia="Times New Roman" w:hAnsi="Times New Roman"/>
          <w:sz w:val="14"/>
          <w:szCs w:val="14"/>
          <w:color w:val="231F20"/>
        </w:rPr>
      </w:pPr>
    </w:p>
    <w:p>
      <w:pPr>
        <w:ind w:left="1140" w:hanging="383"/>
        <w:spacing w:after="0"/>
        <w:tabs>
          <w:tab w:leader="none" w:pos="1140" w:val="left"/>
        </w:tabs>
        <w:numPr>
          <w:ilvl w:val="0"/>
          <w:numId w:val="2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brokerage commissions;</w:t>
      </w:r>
    </w:p>
    <w:p>
      <w:pPr>
        <w:spacing w:after="0" w:line="109" w:lineRule="exact"/>
        <w:rPr>
          <w:rFonts w:ascii="Times New Roman" w:cs="Times New Roman" w:eastAsia="Times New Roman" w:hAnsi="Times New Roman"/>
          <w:sz w:val="14"/>
          <w:szCs w:val="14"/>
          <w:color w:val="231F20"/>
        </w:rPr>
      </w:pPr>
    </w:p>
    <w:p>
      <w:pPr>
        <w:ind w:left="1140" w:hanging="383"/>
        <w:spacing w:after="0"/>
        <w:tabs>
          <w:tab w:leader="none" w:pos="1140" w:val="left"/>
        </w:tabs>
        <w:numPr>
          <w:ilvl w:val="0"/>
          <w:numId w:val="2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costs of proxy statements, stockholders’ reports and other communications with stockholders;</w:t>
      </w:r>
    </w:p>
    <w:p>
      <w:pPr>
        <w:spacing w:after="0" w:line="109" w:lineRule="exact"/>
        <w:rPr>
          <w:rFonts w:ascii="Times New Roman" w:cs="Times New Roman" w:eastAsia="Times New Roman" w:hAnsi="Times New Roman"/>
          <w:sz w:val="14"/>
          <w:szCs w:val="14"/>
          <w:color w:val="231F20"/>
        </w:rPr>
      </w:pPr>
    </w:p>
    <w:p>
      <w:pPr>
        <w:ind w:left="1140" w:hanging="383"/>
        <w:spacing w:after="0"/>
        <w:tabs>
          <w:tab w:leader="none" w:pos="1140" w:val="left"/>
        </w:tabs>
        <w:numPr>
          <w:ilvl w:val="0"/>
          <w:numId w:val="2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fidelity bond, directors’ and officers’ liability insurance, errors and omissions liability insurance and other insurance premiums;</w:t>
      </w:r>
    </w:p>
    <w:p>
      <w:pPr>
        <w:spacing w:after="0" w:line="122" w:lineRule="exact"/>
        <w:rPr>
          <w:rFonts w:ascii="Times New Roman" w:cs="Times New Roman" w:eastAsia="Times New Roman" w:hAnsi="Times New Roman"/>
          <w:sz w:val="14"/>
          <w:szCs w:val="14"/>
          <w:color w:val="231F20"/>
        </w:rPr>
      </w:pPr>
    </w:p>
    <w:p>
      <w:pPr>
        <w:ind w:left="1140" w:hanging="383"/>
        <w:spacing w:after="0"/>
        <w:tabs>
          <w:tab w:leader="none" w:pos="1140" w:val="left"/>
        </w:tabs>
        <w:numPr>
          <w:ilvl w:val="0"/>
          <w:numId w:val="2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direct costs and expenses of administration, including printing, mailing, telephone and staff;</w:t>
      </w:r>
    </w:p>
    <w:p>
      <w:pPr>
        <w:spacing w:after="0" w:line="109" w:lineRule="exact"/>
        <w:rPr>
          <w:rFonts w:ascii="Times New Roman" w:cs="Times New Roman" w:eastAsia="Times New Roman" w:hAnsi="Times New Roman"/>
          <w:sz w:val="14"/>
          <w:szCs w:val="14"/>
          <w:color w:val="231F20"/>
        </w:rPr>
      </w:pPr>
    </w:p>
    <w:p>
      <w:pPr>
        <w:ind w:left="1140" w:hanging="383"/>
        <w:spacing w:after="0"/>
        <w:tabs>
          <w:tab w:leader="none" w:pos="1140" w:val="left"/>
        </w:tabs>
        <w:numPr>
          <w:ilvl w:val="0"/>
          <w:numId w:val="2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fees and expenses associated with independent audits and outside legal costs; and</w:t>
      </w:r>
    </w:p>
    <w:p>
      <w:pPr>
        <w:spacing w:after="0" w:line="109" w:lineRule="exact"/>
        <w:rPr>
          <w:rFonts w:ascii="Times New Roman" w:cs="Times New Roman" w:eastAsia="Times New Roman" w:hAnsi="Times New Roman"/>
          <w:sz w:val="14"/>
          <w:szCs w:val="14"/>
          <w:color w:val="231F20"/>
        </w:rPr>
      </w:pPr>
    </w:p>
    <w:p>
      <w:pPr>
        <w:jc w:val="both"/>
        <w:ind w:left="1140" w:hanging="383"/>
        <w:spacing w:after="0" w:line="261" w:lineRule="auto"/>
        <w:tabs>
          <w:tab w:leader="none" w:pos="1140" w:val="left"/>
        </w:tabs>
        <w:numPr>
          <w:ilvl w:val="0"/>
          <w:numId w:val="2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Use of Estimates</w:t>
      </w:r>
    </w:p>
    <w:p>
      <w:pPr>
        <w:spacing w:after="0" w:line="111"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4"/>
          <w:szCs w:val="14"/>
          <w:color w:val="auto"/>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consolidated financial statements and the reported amounts of revenues and expenses for the periods covered by such consolidated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Investments</w:t>
      </w:r>
    </w:p>
    <w:p>
      <w:pPr>
        <w:spacing w:after="0" w:line="111"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4"/>
          <w:szCs w:val="14"/>
          <w:color w:val="auto"/>
        </w:rPr>
        <w:t xml:space="preserve">The Company applies fair value accounting to all of its financial instruments in accordance with the 1940 Act and ASC Topic 820 — </w:t>
      </w:r>
      <w:r>
        <w:rPr>
          <w:rFonts w:ascii="Times New Roman" w:cs="Times New Roman" w:eastAsia="Times New Roman" w:hAnsi="Times New Roman"/>
          <w:sz w:val="14"/>
          <w:szCs w:val="14"/>
          <w:i w:val="1"/>
          <w:iCs w:val="1"/>
          <w:color w:val="auto"/>
        </w:rPr>
        <w:t>Fair Value Measurements and Disclosures</w:t>
      </w:r>
      <w:r>
        <w:rPr>
          <w:rFonts w:ascii="Times New Roman" w:cs="Times New Roman" w:eastAsia="Times New Roman" w:hAnsi="Times New Roman"/>
          <w:sz w:val="14"/>
          <w:szCs w:val="14"/>
          <w:color w:val="auto"/>
        </w:rPr>
        <w:t xml:space="preserve"> (“ASC 820”). ASC 820 defines fair value, establishes a framework used to measure fair value and requires disclosures for fair 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238"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4"/>
          <w:szCs w:val="14"/>
          <w:color w:val="auto"/>
        </w:rPr>
        <w:t>In determining fair value,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2" w:name="page33"/>
    <w:bookmarkEnd w:id="32"/>
    <w:p>
      <w:pPr>
        <w:jc w:val="both"/>
        <w:ind w:firstLine="749"/>
        <w:spacing w:after="0" w:line="271" w:lineRule="auto"/>
        <w:rPr>
          <w:sz w:val="20"/>
          <w:szCs w:val="20"/>
          <w:color w:val="auto"/>
        </w:rPr>
      </w:pPr>
      <w:r>
        <w:rPr>
          <w:rFonts w:ascii="Times New Roman" w:cs="Times New Roman" w:eastAsia="Times New Roman" w:hAnsi="Times New Roman"/>
          <w:sz w:val="14"/>
          <w:szCs w:val="14"/>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60" w:lineRule="exact"/>
        <w:rPr>
          <w:sz w:val="20"/>
          <w:szCs w:val="20"/>
          <w:color w:val="auto"/>
        </w:rPr>
      </w:pPr>
    </w:p>
    <w:p>
      <w:pPr>
        <w:jc w:val="both"/>
        <w:ind w:left="760"/>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Level 1 </w:t>
      </w:r>
      <w:r>
        <w:rPr>
          <w:rFonts w:ascii="Times New Roman" w:cs="Times New Roman" w:eastAsia="Times New Roman" w:hAnsi="Times New Roman"/>
          <w:sz w:val="14"/>
          <w:szCs w:val="14"/>
          <w:color w:val="auto"/>
        </w:rPr>
        <w:t>— Valuations based on unadjusted quoted prices in active markets for identical assets or liabilities that the Company has the ability to access. Valuation adjustments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block discounts are not applied to Level 1 securities. Since valuations are based on quoted prices that are readily and regularly available in an active market, valuation of these securities does not entail a significant degree of judgment.</w:t>
      </w:r>
    </w:p>
    <w:p>
      <w:pPr>
        <w:spacing w:after="0" w:line="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 xml:space="preserve">Level 2 </w:t>
      </w:r>
      <w:r>
        <w:rPr>
          <w:rFonts w:ascii="Times New Roman" w:cs="Times New Roman" w:eastAsia="Times New Roman" w:hAnsi="Times New Roman"/>
          <w:sz w:val="14"/>
          <w:szCs w:val="14"/>
          <w:color w:val="auto"/>
        </w:rPr>
        <w:t>— Valuations based on quoted prices in markets that are not active or for which all significant inputs are observable, either directly or indirectly.</w:t>
      </w:r>
    </w:p>
    <w:p>
      <w:pPr>
        <w:spacing w:after="0" w:line="1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 xml:space="preserve">Level 3 </w:t>
      </w:r>
      <w:r>
        <w:rPr>
          <w:rFonts w:ascii="Times New Roman" w:cs="Times New Roman" w:eastAsia="Times New Roman" w:hAnsi="Times New Roman"/>
          <w:sz w:val="14"/>
          <w:szCs w:val="14"/>
          <w:color w:val="auto"/>
        </w:rPr>
        <w:t>— Valuations based on inputs that are unobservable and significant to the overall fair value measurement.</w:t>
      </w:r>
    </w:p>
    <w:p>
      <w:pPr>
        <w:spacing w:after="0" w:line="11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4"/>
          <w:szCs w:val="14"/>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69"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4"/>
          <w:szCs w:val="14"/>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Techniques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Enterprise Value Waterfall Approach</w:t>
      </w:r>
    </w:p>
    <w:p>
      <w:pPr>
        <w:spacing w:after="0" w:line="11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4"/>
          <w:szCs w:val="14"/>
          <w:color w:val="auto"/>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Approach</w:t>
      </w:r>
    </w:p>
    <w:p>
      <w:pPr>
        <w:spacing w:after="0" w:line="125"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4"/>
          <w:szCs w:val="14"/>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Asset Approach</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asset approach values an investment based on the value of the underlying collateral securing the investment.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Company’s revenue recognition policies are as follows:</w:t>
      </w:r>
    </w:p>
    <w:p>
      <w:pPr>
        <w:spacing w:after="0" w:line="107"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Interest income and paid-in-kind interest income: </w:t>
      </w:r>
      <w:r>
        <w:rPr>
          <w:rFonts w:ascii="Times New Roman" w:cs="Times New Roman" w:eastAsia="Times New Roman" w:hAnsi="Times New Roman"/>
          <w:sz w:val="14"/>
          <w:szCs w:val="14"/>
          <w:color w:val="auto"/>
        </w:rPr>
        <w:t>Interest income is recorded on the accrual basis to the extent that such amounts are expected to be collected. The Company has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loans in the portfolio that contain a PIK interest provision.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23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Non-accrual investments: </w:t>
      </w:r>
      <w:r>
        <w:rPr>
          <w:rFonts w:ascii="Times New Roman" w:cs="Times New Roman" w:eastAsia="Times New Roman" w:hAnsi="Times New Roman"/>
          <w:sz w:val="14"/>
          <w:szCs w:val="14"/>
          <w:color w:val="auto"/>
        </w:rPr>
        <w:t>Management reviews all loans that become 90 days or more past due, or when there is reasonable doubt that principal or interest will be collected,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Non-accrual loans are returned to accrual status when the borrower’s financial condition improves such that management believes current interest and principal payments are expected to be collected.</w:t>
      </w:r>
    </w:p>
    <w:p>
      <w:pPr>
        <w:spacing w:after="0" w:line="1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 xml:space="preserve">Gains and losses on investment sales and paydowns: </w:t>
      </w:r>
      <w:r>
        <w:rPr>
          <w:rFonts w:ascii="Times New Roman" w:cs="Times New Roman" w:eastAsia="Times New Roman" w:hAnsi="Times New Roman"/>
          <w:sz w:val="14"/>
          <w:szCs w:val="14"/>
          <w:color w:val="auto"/>
        </w:rPr>
        <w:t>Realized gains and losses on investments are recognized using the specific identification method.</w:t>
      </w:r>
    </w:p>
    <w:p>
      <w:pPr>
        <w:spacing w:after="0" w:line="10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Dividend income and paid-in-kind dividends: </w:t>
      </w:r>
      <w:r>
        <w:rPr>
          <w:rFonts w:ascii="Times New Roman" w:cs="Times New Roman" w:eastAsia="Times New Roman" w:hAnsi="Times New Roman"/>
          <w:sz w:val="14"/>
          <w:szCs w:val="14"/>
          <w:color w:val="auto"/>
        </w:rPr>
        <w:t>Dividend income is recognized on the date dividends are declared. The Company holds preferred equity investments in the portfolio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33" w:name="page34"/>
    <w:bookmarkEnd w:id="33"/>
    <w:p>
      <w:pPr>
        <w:jc w:val="both"/>
        <w:spacing w:after="0" w:line="271" w:lineRule="auto"/>
        <w:rPr>
          <w:sz w:val="20"/>
          <w:szCs w:val="20"/>
          <w:color w:val="auto"/>
        </w:rPr>
      </w:pPr>
      <w:r>
        <w:rPr>
          <w:rFonts w:ascii="Times New Roman" w:cs="Times New Roman" w:eastAsia="Times New Roman" w:hAnsi="Times New Roman"/>
          <w:sz w:val="14"/>
          <w:szCs w:val="14"/>
          <w:color w:val="auto"/>
        </w:rPr>
        <w:t>If management determines that a decline in fair value is temporary in nature and PIK dividends are more likely than not to be collected, management may elect to continue accruing PIK dividends.</w:t>
      </w:r>
    </w:p>
    <w:p>
      <w:pPr>
        <w:spacing w:after="0" w:line="262" w:lineRule="exact"/>
        <w:rPr>
          <w:sz w:val="20"/>
          <w:szCs w:val="20"/>
          <w:color w:val="auto"/>
        </w:rPr>
      </w:pPr>
    </w:p>
    <w:p>
      <w:pPr>
        <w:jc w:val="both"/>
        <w:ind w:firstLine="749"/>
        <w:spacing w:after="0" w:line="285" w:lineRule="auto"/>
        <w:rPr>
          <w:sz w:val="20"/>
          <w:szCs w:val="20"/>
          <w:color w:val="auto"/>
        </w:rPr>
      </w:pPr>
      <w:r>
        <w:rPr>
          <w:rFonts w:ascii="Times New Roman" w:cs="Times New Roman" w:eastAsia="Times New Roman" w:hAnsi="Times New Roman"/>
          <w:sz w:val="14"/>
          <w:szCs w:val="14"/>
          <w:i w:val="1"/>
          <w:iCs w:val="1"/>
          <w:color w:val="auto"/>
        </w:rPr>
        <w:t xml:space="preserve">Original issue discount: </w:t>
      </w:r>
      <w:r>
        <w:rPr>
          <w:rFonts w:ascii="Times New Roman" w:cs="Times New Roman" w:eastAsia="Times New Roman" w:hAnsi="Times New Roman"/>
          <w:sz w:val="14"/>
          <w:szCs w:val="14"/>
          <w:color w:val="auto"/>
        </w:rPr>
        <w:t>Discounts received to par on loans purchased are capitalized and accreted into income over the life of the loan. Any remaining discount is accreted into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income upon prepayment of the loan.</w:t>
      </w:r>
    </w:p>
    <w:p>
      <w:pPr>
        <w:spacing w:after="0" w:line="50" w:lineRule="exact"/>
        <w:rPr>
          <w:sz w:val="20"/>
          <w:szCs w:val="20"/>
          <w:color w:val="auto"/>
        </w:rPr>
      </w:pPr>
    </w:p>
    <w:p>
      <w:pPr>
        <w:jc w:val="both"/>
        <w:ind w:firstLine="749"/>
        <w:spacing w:after="0" w:line="284" w:lineRule="auto"/>
        <w:rPr>
          <w:sz w:val="20"/>
          <w:szCs w:val="20"/>
          <w:color w:val="auto"/>
        </w:rPr>
      </w:pPr>
      <w:r>
        <w:rPr>
          <w:rFonts w:ascii="Times New Roman" w:cs="Times New Roman" w:eastAsia="Times New Roman" w:hAnsi="Times New Roman"/>
          <w:sz w:val="14"/>
          <w:szCs w:val="14"/>
          <w:i w:val="1"/>
          <w:iCs w:val="1"/>
          <w:color w:val="auto"/>
        </w:rPr>
        <w:t xml:space="preserve">Other income: </w:t>
      </w:r>
      <w:r>
        <w:rPr>
          <w:rFonts w:ascii="Times New Roman" w:cs="Times New Roman" w:eastAsia="Times New Roman" w:hAnsi="Times New Roman"/>
          <w:sz w:val="14"/>
          <w:szCs w:val="14"/>
          <w:color w:val="auto"/>
        </w:rPr>
        <w:t>Origination fees (to the extent services are performed to earn such income), amendment fees, consent fees and other fees associated with investments in portfolio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companies are recognized as income when they are earned. Prepayment penalties received by the Company for debt instruments repaid prior to the maturity date are recorded as income upon receipt.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11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spacing w:after="0" w:line="69" w:lineRule="exact"/>
        <w:rPr>
          <w:sz w:val="20"/>
          <w:szCs w:val="20"/>
          <w:color w:val="auto"/>
        </w:rPr>
      </w:pPr>
    </w:p>
    <w:p>
      <w:pPr>
        <w:jc w:val="both"/>
        <w:ind w:firstLine="749"/>
        <w:spacing w:after="0" w:line="302" w:lineRule="auto"/>
        <w:rPr>
          <w:sz w:val="20"/>
          <w:szCs w:val="20"/>
          <w:color w:val="auto"/>
        </w:rPr>
      </w:pPr>
      <w:r>
        <w:rPr>
          <w:rFonts w:ascii="Times New Roman" w:cs="Times New Roman" w:eastAsia="Times New Roman" w:hAnsi="Times New Roman"/>
          <w:sz w:val="14"/>
          <w:szCs w:val="14"/>
          <w:color w:val="auto"/>
        </w:rPr>
        <w:t>The Company has elected to be treated for U.S. federal income tax purposes and intends to comply with the requirement to qualify annually as a RIC under subchapter M of the Code and, among other things, intends to make the requisite distributions to its stockholders which will relieve the Company from U.S. federal income taxes.</w:t>
      </w:r>
    </w:p>
    <w:p>
      <w:pPr>
        <w:spacing w:after="0" w:line="4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8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4"/>
          <w:szCs w:val="14"/>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spacing w:after="0" w:line="8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The tax years ended December 31, 2020, 2019, 2018 and 2017 remain subject to examination by U.S. federal, state, and local tax authorities. No interest expense or penalties have been assessed for the periods ended June 30, 2022 and 2021. If the Company was required to recognize interest and penalties, if any, related to unrecognized tax benefits this would be recognized as income tax expense in the consolidated statements of operations.</w:t>
      </w:r>
    </w:p>
    <w:p>
      <w:pPr>
        <w:spacing w:after="0" w:line="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4"/>
          <w:szCs w:val="14"/>
          <w:color w:val="auto"/>
        </w:rPr>
        <w:t>The Company’s Taxable Subsidiaries record deferred tax assets or liabilities related to temporary book versus tax differences on the income or loss generated by the underlying equity investments held by the Taxable Subsidiaries. As of June 30, 2022, and December 31, 2021, the Company recorded a net deferred tax asset of zero. For the three and six months ended June 30, 2022 and 2021, the Company recorded a deferred tax provision of zero. As of June 30, 2022 and December 31, 2021, the valuation allowance on the Company’s deferred tax asset was $2.9 million and $2.5 million, respectively. During both the three and six months ended June 30, 2022, the Company recognized an increase in the valuation allowance of $0.4 million, respectively. During the three and six months ended June 30, 2021, the Company recognized a decrease in the valuation allowance of $(0.4) million and $(1.4) million, respectively.</w:t>
      </w:r>
    </w:p>
    <w:p>
      <w:pPr>
        <w:spacing w:after="0" w:line="8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4"/>
          <w:szCs w:val="14"/>
          <w:color w:val="auto"/>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p>
    <w:p>
      <w:pPr>
        <w:spacing w:after="0" w:line="73" w:lineRule="exact"/>
        <w:rPr>
          <w:sz w:val="20"/>
          <w:szCs w:val="20"/>
          <w:color w:val="auto"/>
        </w:rPr>
      </w:pPr>
    </w:p>
    <w:p>
      <w:pPr>
        <w:jc w:val="both"/>
        <w:ind w:right="20" w:firstLine="749"/>
        <w:spacing w:after="0" w:line="257" w:lineRule="auto"/>
        <w:rPr>
          <w:sz w:val="20"/>
          <w:szCs w:val="20"/>
          <w:color w:val="auto"/>
        </w:rPr>
      </w:pPr>
      <w:r>
        <w:rPr>
          <w:rFonts w:ascii="Times New Roman" w:cs="Times New Roman" w:eastAsia="Times New Roman" w:hAnsi="Times New Roman"/>
          <w:sz w:val="14"/>
          <w:szCs w:val="14"/>
          <w:color w:val="auto"/>
        </w:rPr>
        <w:t xml:space="preserve">ASC Topic 740 —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U.S. federal income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June 30, 2022 and December 31, 2021, there were no uncertain tax positions.</w:t>
      </w:r>
    </w:p>
    <w:p>
      <w:pPr>
        <w:spacing w:after="0" w:line="7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69" w:lineRule="exact"/>
        <w:rPr>
          <w:sz w:val="20"/>
          <w:szCs w:val="20"/>
          <w:color w:val="auto"/>
        </w:rPr>
      </w:pPr>
    </w:p>
    <w:p>
      <w:pPr>
        <w:jc w:val="both"/>
        <w:ind w:firstLine="749"/>
        <w:spacing w:after="0" w:line="302" w:lineRule="auto"/>
        <w:rPr>
          <w:sz w:val="20"/>
          <w:szCs w:val="20"/>
          <w:color w:val="auto"/>
        </w:rPr>
      </w:pPr>
      <w:r>
        <w:rPr>
          <w:rFonts w:ascii="Times New Roman" w:cs="Times New Roman" w:eastAsia="Times New Roman" w:hAnsi="Times New Roman"/>
          <w:sz w:val="14"/>
          <w:szCs w:val="14"/>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4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The Company has concluded that it was not necessary to record a liability for any such tax positions as of June 30, 2022 and December 31, 2021.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Portfolio and Investment Activity</w:t>
      </w:r>
    </w:p>
    <w:p>
      <w:pPr>
        <w:spacing w:after="0" w:line="11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primarily in first lien loans, and, to a lesser extent, second lien loans and equity securities issued by lower middle-market companies and traditional middle-market companies. As of June 30, 2022, our portfolio consisted of investments in 44 portfolio companies with a fair value of approximately $175.9 million.</w:t>
      </w:r>
    </w:p>
    <w:p>
      <w:pPr>
        <w:spacing w:after="0" w:line="6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34" w:name="page35"/>
    <w:bookmarkEnd w:id="34"/>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of June 30, 2022, 2.7% of the fair value of our first lien loans consisted of last-out loans. As of December 31, 2021, 8.5% of the fair value of our first lien loans consisted of last-out loans. In some cases, first lien loans may be subordinated, solely with respect to the payment of cash interest, to an asset based revolving credit facility.</w:t>
      </w:r>
    </w:p>
    <w:p>
      <w:pPr>
        <w:spacing w:after="0" w:line="40" w:lineRule="exact"/>
        <w:rPr>
          <w:sz w:val="20"/>
          <w:szCs w:val="20"/>
          <w:color w:val="auto"/>
        </w:rPr>
      </w:pPr>
    </w:p>
    <w:p>
      <w:pPr>
        <w:jc w:val="both"/>
        <w:ind w:right="40" w:firstLine="749"/>
        <w:spacing w:after="0" w:line="282" w:lineRule="auto"/>
        <w:rPr>
          <w:sz w:val="20"/>
          <w:szCs w:val="20"/>
          <w:color w:val="auto"/>
        </w:rPr>
      </w:pPr>
      <w:r>
        <w:rPr>
          <w:rFonts w:ascii="Times New Roman" w:cs="Times New Roman" w:eastAsia="Times New Roman" w:hAnsi="Times New Roman"/>
          <w:sz w:val="14"/>
          <w:szCs w:val="14"/>
          <w:color w:val="auto"/>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spacing w:after="0" w:line="54"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14"/>
          <w:szCs w:val="14"/>
          <w:color w:val="auto"/>
        </w:rPr>
        <w:t>During the three months ended June 30, 2022, we made approximately $30.7 million of investments and had approximately $58.3 million in repayments and sales, resulting in net repayments and sales of approximately of approximately $27.6 million for the period. During the three months ended June 30, 2021, we made approximately $10.0 million of investments and had approximately $33.5 million in repayments and sales, resulting in net repayments and sales of approximately $23.5 million for the period.</w:t>
      </w:r>
    </w:p>
    <w:p>
      <w:pPr>
        <w:spacing w:after="0" w:line="62"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14"/>
          <w:szCs w:val="14"/>
          <w:color w:val="auto"/>
        </w:rPr>
        <w:t>During the six months ended June 30, 2022, we made approximately $47.1 million of investments and had approximately $66.7 million in repayments and sales, resulting in net repayments and sales of approximately of approximately $19.6 million for the period. During the six months ended June 30, 2021, we made approximately $10.0 million of investments and had approximately $63.4 million in repayments and sales, resulting in net repayments and sales of approximately $53.4 million for the period.</w:t>
      </w:r>
    </w:p>
    <w:p>
      <w:pPr>
        <w:spacing w:after="0" w:line="62"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4"/>
          <w:szCs w:val="14"/>
          <w:color w:val="auto"/>
        </w:rPr>
        <w:t>As of June 30, 2022, our debt investment portfolio, which represented 75.0% of the fair value of our total portfolio, had a weighted average annualized yield of approximately 8.7% (excluding non-accruals and collateralized loan obligations). As of June 30, 2022, 25.4% of the fair value of our debt investment portfolio was bearing a fixed rate of interest. As of December 31, 2021, our debt investment portfolio, which represented 67.4% of the fair value of our total portfolio, had a weighted average annualized yield of approximately 8.1% (excluding non-accruals and collateralized loan obligations). As of December 31, 2021, 22.8% of the fair value of our debt investment portfolio was bearing a fixed rate of interest.</w:t>
      </w:r>
    </w:p>
    <w:p>
      <w:pPr>
        <w:spacing w:after="0" w:line="69"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4"/>
          <w:szCs w:val="14"/>
          <w:color w:val="auto"/>
        </w:rPr>
        <w:t>The weighted average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annualized yield will remain at its current level.</w:t>
      </w:r>
    </w:p>
    <w:p>
      <w:pPr>
        <w:spacing w:after="0" w:line="82"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4"/>
          <w:szCs w:val="14"/>
          <w:color w:val="auto"/>
        </w:rPr>
        <w:t>As of June 30, 2022, the Board approved the fair value of our investment portfolio of approximately $175.9 million in good faith in accordance with our valuation procedures. The Board approved the fair value of our investment portfolio as of June 30, 2022 with input from a third-party valuation firm and the Investment Advisor based on information known or knowable as of the valuation date, including trailing and forward-looking data.</w:t>
      </w:r>
    </w:p>
    <w:p>
      <w:pPr>
        <w:spacing w:after="0" w:line="69"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14"/>
          <w:szCs w:val="14"/>
          <w:color w:val="auto"/>
        </w:rPr>
        <w:t>As of June 30, 2022, we had debt investments in two portfolio companies on non-accrual status with an aggregate amortized cost of $12.1 million and an aggregate fair value of $6.4 million, which represented 6.5% and 3.6% of the investment portfolio, respectively. As of December 31, 2021, we had debt investments in two portfolio companies on non-accrual status with aggregate amortized cost of $12.7 million and an aggregate fair value of $7.6 million, which represented 6.7% and 3.8% of the investment portfolio, respectively.</w:t>
      </w:r>
    </w:p>
    <w:p>
      <w:pPr>
        <w:spacing w:after="0" w:line="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following table summarizes the amortized cost and the fair value of investments as of June 30, 2022 (dollars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right"/>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300" w:type="dxa"/>
            <w:vAlign w:val="bottom"/>
          </w:tcPr>
          <w:p>
            <w:pPr>
              <w:spacing w:after="0"/>
              <w:rPr>
                <w:sz w:val="12"/>
                <w:szCs w:val="12"/>
                <w:color w:val="auto"/>
              </w:rPr>
            </w:pPr>
          </w:p>
        </w:tc>
        <w:tc>
          <w:tcPr>
            <w:tcW w:w="132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280" w:type="dxa"/>
            <w:vAlign w:val="bottom"/>
          </w:tcPr>
          <w:p>
            <w:pPr>
              <w:spacing w:after="0"/>
              <w:rPr>
                <w:sz w:val="12"/>
                <w:szCs w:val="12"/>
                <w:color w:val="auto"/>
              </w:rPr>
            </w:pPr>
          </w:p>
        </w:tc>
        <w:tc>
          <w:tcPr>
            <w:tcW w:w="17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87"/>
        </w:trPr>
        <w:tc>
          <w:tcPr>
            <w:tcW w:w="3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6"/>
                <w:szCs w:val="16"/>
                <w:color w:val="auto"/>
              </w:rPr>
            </w:pPr>
          </w:p>
        </w:tc>
        <w:tc>
          <w:tcPr>
            <w:tcW w:w="13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6"/>
                <w:szCs w:val="16"/>
                <w:color w:val="auto"/>
              </w:rPr>
            </w:pP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0" w:type="dxa"/>
            <w:vAlign w:val="bottom"/>
          </w:tcPr>
          <w:p>
            <w:pPr>
              <w:spacing w:after="0"/>
              <w:rPr>
                <w:sz w:val="1"/>
                <w:szCs w:val="1"/>
                <w:color w:val="auto"/>
              </w:rPr>
            </w:pPr>
          </w:p>
        </w:tc>
      </w:tr>
      <w:tr>
        <w:trPr>
          <w:trHeight w:val="169"/>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 Lien Debt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104,341</w:t>
            </w:r>
          </w:p>
        </w:tc>
        <w:tc>
          <w:tcPr>
            <w:tcW w:w="300" w:type="dxa"/>
            <w:vAlign w:val="bottom"/>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2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97,460</w:t>
            </w:r>
          </w:p>
        </w:tc>
        <w:tc>
          <w:tcPr>
            <w:tcW w:w="280" w:type="dxa"/>
            <w:vAlign w:val="bottom"/>
            <w:shd w:val="clear" w:color="auto" w:fill="CFF0FC"/>
          </w:tcPr>
          <w:p>
            <w:pPr>
              <w:spacing w:after="0"/>
              <w:rPr>
                <w:sz w:val="14"/>
                <w:szCs w:val="14"/>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8,888</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4.7 %</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8,249</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2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26,433</w:t>
            </w:r>
          </w:p>
        </w:tc>
        <w:tc>
          <w:tcPr>
            <w:tcW w:w="3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14.1 %</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26,250</w:t>
            </w:r>
          </w:p>
        </w:tc>
        <w:tc>
          <w:tcPr>
            <w:tcW w:w="2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Collateralized Loan Obligations</w:t>
            </w: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7,160</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3.8 %</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6,296</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 and Warrants</w:t>
            </w:r>
          </w:p>
        </w:tc>
        <w:tc>
          <w:tcPr>
            <w:tcW w:w="2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40,703</w:t>
            </w:r>
          </w:p>
        </w:tc>
        <w:tc>
          <w:tcPr>
            <w:tcW w:w="3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21.7 %</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37,598</w:t>
            </w:r>
          </w:p>
        </w:tc>
        <w:tc>
          <w:tcPr>
            <w:tcW w:w="2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187,525</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w w:val="94"/>
              </w:rPr>
              <w:t>100.0 %</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175,853</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-144780</wp:posOffset>
            </wp:positionV>
            <wp:extent cx="774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-144780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-144780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following table summarizes the amortized cost and the fair value of investments as of December 31, 2021 (dollars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60"/>
        </w:trPr>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328"/>
              <w:spacing w:after="0" w:line="160"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320" w:type="dxa"/>
            <w:vAlign w:val="bottom"/>
          </w:tcPr>
          <w:p>
            <w:pPr>
              <w:spacing w:after="0"/>
              <w:rPr>
                <w:sz w:val="13"/>
                <w:szCs w:val="13"/>
                <w:color w:val="auto"/>
              </w:rPr>
            </w:pPr>
          </w:p>
        </w:tc>
        <w:tc>
          <w:tcPr>
            <w:tcW w:w="1320" w:type="dxa"/>
            <w:vAlign w:val="bottom"/>
          </w:tcPr>
          <w:p>
            <w:pPr>
              <w:jc w:val="center"/>
              <w:ind w:left="268"/>
              <w:spacing w:after="0" w:line="160"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28"/>
              <w:spacing w:after="0" w:line="160"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280" w:type="dxa"/>
            <w:vAlign w:val="bottom"/>
          </w:tcPr>
          <w:p>
            <w:pPr>
              <w:spacing w:after="0"/>
              <w:rPr>
                <w:sz w:val="13"/>
                <w:szCs w:val="13"/>
                <w:color w:val="auto"/>
              </w:rPr>
            </w:pPr>
          </w:p>
        </w:tc>
        <w:tc>
          <w:tcPr>
            <w:tcW w:w="178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89"/>
        </w:trPr>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Pr>
          <w:p>
            <w:pPr>
              <w:spacing w:after="0"/>
              <w:rPr>
                <w:sz w:val="16"/>
                <w:szCs w:val="16"/>
                <w:color w:val="auto"/>
              </w:rPr>
            </w:pPr>
          </w:p>
        </w:tc>
        <w:tc>
          <w:tcPr>
            <w:tcW w:w="13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6"/>
                <w:szCs w:val="16"/>
                <w:color w:val="auto"/>
              </w:rPr>
            </w:pP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Portfolio</w:t>
            </w:r>
          </w:p>
        </w:tc>
      </w:tr>
      <w:tr>
        <w:trPr>
          <w:trHeight w:val="169"/>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 Lien Debt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103,667</w:t>
            </w:r>
          </w:p>
        </w:tc>
        <w:tc>
          <w:tcPr>
            <w:tcW w:w="320" w:type="dxa"/>
            <w:vAlign w:val="bottom"/>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2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98,251</w:t>
            </w:r>
          </w:p>
        </w:tc>
        <w:tc>
          <w:tcPr>
            <w:tcW w:w="280" w:type="dxa"/>
            <w:vAlign w:val="bottom"/>
            <w:shd w:val="clear" w:color="auto" w:fill="CFF0FC"/>
          </w:tcPr>
          <w:p>
            <w:pPr>
              <w:spacing w:after="0"/>
              <w:rPr>
                <w:sz w:val="14"/>
                <w:szCs w:val="14"/>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4"/>
                <w:szCs w:val="14"/>
                <w:color w:val="auto"/>
              </w:rPr>
            </w:pPr>
          </w:p>
        </w:tc>
      </w:tr>
      <w:tr>
        <w:trPr>
          <w:trHeight w:val="17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30,048</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15.8 %</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30,190</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20" w:type="dxa"/>
            <w:vAlign w:val="bottom"/>
          </w:tcPr>
          <w:p>
            <w:pPr>
              <w:spacing w:after="0"/>
              <w:rPr>
                <w:sz w:val="15"/>
                <w:szCs w:val="15"/>
                <w:color w:val="auto"/>
              </w:rPr>
            </w:pPr>
          </w:p>
        </w:tc>
      </w:tr>
      <w:tr>
        <w:trPr>
          <w:trHeight w:val="175"/>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5,050</w:t>
            </w:r>
          </w:p>
        </w:tc>
        <w:tc>
          <w:tcPr>
            <w:tcW w:w="3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2.6 %</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5,050</w:t>
            </w:r>
          </w:p>
        </w:tc>
        <w:tc>
          <w:tcPr>
            <w:tcW w:w="2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20" w:type="dxa"/>
            <w:vAlign w:val="bottom"/>
          </w:tcPr>
          <w:p>
            <w:pPr>
              <w:spacing w:after="0"/>
              <w:rPr>
                <w:sz w:val="15"/>
                <w:szCs w:val="15"/>
                <w:color w:val="auto"/>
              </w:rPr>
            </w:pPr>
          </w:p>
        </w:tc>
      </w:tr>
      <w:tr>
        <w:trPr>
          <w:trHeight w:val="17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and Warrants</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51,717</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27.2 %</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64,698</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32.6 %</w:t>
            </w:r>
          </w:p>
        </w:tc>
        <w:tc>
          <w:tcPr>
            <w:tcW w:w="20" w:type="dxa"/>
            <w:vAlign w:val="bottom"/>
          </w:tcPr>
          <w:p>
            <w:pPr>
              <w:spacing w:after="0"/>
              <w:rPr>
                <w:sz w:val="15"/>
                <w:szCs w:val="15"/>
                <w:color w:val="auto"/>
              </w:rPr>
            </w:pPr>
          </w:p>
        </w:tc>
      </w:tr>
      <w:tr>
        <w:trPr>
          <w:trHeight w:val="209"/>
        </w:trPr>
        <w:tc>
          <w:tcPr>
            <w:tcW w:w="3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190,482</w:t>
            </w:r>
          </w:p>
        </w:tc>
        <w:tc>
          <w:tcPr>
            <w:tcW w:w="3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8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198,189</w:t>
            </w:r>
          </w:p>
        </w:tc>
        <w:tc>
          <w:tcPr>
            <w:tcW w:w="28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-24765</wp:posOffset>
            </wp:positionV>
            <wp:extent cx="7747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-7620</wp:posOffset>
            </wp:positionV>
            <wp:extent cx="7747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27" w:right="319" w:bottom="1440" w:gutter="0" w:footer="0" w:header="0"/>
        </w:sectPr>
      </w:pPr>
    </w:p>
    <w:bookmarkStart w:id="35" w:name="page36"/>
    <w:bookmarkEnd w:id="35"/>
    <w:p>
      <w:pPr>
        <w:ind w:left="760"/>
        <w:spacing w:after="0"/>
        <w:rPr>
          <w:sz w:val="20"/>
          <w:szCs w:val="20"/>
          <w:color w:val="auto"/>
        </w:rPr>
      </w:pPr>
      <w:r>
        <w:rPr>
          <w:rFonts w:ascii="Times New Roman" w:cs="Times New Roman" w:eastAsia="Times New Roman" w:hAnsi="Times New Roman"/>
          <w:sz w:val="14"/>
          <w:szCs w:val="14"/>
          <w:color w:val="auto"/>
        </w:rPr>
        <w:t>The following table shows the portfolio composition by industry grouping at fair value as of June 30, 2022 and December 31, 2021 (dollars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31"/>
        </w:trPr>
        <w:tc>
          <w:tcPr>
            <w:tcW w:w="4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4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4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3"/>
          </w:tcPr>
          <w:p>
            <w:pPr>
              <w:jc w:val="center"/>
              <w:ind w:right="860"/>
              <w:spacing w:after="0" w:line="160"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68"/>
              <w:spacing w:after="0" w:line="160"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220" w:type="dxa"/>
            <w:vAlign w:val="bottom"/>
          </w:tcPr>
          <w:p>
            <w:pPr>
              <w:spacing w:after="0"/>
              <w:rPr>
                <w:sz w:val="13"/>
                <w:szCs w:val="13"/>
                <w:color w:val="auto"/>
              </w:rPr>
            </w:pPr>
          </w:p>
        </w:tc>
        <w:tc>
          <w:tcPr>
            <w:tcW w:w="1700" w:type="dxa"/>
            <w:vAlign w:val="bottom"/>
            <w:gridSpan w:val="3"/>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w w:val="97"/>
              </w:rPr>
              <w:t>of Total</w:t>
            </w:r>
          </w:p>
        </w:tc>
      </w:tr>
      <w:tr>
        <w:trPr>
          <w:trHeight w:val="189"/>
        </w:trPr>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Portfolio</w:t>
            </w:r>
          </w:p>
        </w:tc>
      </w:tr>
      <w:tr>
        <w:trPr>
          <w:trHeight w:val="169"/>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Healthcare</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33,562</w:t>
            </w:r>
          </w:p>
        </w:tc>
        <w:tc>
          <w:tcPr>
            <w:tcW w:w="260" w:type="dxa"/>
            <w:vAlign w:val="bottom"/>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28,852</w:t>
            </w:r>
          </w:p>
        </w:tc>
        <w:tc>
          <w:tcPr>
            <w:tcW w:w="220" w:type="dxa"/>
            <w:vAlign w:val="bottom"/>
            <w:shd w:val="clear" w:color="auto" w:fill="CFF0FC"/>
          </w:tcPr>
          <w:p>
            <w:pPr>
              <w:spacing w:after="0"/>
              <w:rPr>
                <w:sz w:val="14"/>
                <w:szCs w:val="14"/>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4"/>
                <w:szCs w:val="14"/>
                <w:color w:val="auto"/>
              </w:rPr>
            </w:pPr>
          </w:p>
        </w:tc>
      </w:tr>
      <w:tr>
        <w:trPr>
          <w:trHeight w:val="17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Business Services</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19,250</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11.0 %</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32,819</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16.6 %</w:t>
            </w:r>
          </w:p>
        </w:tc>
        <w:tc>
          <w:tcPr>
            <w:tcW w:w="20" w:type="dxa"/>
            <w:vAlign w:val="bottom"/>
          </w:tcPr>
          <w:p>
            <w:pPr>
              <w:spacing w:after="0"/>
              <w:rPr>
                <w:sz w:val="15"/>
                <w:szCs w:val="15"/>
                <w:color w:val="auto"/>
              </w:rPr>
            </w:pPr>
          </w:p>
        </w:tc>
      </w:tr>
      <w:tr>
        <w:trPr>
          <w:trHeight w:val="17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Financials</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17,650</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17,162</w:t>
            </w:r>
          </w:p>
        </w:tc>
        <w:tc>
          <w:tcPr>
            <w:tcW w:w="1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20" w:type="dxa"/>
            <w:vAlign w:val="bottom"/>
          </w:tcPr>
          <w:p>
            <w:pPr>
              <w:spacing w:after="0"/>
              <w:rPr>
                <w:sz w:val="15"/>
                <w:szCs w:val="15"/>
                <w:color w:val="auto"/>
              </w:rPr>
            </w:pPr>
          </w:p>
        </w:tc>
      </w:tr>
      <w:tr>
        <w:trPr>
          <w:trHeight w:val="17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Industrials</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15,317</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8.7 %</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14,640</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20" w:type="dxa"/>
            <w:vAlign w:val="bottom"/>
          </w:tcPr>
          <w:p>
            <w:pPr>
              <w:spacing w:after="0"/>
              <w:rPr>
                <w:sz w:val="15"/>
                <w:szCs w:val="15"/>
                <w:color w:val="auto"/>
              </w:rPr>
            </w:pPr>
          </w:p>
        </w:tc>
      </w:tr>
      <w:tr>
        <w:trPr>
          <w:trHeight w:val="17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Information Technology</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14,063</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8.0 %</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24,066</w:t>
            </w:r>
          </w:p>
        </w:tc>
        <w:tc>
          <w:tcPr>
            <w:tcW w:w="1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20" w:type="dxa"/>
            <w:vAlign w:val="bottom"/>
          </w:tcPr>
          <w:p>
            <w:pPr>
              <w:spacing w:after="0"/>
              <w:rPr>
                <w:sz w:val="15"/>
                <w:szCs w:val="15"/>
                <w:color w:val="auto"/>
              </w:rPr>
            </w:pPr>
          </w:p>
        </w:tc>
      </w:tr>
      <w:tr>
        <w:trPr>
          <w:trHeight w:val="176"/>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 Discretionary</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12,744</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7.3 %</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11,017</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20" w:type="dxa"/>
            <w:vAlign w:val="bottom"/>
          </w:tcPr>
          <w:p>
            <w:pPr>
              <w:spacing w:after="0"/>
              <w:rPr>
                <w:sz w:val="15"/>
                <w:szCs w:val="15"/>
                <w:color w:val="auto"/>
              </w:rPr>
            </w:pPr>
          </w:p>
        </w:tc>
      </w:tr>
      <w:tr>
        <w:trPr>
          <w:trHeight w:val="175"/>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Entertainment</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8,538</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4.9 %</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8,894</w:t>
            </w:r>
          </w:p>
        </w:tc>
        <w:tc>
          <w:tcPr>
            <w:tcW w:w="1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20" w:type="dxa"/>
            <w:vAlign w:val="bottom"/>
          </w:tcPr>
          <w:p>
            <w:pPr>
              <w:spacing w:after="0"/>
              <w:rPr>
                <w:sz w:val="15"/>
                <w:szCs w:val="15"/>
                <w:color w:val="auto"/>
              </w:rPr>
            </w:pPr>
          </w:p>
        </w:tc>
      </w:tr>
      <w:tr>
        <w:trPr>
          <w:trHeight w:val="176"/>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QSR Franchisor</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7,698</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4.4 %</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8,007</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20" w:type="dxa"/>
            <w:vAlign w:val="bottom"/>
          </w:tcPr>
          <w:p>
            <w:pPr>
              <w:spacing w:after="0"/>
              <w:rPr>
                <w:sz w:val="15"/>
                <w:szCs w:val="15"/>
                <w:color w:val="auto"/>
              </w:rPr>
            </w:pPr>
          </w:p>
        </w:tc>
      </w:tr>
      <w:tr>
        <w:trPr>
          <w:trHeight w:val="175"/>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Financial Services</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7,174</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4.1 %</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7,430</w:t>
            </w:r>
          </w:p>
        </w:tc>
        <w:tc>
          <w:tcPr>
            <w:tcW w:w="1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20" w:type="dxa"/>
            <w:vAlign w:val="bottom"/>
          </w:tcPr>
          <w:p>
            <w:pPr>
              <w:spacing w:after="0"/>
              <w:rPr>
                <w:sz w:val="15"/>
                <w:szCs w:val="15"/>
                <w:color w:val="auto"/>
              </w:rPr>
            </w:pPr>
          </w:p>
        </w:tc>
      </w:tr>
      <w:tr>
        <w:trPr>
          <w:trHeight w:val="176"/>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Healthcare Management</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6,167</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3.5 %</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7,002</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20" w:type="dxa"/>
            <w:vAlign w:val="bottom"/>
          </w:tcPr>
          <w:p>
            <w:pPr>
              <w:spacing w:after="0"/>
              <w:rPr>
                <w:sz w:val="15"/>
                <w:szCs w:val="15"/>
                <w:color w:val="auto"/>
              </w:rPr>
            </w:pPr>
          </w:p>
        </w:tc>
      </w:tr>
      <w:tr>
        <w:trPr>
          <w:trHeight w:val="17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Online Merchandise Retailer</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5,994</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3.4 %</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5,951</w:t>
            </w:r>
          </w:p>
        </w:tc>
        <w:tc>
          <w:tcPr>
            <w:tcW w:w="1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20" w:type="dxa"/>
            <w:vAlign w:val="bottom"/>
          </w:tcPr>
          <w:p>
            <w:pPr>
              <w:spacing w:after="0"/>
              <w:rPr>
                <w:sz w:val="15"/>
                <w:szCs w:val="15"/>
                <w:color w:val="auto"/>
              </w:rPr>
            </w:pPr>
          </w:p>
        </w:tc>
      </w:tr>
      <w:tr>
        <w:trPr>
          <w:trHeight w:val="17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Textile Equipment Manufacturer</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5,055</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2.9 %</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5,050</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20" w:type="dxa"/>
            <w:vAlign w:val="bottom"/>
          </w:tcPr>
          <w:p>
            <w:pPr>
              <w:spacing w:after="0"/>
              <w:rPr>
                <w:sz w:val="15"/>
                <w:szCs w:val="15"/>
                <w:color w:val="auto"/>
              </w:rPr>
            </w:pPr>
          </w:p>
        </w:tc>
      </w:tr>
      <w:tr>
        <w:trPr>
          <w:trHeight w:val="17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Medical Device Distributor</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4,961</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2.8 %</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4,961</w:t>
            </w:r>
          </w:p>
        </w:tc>
        <w:tc>
          <w:tcPr>
            <w:tcW w:w="1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20" w:type="dxa"/>
            <w:vAlign w:val="bottom"/>
          </w:tcPr>
          <w:p>
            <w:pPr>
              <w:spacing w:after="0"/>
              <w:rPr>
                <w:sz w:val="15"/>
                <w:szCs w:val="15"/>
                <w:color w:val="auto"/>
              </w:rPr>
            </w:pPr>
          </w:p>
        </w:tc>
      </w:tr>
      <w:tr>
        <w:trPr>
          <w:trHeight w:val="17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Automobile Part Manufacturer</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4,887</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2.8 %</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20" w:type="dxa"/>
            <w:vAlign w:val="bottom"/>
          </w:tcPr>
          <w:p>
            <w:pPr>
              <w:spacing w:after="0"/>
              <w:rPr>
                <w:sz w:val="15"/>
                <w:szCs w:val="15"/>
                <w:color w:val="auto"/>
              </w:rPr>
            </w:pPr>
          </w:p>
        </w:tc>
      </w:tr>
      <w:tr>
        <w:trPr>
          <w:trHeight w:val="17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Advertising &amp; Marketing Services</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4,480</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2.6 %</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4,579</w:t>
            </w:r>
          </w:p>
        </w:tc>
        <w:tc>
          <w:tcPr>
            <w:tcW w:w="1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20" w:type="dxa"/>
            <w:vAlign w:val="bottom"/>
          </w:tcPr>
          <w:p>
            <w:pPr>
              <w:spacing w:after="0"/>
              <w:rPr>
                <w:sz w:val="15"/>
                <w:szCs w:val="15"/>
                <w:color w:val="auto"/>
              </w:rPr>
            </w:pPr>
          </w:p>
        </w:tc>
      </w:tr>
      <w:tr>
        <w:trPr>
          <w:trHeight w:val="17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Home Repair Parts Manufacturer</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2,770</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1.6 %</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3,062</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20" w:type="dxa"/>
            <w:vAlign w:val="bottom"/>
          </w:tcPr>
          <w:p>
            <w:pPr>
              <w:spacing w:after="0"/>
              <w:rPr>
                <w:sz w:val="15"/>
                <w:szCs w:val="15"/>
                <w:color w:val="auto"/>
              </w:rPr>
            </w:pPr>
          </w:p>
        </w:tc>
      </w:tr>
      <w:tr>
        <w:trPr>
          <w:trHeight w:val="17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Consumer Staples</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1.1 %</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5"/>
                <w:szCs w:val="15"/>
                <w:color w:val="auto"/>
              </w:rPr>
            </w:pPr>
          </w:p>
        </w:tc>
      </w:tr>
      <w:tr>
        <w:trPr>
          <w:trHeight w:val="176"/>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Testing Laboratories</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0.5 %</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20" w:type="dxa"/>
            <w:vAlign w:val="bottom"/>
          </w:tcPr>
          <w:p>
            <w:pPr>
              <w:spacing w:after="0"/>
              <w:rPr>
                <w:sz w:val="15"/>
                <w:szCs w:val="15"/>
                <w:color w:val="auto"/>
              </w:rPr>
            </w:pPr>
          </w:p>
        </w:tc>
      </w:tr>
      <w:tr>
        <w:trPr>
          <w:trHeight w:val="175"/>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Household Product Manufacturer</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0.4 %</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20" w:type="dxa"/>
            <w:vAlign w:val="bottom"/>
          </w:tcPr>
          <w:p>
            <w:pPr>
              <w:spacing w:after="0"/>
              <w:rPr>
                <w:sz w:val="15"/>
                <w:szCs w:val="15"/>
                <w:color w:val="auto"/>
              </w:rPr>
            </w:pPr>
          </w:p>
        </w:tc>
      </w:tr>
      <w:tr>
        <w:trPr>
          <w:trHeight w:val="176"/>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Industrial</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0.4 %</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20" w:type="dxa"/>
            <w:vAlign w:val="bottom"/>
          </w:tcPr>
          <w:p>
            <w:pPr>
              <w:spacing w:after="0"/>
              <w:rPr>
                <w:sz w:val="15"/>
                <w:szCs w:val="15"/>
                <w:color w:val="auto"/>
              </w:rPr>
            </w:pPr>
          </w:p>
        </w:tc>
      </w:tr>
      <w:tr>
        <w:trPr>
          <w:trHeight w:val="175"/>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Data Processing &amp; Digital Marketing</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0.3 %</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20" w:type="dxa"/>
            <w:vAlign w:val="bottom"/>
          </w:tcPr>
          <w:p>
            <w:pPr>
              <w:spacing w:after="0"/>
              <w:rPr>
                <w:sz w:val="15"/>
                <w:szCs w:val="15"/>
                <w:color w:val="auto"/>
              </w:rPr>
            </w:pPr>
          </w:p>
        </w:tc>
      </w:tr>
      <w:tr>
        <w:trPr>
          <w:trHeight w:val="176"/>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Oil &amp; Gas Engineering and Consulting Services</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0.2 %</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20" w:type="dxa"/>
            <w:vAlign w:val="bottom"/>
          </w:tcPr>
          <w:p>
            <w:pPr>
              <w:spacing w:after="0"/>
              <w:rPr>
                <w:sz w:val="15"/>
                <w:szCs w:val="15"/>
                <w:color w:val="auto"/>
              </w:rPr>
            </w:pPr>
          </w:p>
        </w:tc>
      </w:tr>
      <w:tr>
        <w:trPr>
          <w:trHeight w:val="17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Electronic Machine Repair</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0.1 %</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8,465</w:t>
            </w:r>
          </w:p>
        </w:tc>
        <w:tc>
          <w:tcPr>
            <w:tcW w:w="1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20" w:type="dxa"/>
            <w:vAlign w:val="bottom"/>
          </w:tcPr>
          <w:p>
            <w:pPr>
              <w:spacing w:after="0"/>
              <w:rPr>
                <w:sz w:val="15"/>
                <w:szCs w:val="15"/>
                <w:color w:val="auto"/>
              </w:rPr>
            </w:pPr>
          </w:p>
        </w:tc>
      </w:tr>
      <w:tr>
        <w:trPr>
          <w:trHeight w:val="17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 Products</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0.1 %</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20" w:type="dxa"/>
            <w:vAlign w:val="bottom"/>
          </w:tcPr>
          <w:p>
            <w:pPr>
              <w:spacing w:after="0"/>
              <w:rPr>
                <w:sz w:val="15"/>
                <w:szCs w:val="15"/>
                <w:color w:val="auto"/>
              </w:rPr>
            </w:pPr>
          </w:p>
        </w:tc>
      </w:tr>
      <w:tr>
        <w:trPr>
          <w:trHeight w:val="209"/>
        </w:trPr>
        <w:tc>
          <w:tcPr>
            <w:tcW w:w="41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175,853</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60" w:type="dxa"/>
            <w:vAlign w:val="bottom"/>
            <w:tcBorders>
              <w:top w:val="single" w:sz="8" w:color="CFF0FC"/>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198,189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-24765</wp:posOffset>
            </wp:positionV>
            <wp:extent cx="7747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7747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-144780</wp:posOffset>
            </wp:positionV>
            <wp:extent cx="7747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7683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7683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-144780</wp:posOffset>
            </wp:positionV>
            <wp:extent cx="7683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-144780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Operating results for the three and six months ended June 30, 2022 and 2021 were as follows (dollars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3180" w:type="dxa"/>
            <w:vAlign w:val="bottom"/>
            <w:gridSpan w:val="6"/>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40" w:type="dxa"/>
            <w:vAlign w:val="bottom"/>
          </w:tcPr>
          <w:p>
            <w:pPr>
              <w:spacing w:after="0"/>
              <w:rPr>
                <w:sz w:val="16"/>
                <w:szCs w:val="16"/>
                <w:color w:val="auto"/>
              </w:rPr>
            </w:pPr>
          </w:p>
        </w:tc>
        <w:tc>
          <w:tcPr>
            <w:tcW w:w="2780" w:type="dxa"/>
            <w:vAlign w:val="bottom"/>
            <w:gridSpan w:val="5"/>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69"/>
        </w:trPr>
        <w:tc>
          <w:tcPr>
            <w:tcW w:w="50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investment income</w:t>
            </w:r>
          </w:p>
        </w:tc>
        <w:tc>
          <w:tcPr>
            <w:tcW w:w="860" w:type="dxa"/>
            <w:vAlign w:val="bottom"/>
            <w:shd w:val="clear" w:color="auto" w:fill="CFF0FC"/>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5,044</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6,641</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9,970</w:t>
            </w:r>
          </w:p>
        </w:tc>
        <w:tc>
          <w:tcPr>
            <w:tcW w:w="100" w:type="dxa"/>
            <w:vAlign w:val="bottom"/>
            <w:shd w:val="clear" w:color="auto" w:fill="CFF0FC"/>
          </w:tcPr>
          <w:p>
            <w:pPr>
              <w:spacing w:after="0"/>
              <w:rPr>
                <w:sz w:val="14"/>
                <w:szCs w:val="14"/>
                <w:color w:val="auto"/>
              </w:rPr>
            </w:pPr>
          </w:p>
        </w:tc>
      </w:tr>
      <w:tr>
        <w:trPr>
          <w:trHeight w:val="175"/>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 net of incentive fee waiver</w:t>
            </w: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4,232</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5,010</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8,620</w:t>
            </w: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10,719</w:t>
            </w:r>
          </w:p>
        </w:tc>
        <w:tc>
          <w:tcPr>
            <w:tcW w:w="100" w:type="dxa"/>
            <w:vAlign w:val="bottom"/>
          </w:tcPr>
          <w:p>
            <w:pPr>
              <w:spacing w:after="0"/>
              <w:rPr>
                <w:sz w:val="15"/>
                <w:szCs w:val="15"/>
                <w:color w:val="auto"/>
              </w:rPr>
            </w:pPr>
          </w:p>
        </w:tc>
      </w:tr>
      <w:tr>
        <w:trPr>
          <w:trHeight w:val="169"/>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investment (loss) income</w:t>
            </w:r>
          </w:p>
        </w:tc>
        <w:tc>
          <w:tcPr>
            <w:tcW w:w="8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2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(1,979</w:t>
            </w:r>
          </w:p>
        </w:tc>
        <w:tc>
          <w:tcPr>
            <w:tcW w:w="2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75"/>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6,947</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15,466</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(7,076 )</w:t>
            </w:r>
          </w:p>
        </w:tc>
      </w:tr>
      <w:tr>
        <w:trPr>
          <w:trHeight w:val="17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change in unrealized (depreciation) appreciation on investments</w:t>
            </w:r>
          </w:p>
        </w:tc>
        <w:tc>
          <w:tcPr>
            <w:tcW w:w="86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(19,608 )</w:t>
            </w: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(13,720 )</w:t>
            </w:r>
          </w:p>
        </w:tc>
        <w:tc>
          <w:tcPr>
            <w:tcW w:w="2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(19,379 )</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13,440</w:t>
            </w:r>
          </w:p>
        </w:tc>
        <w:tc>
          <w:tcPr>
            <w:tcW w:w="100" w:type="dxa"/>
            <w:vAlign w:val="bottom"/>
            <w:shd w:val="clear" w:color="auto" w:fill="CFF0FC"/>
          </w:tcPr>
          <w:p>
            <w:pPr>
              <w:spacing w:after="0"/>
              <w:rPr>
                <w:sz w:val="15"/>
                <w:szCs w:val="15"/>
                <w:color w:val="auto"/>
              </w:rPr>
            </w:pPr>
          </w:p>
        </w:tc>
      </w:tr>
      <w:tr>
        <w:trPr>
          <w:trHeight w:val="175"/>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loss on extinguishment of debt</w:t>
            </w:r>
          </w:p>
        </w:tc>
        <w:tc>
          <w:tcPr>
            <w:tcW w:w="860" w:type="dxa"/>
            <w:vAlign w:val="bottom"/>
          </w:tcPr>
          <w:p>
            <w:pPr>
              <w:spacing w:after="0"/>
              <w:rPr>
                <w:sz w:val="15"/>
                <w:szCs w:val="15"/>
                <w:color w:val="auto"/>
              </w:rPr>
            </w:pP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(815 )</w:t>
            </w:r>
          </w:p>
        </w:tc>
        <w:tc>
          <w:tcPr>
            <w:tcW w:w="240" w:type="dxa"/>
            <w:vAlign w:val="bottom"/>
          </w:tcPr>
          <w:p>
            <w:pPr>
              <w:spacing w:after="0"/>
              <w:rPr>
                <w:sz w:val="15"/>
                <w:szCs w:val="15"/>
                <w:color w:val="auto"/>
              </w:rPr>
            </w:pPr>
          </w:p>
        </w:tc>
        <w:tc>
          <w:tcPr>
            <w:tcW w:w="13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(815 )</w:t>
            </w:r>
          </w:p>
        </w:tc>
      </w:tr>
      <w:tr>
        <w:trPr>
          <w:trHeight w:val="209"/>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(decrease) increase in net assets resulting from operations</w:t>
            </w:r>
          </w:p>
        </w:tc>
        <w:tc>
          <w:tcPr>
            <w:tcW w:w="860" w:type="dxa"/>
            <w:vAlign w:val="bottom"/>
            <w:tcBorders>
              <w:top w:val="single" w:sz="8" w:color="auto"/>
              <w:bottom w:val="single" w:sz="8" w:color="auto"/>
            </w:tcBorders>
            <w:shd w:val="clear" w:color="auto" w:fill="CFF0FC"/>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(5,034</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320" w:type="dxa"/>
            <w:vAlign w:val="bottom"/>
            <w:tcBorders>
              <w:top w:val="single" w:sz="8" w:color="auto"/>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(7,554</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(5,892</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32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4,800</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-25400</wp:posOffset>
            </wp:positionV>
            <wp:extent cx="7747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-8255</wp:posOffset>
            </wp:positionV>
            <wp:extent cx="7747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-25400</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685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income</w:t>
      </w:r>
    </w:p>
    <w:p>
      <w:pPr>
        <w:spacing w:after="0" w:line="1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composition of our investment income for the three and six months ended June 30, 2022 and 2021 was as follows (dollars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8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00" w:type="dxa"/>
            <w:vAlign w:val="bottom"/>
          </w:tcPr>
          <w:p>
            <w:pPr>
              <w:spacing w:after="0"/>
              <w:rPr>
                <w:sz w:val="16"/>
                <w:szCs w:val="16"/>
                <w:color w:val="auto"/>
              </w:rPr>
            </w:pPr>
          </w:p>
        </w:tc>
      </w:tr>
      <w:tr>
        <w:trPr>
          <w:trHeight w:val="169"/>
        </w:trPr>
        <w:tc>
          <w:tcPr>
            <w:tcW w:w="408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4"/>
                <w:szCs w:val="14"/>
                <w:color w:val="auto"/>
              </w:rPr>
            </w:pPr>
          </w:p>
        </w:tc>
        <w:tc>
          <w:tcPr>
            <w:tcW w:w="14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60" w:type="dxa"/>
            <w:vAlign w:val="bottom"/>
            <w:tcBorders>
              <w:top w:val="single" w:sz="8" w:color="auto"/>
            </w:tcBorders>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2,996</w:t>
            </w:r>
          </w:p>
        </w:tc>
        <w:tc>
          <w:tcPr>
            <w:tcW w:w="300" w:type="dxa"/>
            <w:vAlign w:val="bottom"/>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4,129</w:t>
            </w:r>
          </w:p>
        </w:tc>
        <w:tc>
          <w:tcPr>
            <w:tcW w:w="28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6,193</w:t>
            </w:r>
          </w:p>
        </w:tc>
        <w:tc>
          <w:tcPr>
            <w:tcW w:w="26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8,721</w:t>
            </w:r>
          </w:p>
        </w:tc>
        <w:tc>
          <w:tcPr>
            <w:tcW w:w="100" w:type="dxa"/>
            <w:vAlign w:val="bottom"/>
            <w:shd w:val="clear" w:color="auto" w:fill="CFF0FC"/>
          </w:tcPr>
          <w:p>
            <w:pPr>
              <w:spacing w:after="0"/>
              <w:rPr>
                <w:sz w:val="14"/>
                <w:szCs w:val="14"/>
                <w:color w:val="auto"/>
              </w:rPr>
            </w:pPr>
          </w:p>
        </w:tc>
      </w:tr>
      <w:tr>
        <w:trPr>
          <w:trHeight w:val="176"/>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0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5"/>
                <w:szCs w:val="15"/>
                <w:color w:val="auto"/>
              </w:rPr>
            </w:pPr>
          </w:p>
        </w:tc>
      </w:tr>
      <w:tr>
        <w:trPr>
          <w:trHeight w:val="175"/>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Payment-in-kind interest</w:t>
            </w:r>
          </w:p>
        </w:tc>
        <w:tc>
          <w:tcPr>
            <w:tcW w:w="10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shd w:val="clear" w:color="auto" w:fill="CFF0FC"/>
          </w:tcPr>
          <w:p>
            <w:pPr>
              <w:spacing w:after="0"/>
              <w:rPr>
                <w:sz w:val="15"/>
                <w:szCs w:val="15"/>
                <w:color w:val="auto"/>
              </w:rPr>
            </w:pPr>
          </w:p>
        </w:tc>
      </w:tr>
      <w:tr>
        <w:trPr>
          <w:trHeight w:val="175"/>
        </w:trPr>
        <w:tc>
          <w:tcPr>
            <w:tcW w:w="40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10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28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00" w:type="dxa"/>
            <w:vAlign w:val="bottom"/>
            <w:tcBorders>
              <w:bottom w:val="single" w:sz="8" w:color="CFF0FC"/>
            </w:tcBorders>
          </w:tcPr>
          <w:p>
            <w:pPr>
              <w:spacing w:after="0"/>
              <w:rPr>
                <w:sz w:val="15"/>
                <w:szCs w:val="15"/>
                <w:color w:val="auto"/>
              </w:rPr>
            </w:pPr>
          </w:p>
        </w:tc>
      </w:tr>
      <w:tr>
        <w:trPr>
          <w:trHeight w:val="209"/>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investment income</w:t>
            </w:r>
          </w:p>
        </w:tc>
        <w:tc>
          <w:tcPr>
            <w:tcW w:w="1060" w:type="dxa"/>
            <w:vAlign w:val="bottom"/>
            <w:tcBorders>
              <w:bottom w:val="single" w:sz="8" w:color="auto"/>
            </w:tcBorders>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3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5,044</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6,641</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9,970</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-24765</wp:posOffset>
            </wp:positionV>
            <wp:extent cx="768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-8255</wp:posOffset>
            </wp:positionV>
            <wp:extent cx="7683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-145415</wp:posOffset>
            </wp:positionV>
            <wp:extent cx="768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7747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7747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-145415</wp:posOffset>
            </wp:positionV>
            <wp:extent cx="7747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-145415</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4"/>
          <w:szCs w:val="14"/>
          <w:color w:val="auto"/>
        </w:rPr>
        <w:t>The income reported as interest income, PIK interest, and PIK dividend income is generally based on the stated rates as disclosed in our consolidated schedules of investments. Accretion of discounts received for purchased loans are included in interest income as an adjustment to yield. As a general rule, our interest income, PIK interest, and PIK dividend income are recurring in nature.</w:t>
      </w:r>
    </w:p>
    <w:p>
      <w:pPr>
        <w:spacing w:after="0" w:line="69"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14"/>
          <w:szCs w:val="14"/>
          <w:color w:val="auto"/>
        </w:rPr>
        <w:t>We also generate fee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p>
    <w:p>
      <w:pPr>
        <w:spacing w:after="0" w:line="62"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14"/>
          <w:szCs w:val="14"/>
          <w:color w:val="auto"/>
        </w:rPr>
        <w:t>We earn dividends on certain equity investments within our investment portfolio. As noted in our consolidated schedules of investments, some investments are scheduled to pay a periodic dividend, though these recurring dividends do not make up a significant portion of our total investment income. We may receive, and have received, more substantial one-time dividends from our equity investments.</w:t>
      </w:r>
    </w:p>
    <w:p>
      <w:pPr>
        <w:spacing w:after="0" w:line="62"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14"/>
          <w:szCs w:val="14"/>
          <w:color w:val="auto"/>
        </w:rPr>
        <w:t>For the three months ended June 30, 2022, total investment income decreased by $1.7 million, or 34.0%, compared to the three months ended June 30, 2021. The decrease from the prior period was driven by a decrease in interest income from $4.1 million for the three months ended June 30, 2021 to $3.0 million for the three months ended June 30, 2022. The decline in interest income is primarily due to lower average outstanding debt investments for the three months ended June 30, 2022 compared to the three months ended June 30, 2021. PIK income increased from $0.1 million for the three months ended June 30, 2021 to $0.3 million for the three months ended June 30, 2022. The increase in PIK income was due to a increase in investments with a contractual PIK rate. Dividend income decreased from $0.6 million for the</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27" w:right="319" w:bottom="1440" w:gutter="0" w:footer="0" w:header="0"/>
        </w:sectPr>
      </w:pPr>
    </w:p>
    <w:bookmarkStart w:id="36" w:name="page37"/>
    <w:bookmarkEnd w:id="36"/>
    <w:p>
      <w:pPr>
        <w:jc w:val="both"/>
        <w:spacing w:after="0" w:line="302" w:lineRule="auto"/>
        <w:rPr>
          <w:sz w:val="20"/>
          <w:szCs w:val="20"/>
          <w:color w:val="auto"/>
        </w:rPr>
      </w:pPr>
      <w:r>
        <w:rPr>
          <w:rFonts w:ascii="Times New Roman" w:cs="Times New Roman" w:eastAsia="Times New Roman" w:hAnsi="Times New Roman"/>
          <w:sz w:val="14"/>
          <w:szCs w:val="14"/>
          <w:color w:val="auto"/>
        </w:rPr>
        <w:t>three months ended June 30, 2021 to zero for the three months ended June 30, 2022, primarily due to non-recurring dividends received from portfolio companies during the three months ended June 30, 2021.</w:t>
      </w:r>
    </w:p>
    <w:p>
      <w:pPr>
        <w:spacing w:after="0" w:line="4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4"/>
          <w:szCs w:val="14"/>
          <w:color w:val="auto"/>
        </w:rPr>
        <w:t>For the six months ended June 30, 2022, total investment income decreased by $3.3 million, or 33.0%, compared to the six months ended June 30, 2021. The decrease from the prior period was driven by a decrease in interest income from $8.7 million for the six months ended June 30, 2021 to $6.1 million for the six months ended June 30, 2022. The decline in interest income is primarily due to lower average outstanding debt investments for the six months ended June 30, 2022 compared to the six months ended June 30, 2021. PIK income increased from $0.3 million for the six months ended June 30, 2021 to $0.4 million for the six months ended June 30, 2022. The increase in PIK income was due to a increase in investments with a contractual PIK rate. Dividend income decreased from $0.7 million for the six months ended June 30, 2021 to zero for the six months ended June 30, 2022, primarily due to non-recurring dividends received from portfolio companies during the six months ended June 30, 2021.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The composition of our expenses for the three and six months ended June 30, 2022 and 2021 was as follows (dollars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8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00" w:type="dxa"/>
            <w:vAlign w:val="bottom"/>
          </w:tcPr>
          <w:p>
            <w:pPr>
              <w:spacing w:after="0"/>
              <w:rPr>
                <w:sz w:val="16"/>
                <w:szCs w:val="16"/>
                <w:color w:val="auto"/>
              </w:rPr>
            </w:pPr>
          </w:p>
        </w:tc>
      </w:tr>
      <w:tr>
        <w:trPr>
          <w:trHeight w:val="169"/>
        </w:trPr>
        <w:tc>
          <w:tcPr>
            <w:tcW w:w="408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4"/>
                <w:szCs w:val="14"/>
                <w:color w:val="auto"/>
              </w:rPr>
            </w:pPr>
          </w:p>
        </w:tc>
        <w:tc>
          <w:tcPr>
            <w:tcW w:w="14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and financing expenses</w:t>
            </w:r>
          </w:p>
        </w:tc>
        <w:tc>
          <w:tcPr>
            <w:tcW w:w="1060" w:type="dxa"/>
            <w:vAlign w:val="bottom"/>
            <w:tcBorders>
              <w:top w:val="single" w:sz="8" w:color="auto"/>
            </w:tcBorders>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2,131</w:t>
            </w:r>
          </w:p>
        </w:tc>
        <w:tc>
          <w:tcPr>
            <w:tcW w:w="300" w:type="dxa"/>
            <w:vAlign w:val="bottom"/>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2,728</w:t>
            </w:r>
          </w:p>
        </w:tc>
        <w:tc>
          <w:tcPr>
            <w:tcW w:w="30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4,319</w:t>
            </w:r>
          </w:p>
        </w:tc>
        <w:tc>
          <w:tcPr>
            <w:tcW w:w="28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5,765</w:t>
            </w:r>
          </w:p>
        </w:tc>
        <w:tc>
          <w:tcPr>
            <w:tcW w:w="100" w:type="dxa"/>
            <w:vAlign w:val="bottom"/>
            <w:shd w:val="clear" w:color="auto" w:fill="CFF0FC"/>
          </w:tcPr>
          <w:p>
            <w:pPr>
              <w:spacing w:after="0"/>
              <w:rPr>
                <w:sz w:val="14"/>
                <w:szCs w:val="14"/>
                <w:color w:val="auto"/>
              </w:rPr>
            </w:pPr>
          </w:p>
        </w:tc>
      </w:tr>
      <w:tr>
        <w:trPr>
          <w:trHeight w:val="175"/>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 management fee</w:t>
            </w:r>
          </w:p>
        </w:tc>
        <w:tc>
          <w:tcPr>
            <w:tcW w:w="10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100" w:type="dxa"/>
            <w:vAlign w:val="bottom"/>
          </w:tcPr>
          <w:p>
            <w:pPr>
              <w:spacing w:after="0"/>
              <w:rPr>
                <w:sz w:val="15"/>
                <w:szCs w:val="15"/>
                <w:color w:val="auto"/>
              </w:rPr>
            </w:pPr>
          </w:p>
        </w:tc>
      </w:tr>
      <w:tr>
        <w:trPr>
          <w:trHeight w:val="17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Directors' fees</w:t>
            </w:r>
          </w:p>
        </w:tc>
        <w:tc>
          <w:tcPr>
            <w:tcW w:w="10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3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shd w:val="clear" w:color="auto" w:fill="CFF0FC"/>
          </w:tcPr>
          <w:p>
            <w:pPr>
              <w:spacing w:after="0"/>
              <w:rPr>
                <w:sz w:val="15"/>
                <w:szCs w:val="15"/>
                <w:color w:val="auto"/>
              </w:rPr>
            </w:pPr>
          </w:p>
        </w:tc>
      </w:tr>
      <w:tr>
        <w:trPr>
          <w:trHeight w:val="176"/>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Administrative service fees</w:t>
            </w:r>
          </w:p>
        </w:tc>
        <w:tc>
          <w:tcPr>
            <w:tcW w:w="10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5"/>
                <w:szCs w:val="15"/>
                <w:color w:val="auto"/>
              </w:rPr>
            </w:pPr>
          </w:p>
        </w:tc>
      </w:tr>
      <w:tr>
        <w:trPr>
          <w:trHeight w:val="175"/>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0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30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3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2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4,232</w:t>
            </w:r>
          </w:p>
        </w:tc>
        <w:tc>
          <w:tcPr>
            <w:tcW w:w="1460" w:type="dxa"/>
            <w:vAlign w:val="bottom"/>
            <w:gridSpan w:val="2"/>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5,010</w:t>
            </w:r>
          </w:p>
        </w:tc>
        <w:tc>
          <w:tcPr>
            <w:tcW w:w="6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8,620</w:t>
            </w:r>
          </w:p>
        </w:tc>
        <w:tc>
          <w:tcPr>
            <w:tcW w:w="6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10,719</w:t>
            </w:r>
          </w:p>
        </w:tc>
        <w:tc>
          <w:tcPr>
            <w:tcW w:w="100" w:type="dxa"/>
            <w:vAlign w:val="bottom"/>
          </w:tcPr>
          <w:p>
            <w:pPr>
              <w:spacing w:after="0"/>
              <w:rPr>
                <w:sz w:val="14"/>
                <w:szCs w:val="14"/>
                <w:color w:val="auto"/>
              </w:rPr>
            </w:pPr>
          </w:p>
        </w:tc>
      </w:tr>
      <w:tr>
        <w:trPr>
          <w:trHeight w:val="20"/>
        </w:trPr>
        <w:tc>
          <w:tcPr>
            <w:tcW w:w="40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-144780</wp:posOffset>
            </wp:positionV>
            <wp:extent cx="768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-144780</wp:posOffset>
            </wp:positionV>
            <wp:extent cx="7683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-144780</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4"/>
          <w:szCs w:val="14"/>
          <w:color w:val="auto"/>
        </w:rPr>
        <w:t>For the three months ended June 30, 2022, operating expenses decreased by $0.8 million, or 16.0%, compared to the three months ended June 30, 2021. Interest and financing expenses decreased from $2.7 million for the three months ended June 30, 2021 to $2.1 million for the three months ended June 30, 2022 due primarily to lower average outstanding debt as well as a lower cost of debt capital during the three months ended June 30, 2022 compared to the three months ended June 30, 2021 . Base management fees declined from $1.3 million for the three months ended June 30, 2021 to $1.0 million for the three months ended June 30, 2022, due to lower average assets under management. Administrative services fees declined from $0.4 million for the three months ended June 30, 2021 to $0.1 million for the three months ended June 30, 2022, due to efficiencies generated by the size and scale of the Investment Advisor's platform. General and administrative expenses increased from $0.6 million for the three months ended June 30, 2021 to $0.9 million for the three months ended June 30, 2022, primarily due to higher professional fees.</w:t>
      </w:r>
    </w:p>
    <w:p>
      <w:pPr>
        <w:spacing w:after="0" w:line="259" w:lineRule="exact"/>
        <w:rPr>
          <w:sz w:val="20"/>
          <w:szCs w:val="20"/>
          <w:color w:val="auto"/>
        </w:rPr>
      </w:pPr>
    </w:p>
    <w:p>
      <w:pPr>
        <w:jc w:val="both"/>
        <w:ind w:firstLine="788"/>
        <w:spacing w:after="0" w:line="251" w:lineRule="auto"/>
        <w:rPr>
          <w:sz w:val="20"/>
          <w:szCs w:val="20"/>
          <w:color w:val="auto"/>
        </w:rPr>
      </w:pPr>
      <w:r>
        <w:rPr>
          <w:rFonts w:ascii="Times New Roman" w:cs="Times New Roman" w:eastAsia="Times New Roman" w:hAnsi="Times New Roman"/>
          <w:sz w:val="14"/>
          <w:szCs w:val="14"/>
          <w:color w:val="auto"/>
        </w:rPr>
        <w:t>For the six months ended June 30, 2022, operating expenses decreased by $2.1 million, or 19.6%, compared to the six months ended June 30, 2021. Interest and financing expenses decreased from $5.8 million for the six months ended June 30, 2021 to $4.3 million for the six months ended June 30, 2022 due primarily to lower average outstanding debt as well as a lower cost of debt capital during the six months ended June 30, 2022 compared to the six months ended June 30, 2021. Base management fees declined from $2.7 million for the six months ended June 30, 2021 to $2.0 million for the six months ended June 30, 2022, due to lower average assets under management. Administrative services fees declined from $0.7 million for the six months ended June 30, 2021 to $0.3 million for the six months ended June 30, 2022, due to efficiencies generated by the size and scale of the Investment Advisor's platform. General and administrative expenses increased from $1.4 million for the six months ended June 30, 2021 to $1.8 million for the six months ended June 30, 2022, primarily due to accelerated one-time prepaid financing costs during the six months ended June 30, 2022 as well as higher professional fees.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realized gain (loss) on sales of investments</w:t>
      </w:r>
    </w:p>
    <w:p>
      <w:pPr>
        <w:spacing w:after="0" w:line="12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4"/>
          <w:szCs w:val="14"/>
          <w:color w:val="auto"/>
        </w:rPr>
        <w:t>During both the three and six months ended June 30, 2022, we recognized $15.5 million of net realized gains on our portfolio investments, respectively. During the three and six months ended June 30, 2021, we recognized $6.9 million and $(7.1) million of net realized gain (loss) on our portfolio investments,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unrealized appreciation (depreciation) on investments</w:t>
      </w:r>
    </w:p>
    <w:p>
      <w:pPr>
        <w:spacing w:after="0" w:line="113"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4"/>
          <w:szCs w:val="14"/>
          <w:color w:val="auto"/>
        </w:rPr>
        <w:t>Net change in unrealized (depreciation) appreciation on investments reflects the net change in the fair value of our investment portfolio. For the three and six months ended June 30, 2022, we recognized $19.6 million and $19.4 million of net change in unrealized depreciation on investments, respectively. For the three and six months ended June 30, 2021, we recognized $(13.7) million and $13.4 million of net change in unrealized (depreciation) appreciation on investments, respectively.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net assets resulting from operations</w:t>
      </w:r>
    </w:p>
    <w:p>
      <w:pPr>
        <w:spacing w:after="0" w:line="11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4"/>
          <w:szCs w:val="14"/>
          <w:color w:val="auto"/>
        </w:rPr>
        <w:t>For the three and six months ended June 30, 2022, we recorded a net decrease in net assets resulting from operations of $5.0 million and $5.9 million, respectively. Based on the weighted average shares of common stock outstanding for the three and six months ended June 30, 2022, our per share net decrease in net assets resulting from operations was $1.86 and $2.17, respectively.</w:t>
      </w:r>
    </w:p>
    <w:p>
      <w:pPr>
        <w:spacing w:after="0" w:line="229" w:lineRule="exact"/>
        <w:rPr>
          <w:sz w:val="20"/>
          <w:szCs w:val="20"/>
          <w:color w:val="auto"/>
        </w:rPr>
      </w:pPr>
    </w:p>
    <w:p>
      <w:pPr>
        <w:jc w:val="both"/>
        <w:ind w:firstLine="797"/>
        <w:spacing w:after="0" w:line="271" w:lineRule="auto"/>
        <w:rPr>
          <w:sz w:val="20"/>
          <w:szCs w:val="20"/>
          <w:color w:val="auto"/>
        </w:rPr>
      </w:pPr>
      <w:r>
        <w:rPr>
          <w:rFonts w:ascii="Times New Roman" w:cs="Times New Roman" w:eastAsia="Times New Roman" w:hAnsi="Times New Roman"/>
          <w:sz w:val="14"/>
          <w:szCs w:val="14"/>
          <w:color w:val="auto"/>
        </w:rPr>
        <w:t>For the three and six months ended June 30, 2021, we recorded a net (decrease) increase in net assets resulting from operations of $(7.6) million and $4.8 million, respectively. Based on the weighted average shares of common stock outstanding for the three and six months ended June 30, 2021, our per share net (decrease) increase in net assets resulting from operations was $(2.79) and $1.77, respectively.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Condition, Liquidity and Capital Resources</w:t>
      </w:r>
    </w:p>
    <w:p>
      <w:pPr>
        <w:spacing w:after="0" w:line="1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We use and intend to use existing cash primarily to originate investments in new and existing portfolio companies, pay distributions to our stockholders, and repay indebtedness.</w:t>
      </w:r>
    </w:p>
    <w:p>
      <w:pPr>
        <w:spacing w:after="0" w:line="1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Since our IPO, we have raised approximately $136.0 million in net proceeds from equity offerings through June 30,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KeyBank Credit Facility</w:t>
      </w:r>
    </w:p>
    <w:p>
      <w:pPr>
        <w:spacing w:after="0" w:line="11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4"/>
          <w:szCs w:val="14"/>
          <w:color w:val="231F20"/>
        </w:rPr>
        <w:t>On October 30, 2020, Capitala Business Lending, LLC ("CBL"), a direct, wholly owned, consolidated subsidiary of the Company, entered into a senior secured revolving credit agreement ("the KeyBank Credit Facility") with the Investment Advisor at the time, as collateral manager, the lenders from time to time parties thereto (each, a “Lender”), KeyBank National Association, as administrative agent, and U.S. Bank National Association, as custodian. The KeyBank Credit Facility was amended on May 10, 2022. Under the KeyBank Credit Facility, the Lenders have agreed to extend credit to CBL in an aggregate principal amount of up to $75.0 million as of May 10, 2022, with an uncommitted accordion feature that allows the Company to borrow up to an additional $125.0 million. The KeyBank Credit Facility matures on May 10, 2027, unless there is an earlier termination or event of default. The period during which the Lenders may make loans to CBL under the KeyBank Credit Facility commenced on October 30, 2020 and will continue through May 10, 2025, unless there is an earlier termination or event of default. Borrowings under the KeyBank Credit Facility bear interest at 1M Term SOFR plus 2.90% during the 3-year revolving period and 3.25% thereafter, with a 0.40% 1M Term SOFR floor. CBL will also pay an unused commitment fee at a rate of (1) 1.00% if utilization is less than or equal to 30.0%, (2) 0.65% if utilization is greater than 30.0% but less than or equal to 60.0%,</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14"/>
          <w:szCs w:val="14"/>
          <w:color w:val="231F20"/>
        </w:rPr>
        <w:t>or (3) 0.35% if utilization is greater than 60.0%, per annum on the unutilized portion of the aggregate commitments under the KeyBank Credit Facility. As of June 30, 2022 and December 31, 2021, there were draws of $40.6 million and zero, respectively, on KeyBank Credit Facility. The KeyBank Credit Facility includes customary affirmative and negative covenants, including certain limitations on the incurrence of additional indebtedness and liens, as well as usual and customary events of default for revolving credit facilities of this nature. As of June 30, 2022 and December 31, 2021, assets pledged to secure the KeyBank Credit Facility had a fair value of $95.5 million and $57.7 million, respectively.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2032 Convertible Notes</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On April 1, 2022, the Company issued $15.0 million in aggregate principal amount of 5.25% fixed-rate convertible notes due April 1, 2032 (the “2032 Convertible Notes”).</w:t>
      </w:r>
    </w:p>
    <w:p>
      <w:pPr>
        <w:spacing w:after="0" w:line="10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4"/>
          <w:szCs w:val="14"/>
          <w:color w:val="auto"/>
        </w:rPr>
        <w:t>The 2032 Convertible Notes are convertible, at the holder’s option and at any time on or prior to the close of business on the business day immediately preceding the maturity date, into such number of shares of the Company’s common stock as is equal to the principal balance of the notes being converted on such date divided by the “Conversion Price,” as described below. The Company will not issue more than 539,503 shares of common stock in the aggregate under the purchase agreement governing the 2032 Convertible Notes (the “Purchase Agreement”); however, such number of shares may be adjusted from time to time to give effect to any forward or reverse stock splits with respect to the common stock as well as any further adjustments described in the purchase agreement. The “Conversion Price” will be equal to the average “Closing Sale Price” for the five “Trading Days” immediately prior to the relevant “Conversion Date,” as those terms are defined in the Purchase Agreement, subject to certain anti-dilutive provisions, as further described in the Purchase Agreement. No holder of a 2032 Convertible Note will be entitled to convert any such note or portion thereof if such conversion would result in more than $7,500,000 in principal amount of 2032 Convertible Notes being converted in any such calendar quarter. The Company has determined that the embedded conversion option in the 2032 Convertible Notes is not required to be separately accounted for as a derivative under U.S. GAAP.</w:t>
      </w:r>
    </w:p>
    <w:p>
      <w:pPr>
        <w:spacing w:after="0" w:line="7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4"/>
          <w:szCs w:val="14"/>
          <w:color w:val="auto"/>
        </w:rPr>
        <w:t>The Company obtained an Investment Grade rating from a Nationally Recognized Statistical Rating Organization (“NRSRO”) with respect to the 2032 Convertible Notes. The 2032 Convertible Notes have a fixed interest rate of 5.25% per annum payable semi-annually on March 31 and September 30 of each year, commencing on September 30, 2022, subject to a step up of 0.75% per annum to the extent that the 2032 Convertible Notes are downgraded below Investment Grade by an NRSRO or the 2032 Convertible Notes no longer maintain a rating from an NRSRO. The Company will also be required to pay an additional interest rate of 2.0% per annum (x) on any overdue payment of interest and (y) during the continuance of an “Event of Default.” The Company intends to use the net proceeds from the offering of the 2032 Convertible Notes for general corporate purposes, which may include repaying outstanding indebtedness, making opportunistic investments and paying corporate expenses. In addition, on the occurrence of a “Change in Control Repurchase Event” or “Delisting Event,” as defined in the Purchase Agreement, the Company will generally be required to make an offer to purchase the outstanding 2032 Convertible Notes at a price equal to 100% of the principal amount of such 2032 Convertible Notes plus accrued and unpaid interest to the repurchase date. The 2032 Convertible Notes are redeemable prior to maturity. No “sinking fund” is provided for the 2032 Convertible Notes.</w:t>
      </w:r>
    </w:p>
    <w:p>
      <w:pPr>
        <w:spacing w:after="0" w:line="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As of June 30, 2022, the Company had $15.0 million in 2032 Convertible Notes outstanding.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2026 Notes</w:t>
      </w:r>
    </w:p>
    <w:p>
      <w:pPr>
        <w:spacing w:after="0" w:line="111"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4"/>
          <w:szCs w:val="14"/>
          <w:color w:val="auto"/>
        </w:rPr>
        <w:t xml:space="preserve">On October 29, 2021, we issued $50.0 million in aggregate principal amount of 5.25% fixed rate notes due October 30, 2026 (the "2026 Notes") pursuant to a supplemental indenture with U.S. Bank National Association (the "Trustee"), which supplements that certain base indenture, dated as of June 16, 2014. The 2026 Notes were issued in a private placement exempt from registration under the Section 4(a)(2) of the Securities Act of 1933, as amended (the "Securities Act"). The net proceeds to the Company were approximately $48.8 million, after deducting estimated offering expenses. The Notes will mature on October 30, 2026 and may be redeemed in whole or in part at the Company's option at any time or from time to time at the redemption prices set forth in the Indenture. The Notes bear interest at a rate of 5.25% per year payable semi-annually on April 30 and October 30 of each year, commencing on April 30, 2022. The Notes are general unsecured obligations of the Company that rank senior in right of payment to all of the Company's existing and future indebtedness that is expressly subordinated in right of payment to the Notes,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spacing w:after="0" w:line="9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4"/>
          <w:szCs w:val="14"/>
          <w:color w:val="auto"/>
        </w:rPr>
        <w:t>In connection with the offering, the Company entered into a Registration Rights Agreement, dated as of October 29, 2021 (the "Registration Rights Agreement"), with the purchasers of the 2026 Notes. Pursuant to the Registration Rights Agreement, the Company is obligated to file with the Securities and Exchange Commission a registration statement relating to an offer to exchange the 2026 Notes for new notes issued by the Company that are registered under the Securities Act and otherwise have terms substantially identical to those of the 2026 Notes, and to use its commercially reasonable efforts to cause such registration statement to be declared effective.</w:t>
      </w:r>
    </w:p>
    <w:p>
      <w:pPr>
        <w:spacing w:after="0" w:line="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As of June 30, 2022, the Company had approximately $50.0 million in aggregate principal amount of 2026 Notes outstanding.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2022 Notes</w:t>
      </w:r>
    </w:p>
    <w:p>
      <w:pPr>
        <w:spacing w:after="0" w:line="111" w:lineRule="exact"/>
        <w:rPr>
          <w:sz w:val="20"/>
          <w:szCs w:val="20"/>
          <w:color w:val="auto"/>
        </w:rPr>
      </w:pPr>
    </w:p>
    <w:p>
      <w:pPr>
        <w:jc w:val="both"/>
        <w:ind w:firstLine="787"/>
        <w:spacing w:after="0" w:line="257" w:lineRule="auto"/>
        <w:rPr>
          <w:sz w:val="20"/>
          <w:szCs w:val="20"/>
          <w:color w:val="auto"/>
        </w:rPr>
      </w:pPr>
      <w:r>
        <w:rPr>
          <w:rFonts w:ascii="Times New Roman" w:cs="Times New Roman" w:eastAsia="Times New Roman" w:hAnsi="Times New Roman"/>
          <w:sz w:val="14"/>
          <w:szCs w:val="14"/>
          <w:color w:val="auto"/>
        </w:rPr>
        <w:t>On May 16, 2017, we issued $70.0 million in aggregate principal amount of 6.0% fixed-rate notes due May 31, 2022 (the “2022 Notes”). On May 25, 2017, we issued an additional $5.0 million in aggregate principal amount of the 2022 Notes pursuant to a partial exercise of the underwriters’ overallotment option. On November 1, 2021, we notified the Trustee for the 2022 Notes of the Company's election to redeem $50.0 million aggregate principal amount of the 2022 Notes outstanding. The redemption was completed on December 6, 2021. On May 31, 2022, the 2022 Notes reached maturity, and the entire outstanding principal of the 2022 Notes became payable and was paid by the Company. Accordingly, as of June 30, 2022, there were no 2022 Notes outstanding.</w:t>
      </w:r>
    </w:p>
    <w:p>
      <w:pPr>
        <w:spacing w:after="0" w:line="24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4"/>
          <w:szCs w:val="14"/>
          <w:color w:val="auto"/>
        </w:rPr>
        <w:t>The 2022 Notes were subject to redemption in whole or in part at any time or from time to time at our option on or after May 31, 2019 at a redemption price equal to 100% of the outstanding principal, plus accrued and unpaid interest. Interest on the 2022 Notes was payable quarterly. The 2022 Notes were listed on the NASDAQ Global Select Market under the trading symbol “CPTAL” with a par value of $25.00 per share.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2022 Convertible Notes</w:t>
      </w:r>
    </w:p>
    <w:p>
      <w:pPr>
        <w:spacing w:after="0" w:line="11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On May 26, 2017, we issued $50.0 million in aggregate principal amount of 5.75% fixed-rate convertible notes due May 31, 2022 (the “2022 Convertible Notes”). On June 26, 2017, we issued an additional $2.1 million in aggregate principal amount of the 2022 Convertible Notes pursuant to a partial exercise of the underwriters’ overallotment option. On May 31, 2022, the 2022 Convertible Notes reached maturity, and the entire outstanding principal of the 2022 Convertible Notes became payable, and was paid by the Company. Accordingly, as of June 30, 2022, there were no 2022 Convertible Notes outstanding.</w:t>
      </w:r>
    </w:p>
    <w:p>
      <w:pPr>
        <w:spacing w:after="0" w:line="69" w:lineRule="exact"/>
        <w:rPr>
          <w:sz w:val="20"/>
          <w:szCs w:val="20"/>
          <w:color w:val="auto"/>
        </w:rPr>
      </w:pPr>
    </w:p>
    <w:p>
      <w:pPr>
        <w:jc w:val="both"/>
        <w:ind w:firstLine="749"/>
        <w:spacing w:after="0" w:line="302" w:lineRule="auto"/>
        <w:rPr>
          <w:sz w:val="20"/>
          <w:szCs w:val="20"/>
          <w:color w:val="auto"/>
        </w:rPr>
      </w:pPr>
      <w:r>
        <w:rPr>
          <w:rFonts w:ascii="Times New Roman" w:cs="Times New Roman" w:eastAsia="Times New Roman" w:hAnsi="Times New Roman"/>
          <w:sz w:val="14"/>
          <w:szCs w:val="14"/>
          <w:color w:val="auto"/>
        </w:rPr>
        <w:t>Interest on the 2022 Convertible Notes was payable quarterly. The 2022 Convertible Notes were listed on the NASDAQ Capital Market under the trading symbol “CPTAG” with a par value of $25.00 per share.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Asset Coverage Ratio</w:t>
      </w:r>
    </w:p>
    <w:p>
      <w:pPr>
        <w:spacing w:after="0" w:line="12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We are only allowed to borrow money such that our asset coverage, as defined in the 1940 Act, equals at least 150% if certain requirements are met, after such borrowing, with certain limited exceptions. As of June 30, 2022, our asset coverage ratio was 194%. If our asset coverage ratio falls below 150% due a decline in the fair market of our portfolio, we may be limited in our ability to raise additional debt.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As of June 30, 2022, we had $29.5 million in cash and cash equivalents.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11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69"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14"/>
          <w:szCs w:val="14"/>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 summary of our significant contractual payment obligations as of June 30, 2022 are as follows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8"/>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Contractual Obligations Payments Due by Period</w:t>
            </w: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4"/>
        </w:trPr>
        <w:tc>
          <w:tcPr>
            <w:tcW w:w="5000" w:type="dxa"/>
            <w:vAlign w:val="bottom"/>
          </w:tcPr>
          <w:p>
            <w:pPr>
              <w:spacing w:after="0"/>
              <w:rPr>
                <w:sz w:val="12"/>
                <w:szCs w:val="12"/>
                <w:color w:val="auto"/>
              </w:rPr>
            </w:pPr>
          </w:p>
        </w:tc>
        <w:tc>
          <w:tcPr>
            <w:tcW w:w="800" w:type="dxa"/>
            <w:vAlign w:val="bottom"/>
          </w:tcPr>
          <w:p>
            <w:pPr>
              <w:jc w:val="center"/>
              <w:ind w:left="168"/>
              <w:spacing w:after="0" w:line="145" w:lineRule="exact"/>
              <w:rPr>
                <w:sz w:val="20"/>
                <w:szCs w:val="20"/>
                <w:color w:val="auto"/>
              </w:rPr>
            </w:pPr>
            <w:r>
              <w:rPr>
                <w:rFonts w:ascii="Times New Roman" w:cs="Times New Roman" w:eastAsia="Times New Roman" w:hAnsi="Times New Roman"/>
                <w:sz w:val="14"/>
                <w:szCs w:val="14"/>
                <w:b w:val="1"/>
                <w:bCs w:val="1"/>
                <w:color w:val="auto"/>
              </w:rPr>
              <w:t>Less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08"/>
              <w:spacing w:after="0" w:line="145" w:lineRule="exact"/>
              <w:rPr>
                <w:sz w:val="20"/>
                <w:szCs w:val="20"/>
                <w:color w:val="auto"/>
              </w:rPr>
            </w:pPr>
            <w:r>
              <w:rPr>
                <w:rFonts w:ascii="Times New Roman" w:cs="Times New Roman" w:eastAsia="Times New Roman" w:hAnsi="Times New Roman"/>
                <w:sz w:val="14"/>
                <w:szCs w:val="14"/>
                <w:b w:val="1"/>
                <w:bCs w:val="1"/>
                <w:color w:val="auto"/>
                <w:w w:val="97"/>
              </w:rPr>
              <w:t>More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000" w:type="dxa"/>
            <w:vAlign w:val="bottom"/>
          </w:tcPr>
          <w:p>
            <w:pPr>
              <w:spacing w:after="0"/>
              <w:rPr>
                <w:sz w:val="12"/>
                <w:szCs w:val="12"/>
                <w:color w:val="auto"/>
              </w:rPr>
            </w:pPr>
          </w:p>
        </w:tc>
        <w:tc>
          <w:tcPr>
            <w:tcW w:w="8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1 – 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3 – 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7"/>
        </w:trPr>
        <w:tc>
          <w:tcPr>
            <w:tcW w:w="5000" w:type="dxa"/>
            <w:vAlign w:val="bottom"/>
          </w:tcPr>
          <w:p>
            <w:pPr>
              <w:spacing w:after="0"/>
              <w:rPr>
                <w:sz w:val="16"/>
                <w:szCs w:val="16"/>
                <w:color w:val="auto"/>
              </w:rPr>
            </w:pPr>
          </w:p>
        </w:tc>
        <w:tc>
          <w:tcPr>
            <w:tcW w:w="80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169"/>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800" w:type="dxa"/>
            <w:vAlign w:val="bottom"/>
            <w:shd w:val="clear" w:color="auto" w:fill="CFF0FC"/>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FF0FC"/>
          </w:tcPr>
          <w:p>
            <w:pPr>
              <w:spacing w:after="0"/>
              <w:rPr>
                <w:sz w:val="14"/>
                <w:szCs w:val="14"/>
                <w:color w:val="auto"/>
              </w:rPr>
            </w:pPr>
          </w:p>
        </w:tc>
      </w:tr>
      <w:tr>
        <w:trPr>
          <w:trHeight w:val="176"/>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2032 Convertible Notes</w:t>
            </w:r>
          </w:p>
        </w:tc>
        <w:tc>
          <w:tcPr>
            <w:tcW w:w="800" w:type="dxa"/>
            <w:vAlign w:val="bottom"/>
          </w:tcPr>
          <w:p>
            <w:pPr>
              <w:spacing w:after="0"/>
              <w:rPr>
                <w:sz w:val="15"/>
                <w:szCs w:val="15"/>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5"/>
                <w:szCs w:val="15"/>
                <w:color w:val="auto"/>
              </w:rPr>
            </w:pPr>
          </w:p>
        </w:tc>
      </w:tr>
      <w:tr>
        <w:trPr>
          <w:trHeight w:val="175"/>
        </w:trPr>
        <w:tc>
          <w:tcPr>
            <w:tcW w:w="5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KeyBank Credit Facility</w:t>
            </w:r>
          </w:p>
        </w:tc>
        <w:tc>
          <w:tcPr>
            <w:tcW w:w="80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Contractual Obligations</w:t>
            </w:r>
          </w:p>
        </w:tc>
        <w:tc>
          <w:tcPr>
            <w:tcW w:w="80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gridSpan w:val="2"/>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100" w:type="dxa"/>
            <w:vAlign w:val="bottom"/>
          </w:tcPr>
          <w:p>
            <w:pPr>
              <w:spacing w:after="0"/>
              <w:rPr>
                <w:sz w:val="14"/>
                <w:szCs w:val="14"/>
                <w:color w:val="auto"/>
              </w:rPr>
            </w:pPr>
          </w:p>
        </w:tc>
      </w:tr>
      <w:tr>
        <w:trPr>
          <w:trHeight w:val="20"/>
        </w:trPr>
        <w:tc>
          <w:tcPr>
            <w:tcW w:w="50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-145415</wp:posOffset>
            </wp:positionV>
            <wp:extent cx="7683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-145415</wp:posOffset>
            </wp:positionV>
            <wp:extent cx="7747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-145415</wp:posOffset>
            </wp:positionV>
            <wp:extent cx="6858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-145415</wp:posOffset>
            </wp:positionV>
            <wp:extent cx="6858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12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4"/>
          <w:szCs w:val="14"/>
          <w:color w:val="auto"/>
        </w:rPr>
        <w:t>In order to qualify as a RIC and to avoid corporate-level U.S. federal income tax on the income we timely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that we recognized for preceding years, but were not distributed during such years, and on which we paid no U.S. federal income tax to avoid a U.S. federal excise tax. We made quarterly distributions to our stockholders for the first four full quarters subsequent to our IPO. To the extent we had income available, we made monthly distributions to our stockholders from October 30, 2014 until March 30, 2020. As announced on April 1, 2020, distributions, if any, will be made on a quarterly basis effective for the second quarter of 2020. Our stockholder distributions, if any, will be determined by our Board on a quarterly basis. Any distributions to our stockholders will be declared out of assets legally available for distribution. The Company’s Board determined not to declare a distribution for the first and second quarters of 2022 and 2021.</w:t>
      </w:r>
    </w:p>
    <w:p>
      <w:pPr>
        <w:spacing w:after="0" w:line="8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4"/>
          <w:szCs w:val="14"/>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8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4"/>
          <w:szCs w:val="14"/>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25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4"/>
          <w:szCs w:val="14"/>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Company's Board determined not to declare a distribution for any quarter of 2021 and through June 30, 2022.</w:t>
      </w:r>
    </w:p>
    <w:p>
      <w:pPr>
        <w:spacing w:after="0" w:line="10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4"/>
          <w:szCs w:val="14"/>
          <w:color w:val="auto"/>
        </w:rPr>
        <w:t>Tax characteristics of all distributions paid are reported to stockholders on Form 1099 after the end of the calendar year. There were no distributions for the year ended December 31, 2021. Distributions may be subject to reclassification based on future dividends and operating results and will not be determined until the end of the year.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Related Parties</w:t>
      </w:r>
    </w:p>
    <w:p>
      <w:pPr>
        <w:spacing w:after="0" w:line="12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4"/>
          <w:szCs w:val="14"/>
          <w:color w:val="auto"/>
        </w:rPr>
        <w:t>On July 1, 2021, we entered into the Investment Advisory Agreement with the Investment Advisor. The Company is externally managed by the Investment Advisor, an affiliate of BC Partners, pursuant to the Investment Advisory Agreement. Mr. Goldthorpe, an interested member of the Board, has a direct or indirect pecuniary interest in the Investment Advisor. The Investment Advisor is a registered investment adviser under the Investment Advisers Act of 1940, as amended. The Investment Advisor is an affiliate of BC Partners Advisors L.P. for U.S. regulatory purposes. Mount Logan Capital Inc. is the ultimate control person of the Investment Advisor.</w:t>
      </w:r>
    </w:p>
    <w:p>
      <w:pPr>
        <w:spacing w:after="0" w:line="8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Under the Investment Advisory Agreement, fees payable to the Investment Advisor equal (i) the Base Management Fee and (ii) the Incentive Fee. Unless earlier terminated as described below, the Investment Advisory Agreement will remain in effect from year-to-year if approved annually by a majority of the Board or by the holders of a majority of the outstanding shares, and, in each case, a majority of the independent directors.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39" w:name="page40"/>
    <w:bookmarkEnd w:id="39"/>
    <w:p>
      <w:pPr>
        <w:jc w:val="both"/>
        <w:ind w:firstLine="749"/>
        <w:spacing w:after="0" w:line="256" w:lineRule="auto"/>
        <w:rPr>
          <w:sz w:val="20"/>
          <w:szCs w:val="20"/>
          <w:color w:val="auto"/>
        </w:rPr>
      </w:pPr>
      <w:r>
        <w:rPr>
          <w:rFonts w:ascii="Times New Roman" w:cs="Times New Roman" w:eastAsia="Times New Roman" w:hAnsi="Times New Roman"/>
          <w:sz w:val="14"/>
          <w:szCs w:val="14"/>
          <w:color w:val="auto"/>
        </w:rPr>
        <w:t>Pursuant to the Administration Agreement, the Administrator provides administrative services to the Company necessary for the operations of the Company, which include providing to the Company office facilities, equipment and clerical, bookkeeping and record keeping services at such facilities and such other services as the Administrator, subject to review by the Board, shall from time to time deem to be necessary or useful to perform its obligations under the applicable Administration Agreement. The Administrator also provides to the Company portfolio collection functions for and is responsible for the financial and other records that the Company is required to maintain and prepares, prints and disseminates reports to the Company's stockholders and reports and all other materials filed with the SEC.</w:t>
      </w:r>
    </w:p>
    <w:p>
      <w:pPr>
        <w:spacing w:after="0" w:line="8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For providing these services, facilities and personnel, the Company reimburses the Administrator the allocable portion of overhead and other expenses incurred by the Administrator in performing its obligations under the Administration Agreement, including the Company's allocable portion of the costs of compensation and related expenses of its chief financial officer and chief compliance officer and their respective staffs.</w:t>
      </w:r>
    </w:p>
    <w:p>
      <w:pPr>
        <w:spacing w:after="0" w:line="6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4"/>
          <w:szCs w:val="14"/>
          <w:color w:val="auto"/>
        </w:rPr>
        <w:t>On October 23, 2018, the SEC issued an order granting an application for exemptive relief to an affiliate of our Investment Advisor that allows BDCs managed by the Investment Advisor, including Logan Ridge, to co-invest, subject to the satisfaction of certain conditions, in certain private placement transactions, with other funds managed by the Investment Advisor or its affiliates and any future funds that are advised by the Investment Advisor or its affiliated investment advisers. Under the terms of the exemptive order, in order for Logan Ridge to participate in a co-investment transaction, a "required majority" (as defined in Section 57(0) of the 1940 Act) of Logan Ridge's independent directors; must conclude that (i) the terms of the proposed transaction, including the consideration to be paid, are reasonable and fair to Logan Ridge and its stockholders and do not involve overreaching with respect of Logan Ridge or its stockholders on the part of any person concerned, and (ii) the proposed transaction is consistent with the interests of Logan Ridge's stockholders and is consistent with Logan Ridge's investment objectives and strategies and certain criteria established by the Board. We believe this relief may not only enhance our ability to further our investment objectives and strategies, but may also increase favorable investment opportunities for us, in part by allowing us to participate in larger investments, together with our co-investment affiliates, than would be available to us in the absence of such relief.</w:t>
      </w:r>
    </w:p>
    <w:p>
      <w:pPr>
        <w:spacing w:after="0" w:line="7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Prior to July 1, 2021, we were party to an administration agreement with our then administrator, Capitala Advisors Corp. As administrator, Capitala Advisors Corp. provided us with the office facilities and administrative services necessary to conduct our day-to-day operations. On July 1, 2021, we entered into a new Administration Agreement with our current Administrator, BC Partners Management LLC. Pursuant to the terms of the Administration Agreement, our Administrator provides us with the office facilities and administrative services necessary to conduct our day-to-day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2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4"/>
          <w:szCs w:val="14"/>
          <w:color w:val="auto"/>
        </w:rPr>
        <w:t>As of June 30, 2022, the Company had outstanding unfunded commitments related to debt investments in existing portfolio companies of $4.5 million to Accordion Partners LLC, $0.8 million to Bradshaw International, Inc., $3.1 million to Critical Nurse Staffing, LLC, $0.9 million to Epic Staffing Group, $0.7 million to GreenPark Infrastructure, LLC, $0.7 million to Keg Logistics LLC, $2.5 million to Marble Point Credit Management LLC, $1.4 million to Premiere Imaging, LLC, and $1.5 million to Wealth Enhancement Group, LLC. As of December 31, 2021, the Company had outstanding unfunded commitments related to debt investments in existing portfolio companies of $9.0 million to Accordion Partners LLC, $0.7 million to Bradshaw International, Inc., $3.1 million to Critical Nursing Staffing, LLC, $3.5 million to J5 Infrastructure Partners, LLC, $0.9 million to Keg Logistics LLC, $2.5 million to Marble Point Credit Management LLC, $1.9 million to Premiere Imaging, LLC, and $3.5 million to Wealth Enhancement Group, LLC.</w:t>
      </w:r>
    </w:p>
    <w:p>
      <w:pPr>
        <w:spacing w:after="0" w:line="7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4"/>
          <w:szCs w:val="14"/>
          <w:color w:val="auto"/>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1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six months ended June 30, 2022, we did not engage in hedging activities.</w:t>
      </w:r>
    </w:p>
    <w:p>
      <w:pPr>
        <w:spacing w:after="0" w:line="8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4"/>
          <w:szCs w:val="14"/>
          <w:color w:val="auto"/>
        </w:rPr>
        <w:t>As of June 30, 2022, we held 30 securities bearing a variable rate of interest. Our variable rate investments represent approximately 74.6% of the fair value of our total debt investments. As of June 30, 2022, 77.6% of the variable rate securities were yielding interest at a rate equal to the established interest rate floor. As of June 30, 2022, we had nothing $40.6 million outstanding on our KeyBank Credit Facility, which has a variable rate of interest at one-month SOFR + 2.90%, subject to an interest rate floor of 0.40%. As As of June 30, 2022, all of our other interest paying liabilities, consisting of $50.0 million in 2026 Notes and $15.0 million in 2032 Convertible Notes were bearing interest at a fixed rate.</w:t>
      </w:r>
    </w:p>
    <w:p>
      <w:pPr>
        <w:spacing w:after="0" w:line="8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4"/>
          <w:szCs w:val="14"/>
          <w:color w:val="auto"/>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 In addition,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7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4"/>
          <w:szCs w:val="14"/>
          <w:color w:val="auto"/>
        </w:rPr>
        <w:t>Based on our June 30, 2022 consolidated statement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60" w:type="dxa"/>
            <w:vAlign w:val="bottom"/>
          </w:tcPr>
          <w:p>
            <w:pPr>
              <w:spacing w:after="0"/>
              <w:rPr>
                <w:sz w:val="14"/>
                <w:szCs w:val="14"/>
                <w:color w:val="auto"/>
              </w:rPr>
            </w:pPr>
          </w:p>
        </w:tc>
        <w:tc>
          <w:tcPr>
            <w:tcW w:w="1600" w:type="dxa"/>
            <w:vAlign w:val="bottom"/>
            <w:gridSpan w:val="3"/>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5220" w:type="dxa"/>
            <w:vAlign w:val="bottom"/>
            <w:vMerge w:val="restart"/>
          </w:tcPr>
          <w:p>
            <w:pPr>
              <w:ind w:left="2680"/>
              <w:spacing w:after="0"/>
              <w:rPr>
                <w:sz w:val="20"/>
                <w:szCs w:val="20"/>
                <w:color w:val="auto"/>
              </w:rPr>
            </w:pPr>
            <w:r>
              <w:rPr>
                <w:rFonts w:ascii="Times New Roman" w:cs="Times New Roman" w:eastAsia="Times New Roman" w:hAnsi="Times New Roman"/>
                <w:sz w:val="14"/>
                <w:szCs w:val="14"/>
                <w:b w:val="1"/>
                <w:bCs w:val="1"/>
                <w:color w:val="auto"/>
              </w:rPr>
              <w:t>Basis Point Change</w:t>
            </w:r>
          </w:p>
        </w:tc>
        <w:tc>
          <w:tcPr>
            <w:tcW w:w="2900" w:type="dxa"/>
            <w:vAlign w:val="bottom"/>
            <w:gridSpan w:val="3"/>
          </w:tcPr>
          <w:p>
            <w:pPr>
              <w:jc w:val="center"/>
              <w:ind w:left="1108"/>
              <w:spacing w:after="0" w:line="149" w:lineRule="exact"/>
              <w:rPr>
                <w:sz w:val="20"/>
                <w:szCs w:val="20"/>
                <w:color w:val="auto"/>
              </w:rPr>
            </w:pPr>
            <w:r>
              <w:rPr>
                <w:rFonts w:ascii="Times New Roman" w:cs="Times New Roman" w:eastAsia="Times New Roman" w:hAnsi="Times New Roman"/>
                <w:sz w:val="14"/>
                <w:szCs w:val="14"/>
                <w:b w:val="1"/>
                <w:bCs w:val="1"/>
                <w:color w:val="auto"/>
              </w:rPr>
              <w:t>(decrease) in interest</w:t>
            </w:r>
          </w:p>
        </w:tc>
        <w:tc>
          <w:tcPr>
            <w:tcW w:w="160" w:type="dxa"/>
            <w:vAlign w:val="bottom"/>
          </w:tcPr>
          <w:p>
            <w:pPr>
              <w:spacing w:after="0"/>
              <w:rPr>
                <w:sz w:val="12"/>
                <w:szCs w:val="12"/>
                <w:color w:val="auto"/>
              </w:rPr>
            </w:pPr>
          </w:p>
        </w:tc>
        <w:tc>
          <w:tcPr>
            <w:tcW w:w="1600" w:type="dxa"/>
            <w:vAlign w:val="bottom"/>
            <w:gridSpan w:val="3"/>
          </w:tcPr>
          <w:p>
            <w:pPr>
              <w:jc w:val="center"/>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decrease in</w:t>
            </w: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(decrease) in</w:t>
            </w:r>
          </w:p>
        </w:tc>
        <w:tc>
          <w:tcPr>
            <w:tcW w:w="0" w:type="dxa"/>
            <w:vAlign w:val="bottom"/>
          </w:tcPr>
          <w:p>
            <w:pPr>
              <w:spacing w:after="0"/>
              <w:rPr>
                <w:sz w:val="1"/>
                <w:szCs w:val="1"/>
                <w:color w:val="auto"/>
              </w:rPr>
            </w:pPr>
          </w:p>
        </w:tc>
      </w:tr>
      <w:tr>
        <w:trPr>
          <w:trHeight w:val="187"/>
        </w:trPr>
        <w:tc>
          <w:tcPr>
            <w:tcW w:w="5220" w:type="dxa"/>
            <w:vAlign w:val="bottom"/>
            <w:vMerge w:val="continue"/>
          </w:tcPr>
          <w:p>
            <w:pPr>
              <w:spacing w:after="0"/>
              <w:rPr>
                <w:sz w:val="16"/>
                <w:szCs w:val="16"/>
                <w:color w:val="auto"/>
              </w:rPr>
            </w:pPr>
          </w:p>
        </w:tc>
        <w:tc>
          <w:tcPr>
            <w:tcW w:w="160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6"/>
                <w:szCs w:val="16"/>
                <w:color w:val="auto"/>
              </w:rPr>
            </w:pPr>
          </w:p>
        </w:tc>
        <w:tc>
          <w:tcPr>
            <w:tcW w:w="1600" w:type="dxa"/>
            <w:vAlign w:val="bottom"/>
            <w:gridSpan w:val="3"/>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69"/>
        </w:trPr>
        <w:tc>
          <w:tcPr>
            <w:tcW w:w="52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Up 300 basis points</w:t>
            </w:r>
          </w:p>
        </w:tc>
        <w:tc>
          <w:tcPr>
            <w:tcW w:w="1600" w:type="dxa"/>
            <w:vAlign w:val="bottom"/>
            <w:tcBorders>
              <w:top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2,834</w:t>
            </w:r>
          </w:p>
        </w:tc>
        <w:tc>
          <w:tcPr>
            <w:tcW w:w="1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Up 200 basis points</w:t>
            </w:r>
          </w:p>
        </w:tc>
        <w:tc>
          <w:tcPr>
            <w:tcW w:w="16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(823 )</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Up 100 basis points</w:t>
            </w:r>
          </w:p>
        </w:tc>
        <w:tc>
          <w:tcPr>
            <w:tcW w:w="16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(412 )</w:t>
            </w: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Down 100 basis points</w:t>
            </w:r>
          </w:p>
        </w:tc>
        <w:tc>
          <w:tcPr>
            <w:tcW w:w="1600" w:type="dxa"/>
            <w:vAlign w:val="bottom"/>
          </w:tcPr>
          <w:p>
            <w:pPr>
              <w:spacing w:after="0"/>
              <w:rPr>
                <w:sz w:val="15"/>
                <w:szCs w:val="15"/>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(727 )</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(198 )</w:t>
            </w:r>
          </w:p>
        </w:tc>
        <w:tc>
          <w:tcPr>
            <w:tcW w:w="0" w:type="dxa"/>
            <w:vAlign w:val="bottom"/>
          </w:tcPr>
          <w:p>
            <w:pPr>
              <w:spacing w:after="0"/>
              <w:rPr>
                <w:sz w:val="1"/>
                <w:szCs w:val="1"/>
                <w:color w:val="auto"/>
              </w:rPr>
            </w:pPr>
          </w:p>
        </w:tc>
      </w:tr>
      <w:tr>
        <w:trPr>
          <w:trHeight w:val="175"/>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Down 200 basis points</w:t>
            </w:r>
          </w:p>
        </w:tc>
        <w:tc>
          <w:tcPr>
            <w:tcW w:w="16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(1,054 )</w:t>
            </w: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(525 )</w:t>
            </w:r>
          </w:p>
        </w:tc>
        <w:tc>
          <w:tcPr>
            <w:tcW w:w="0" w:type="dxa"/>
            <w:vAlign w:val="bottom"/>
          </w:tcPr>
          <w:p>
            <w:pPr>
              <w:spacing w:after="0"/>
              <w:rPr>
                <w:sz w:val="1"/>
                <w:szCs w:val="1"/>
                <w:color w:val="auto"/>
              </w:rPr>
            </w:pPr>
          </w:p>
        </w:tc>
      </w:tr>
      <w:tr>
        <w:trPr>
          <w:trHeight w:val="188"/>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Down 300 basis points</w:t>
            </w:r>
          </w:p>
        </w:tc>
        <w:tc>
          <w:tcPr>
            <w:tcW w:w="1600" w:type="dxa"/>
            <w:vAlign w:val="bottom"/>
          </w:tcPr>
          <w:p>
            <w:pPr>
              <w:spacing w:after="0"/>
              <w:rPr>
                <w:sz w:val="16"/>
                <w:szCs w:val="16"/>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(1,056 )</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(527 )</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21" w:lineRule="exact"/>
        <w:rPr>
          <w:sz w:val="20"/>
          <w:szCs w:val="20"/>
          <w:color w:val="auto"/>
        </w:rPr>
      </w:pPr>
    </w:p>
    <w:p>
      <w:pPr>
        <w:ind w:left="1140" w:hanging="383"/>
        <w:spacing w:after="0"/>
        <w:tabs>
          <w:tab w:leader="none" w:pos="1140" w:val="left"/>
        </w:tabs>
        <w:numPr>
          <w:ilvl w:val="0"/>
          <w:numId w:val="2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13"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4"/>
          <w:szCs w:val="14"/>
          <w:color w:val="auto"/>
        </w:rPr>
        <w:t>As of June 30, 2022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40" w:name="page41"/>
    <w:bookmarkEnd w:id="40"/>
    <w:p>
      <w:pPr>
        <w:jc w:val="both"/>
        <w:spacing w:after="0" w:line="256" w:lineRule="auto"/>
        <w:rPr>
          <w:sz w:val="20"/>
          <w:szCs w:val="20"/>
          <w:color w:val="auto"/>
        </w:rPr>
      </w:pPr>
      <w:r>
        <w:rPr>
          <w:rFonts w:ascii="Times New Roman" w:cs="Times New Roman" w:eastAsia="Times New Roman" w:hAnsi="Times New Roman"/>
          <w:sz w:val="14"/>
          <w:szCs w:val="14"/>
          <w:color w:val="auto"/>
        </w:rPr>
        <w:t>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82" w:lineRule="exact"/>
        <w:rPr>
          <w:sz w:val="20"/>
          <w:szCs w:val="20"/>
          <w:color w:val="auto"/>
        </w:rPr>
      </w:pPr>
    </w:p>
    <w:p>
      <w:pPr>
        <w:ind w:left="1140" w:hanging="383"/>
        <w:spacing w:after="0"/>
        <w:tabs>
          <w:tab w:leader="none" w:pos="1140" w:val="left"/>
        </w:tabs>
        <w:numPr>
          <w:ilvl w:val="0"/>
          <w:numId w:val="2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Changes in Internal Controls Over Financial Reporting</w:t>
      </w:r>
    </w:p>
    <w:p>
      <w:pPr>
        <w:spacing w:after="0" w:line="11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4"/>
          <w:szCs w:val="14"/>
          <w:color w:val="auto"/>
        </w:rPr>
        <w:t>Management has not identified any change in the Company’s internal control over financial reporting that occurred during the first quarter of 2022 that has materially affected, or is reasonably likely to materially affect, the Company’s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1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We and our subsidiaries are not currently subject to any material legal proceedings, nor, to our knowledge, is any material legal proceeding threatened against us or our subsidiaries. From time to time, we, or our subsidiaries may be a party to certain legal proceedings in the ordinary course of business, including proceedings relating to the enforcement of our rights under contracts with our portfolio companies. While the outcome of these legal proceedings, if any, cannot be predicted with certainty, we do not expect that these proceedings will have a material effect upon our financial condition or 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1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4"/>
          <w:szCs w:val="14"/>
          <w:color w:val="auto"/>
        </w:rPr>
        <w:t>In addition to the other information set forth in this report, you should carefully consider the factors discussed in Part I, “Item 1A. Risk Factors” in our Annual Report on Form 10-K for the fiscal year ended December 31, 2021 (the “Annual Report on Form 10-K”), which could materially affect our business, financial condition and/or operating results. The risks described in the Annual Report on Form 10-K are not the only risks we face. Additional risks and uncertainties that are not currently known to us or that we currently deem to be immaterial also may materially adversely affect our business, financial condition and/or operating results. There have been no material changes from the risk factors set forth in the Annual Report on Form 10-K.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None.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following exhibits are filed as part of this report or hereby incorporated by reference to exhibits previously filed with the SEC:</w:t>
      </w:r>
    </w:p>
    <w:p>
      <w:pPr>
        <w:sectPr>
          <w:pgSz w:w="11900" w:h="16838" w:orient="portrait"/>
          <w:cols w:equalWidth="0" w:num="1">
            <w:col w:w="11220"/>
          </w:cols>
          <w:pgMar w:left="320" w:top="533" w:right="359" w:bottom="1440" w:gutter="0" w:footer="0" w:header="0"/>
        </w:sectPr>
      </w:pP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57404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9" w:lineRule="exact"/>
        <w:rPr>
          <w:sz w:val="20"/>
          <w:szCs w:val="20"/>
          <w:color w:val="auto"/>
        </w:rPr>
      </w:pPr>
    </w:p>
    <w:p>
      <w:pPr>
        <w:ind w:left="20"/>
        <w:spacing w:after="0"/>
        <w:rPr>
          <w:rFonts w:ascii="Times New Roman" w:cs="Times New Roman" w:eastAsia="Times New Roman" w:hAnsi="Times New Roman"/>
          <w:sz w:val="14"/>
          <w:szCs w:val="14"/>
          <w:u w:val="single" w:color="auto"/>
          <w:color w:val="0000FF"/>
        </w:rPr>
      </w:pPr>
      <w:hyperlink r:id="rId512">
        <w:r>
          <w:rPr>
            <w:rFonts w:ascii="Times New Roman" w:cs="Times New Roman" w:eastAsia="Times New Roman" w:hAnsi="Times New Roman"/>
            <w:sz w:val="14"/>
            <w:szCs w:val="14"/>
            <w:u w:val="single" w:color="auto"/>
            <w:color w:val="0000FF"/>
          </w:rPr>
          <w:t>3.1</w:t>
        </w:r>
      </w:hyperlink>
    </w:p>
    <w:p>
      <w:pPr>
        <w:spacing w:after="0" w:line="271" w:lineRule="exact"/>
        <w:rPr>
          <w:sz w:val="20"/>
          <w:szCs w:val="20"/>
          <w:color w:val="auto"/>
        </w:rPr>
      </w:pPr>
    </w:p>
    <w:p>
      <w:pPr>
        <w:ind w:left="20"/>
        <w:spacing w:after="0"/>
        <w:rPr>
          <w:rFonts w:ascii="Times New Roman" w:cs="Times New Roman" w:eastAsia="Times New Roman" w:hAnsi="Times New Roman"/>
          <w:sz w:val="14"/>
          <w:szCs w:val="14"/>
          <w:u w:val="single" w:color="auto"/>
          <w:color w:val="0000FF"/>
        </w:rPr>
      </w:pPr>
      <w:hyperlink r:id="rId513">
        <w:r>
          <w:rPr>
            <w:rFonts w:ascii="Times New Roman" w:cs="Times New Roman" w:eastAsia="Times New Roman" w:hAnsi="Times New Roman"/>
            <w:sz w:val="14"/>
            <w:szCs w:val="14"/>
            <w:u w:val="single" w:color="auto"/>
            <w:color w:val="0000FF"/>
          </w:rPr>
          <w:t>3.2</w:t>
        </w:r>
      </w:hyperlink>
    </w:p>
    <w:p>
      <w:pPr>
        <w:spacing w:after="0" w:line="271" w:lineRule="exact"/>
        <w:rPr>
          <w:sz w:val="20"/>
          <w:szCs w:val="20"/>
          <w:color w:val="auto"/>
        </w:rPr>
      </w:pPr>
    </w:p>
    <w:p>
      <w:pPr>
        <w:ind w:left="20"/>
        <w:spacing w:after="0"/>
        <w:rPr>
          <w:rFonts w:ascii="Times New Roman" w:cs="Times New Roman" w:eastAsia="Times New Roman" w:hAnsi="Times New Roman"/>
          <w:sz w:val="14"/>
          <w:szCs w:val="14"/>
          <w:u w:val="single" w:color="auto"/>
          <w:color w:val="0000FF"/>
        </w:rPr>
      </w:pPr>
      <w:hyperlink r:id="rId514">
        <w:r>
          <w:rPr>
            <w:rFonts w:ascii="Times New Roman" w:cs="Times New Roman" w:eastAsia="Times New Roman" w:hAnsi="Times New Roman"/>
            <w:sz w:val="14"/>
            <w:szCs w:val="14"/>
            <w:u w:val="single" w:color="auto"/>
            <w:color w:val="0000FF"/>
          </w:rPr>
          <w:t>3.3</w:t>
        </w:r>
      </w:hyperlink>
    </w:p>
    <w:p>
      <w:pPr>
        <w:spacing w:after="0" w:line="271" w:lineRule="exact"/>
        <w:rPr>
          <w:sz w:val="20"/>
          <w:szCs w:val="20"/>
          <w:color w:val="auto"/>
        </w:rPr>
      </w:pPr>
    </w:p>
    <w:p>
      <w:pPr>
        <w:ind w:left="20"/>
        <w:spacing w:after="0"/>
        <w:rPr>
          <w:rFonts w:ascii="Times New Roman" w:cs="Times New Roman" w:eastAsia="Times New Roman" w:hAnsi="Times New Roman"/>
          <w:sz w:val="14"/>
          <w:szCs w:val="14"/>
          <w:u w:val="single" w:color="auto"/>
          <w:color w:val="0000FF"/>
        </w:rPr>
      </w:pPr>
      <w:hyperlink r:id="rId515">
        <w:r>
          <w:rPr>
            <w:rFonts w:ascii="Times New Roman" w:cs="Times New Roman" w:eastAsia="Times New Roman" w:hAnsi="Times New Roman"/>
            <w:sz w:val="14"/>
            <w:szCs w:val="14"/>
            <w:u w:val="single" w:color="auto"/>
            <w:color w:val="0000FF"/>
          </w:rPr>
          <w:t>3.4</w:t>
        </w:r>
      </w:hyperlink>
    </w:p>
    <w:p>
      <w:pPr>
        <w:spacing w:after="0" w:line="271" w:lineRule="exact"/>
        <w:rPr>
          <w:sz w:val="20"/>
          <w:szCs w:val="20"/>
          <w:color w:val="auto"/>
        </w:rPr>
      </w:pPr>
    </w:p>
    <w:p>
      <w:pPr>
        <w:ind w:left="20"/>
        <w:spacing w:after="0"/>
        <w:rPr>
          <w:rFonts w:ascii="Times New Roman" w:cs="Times New Roman" w:eastAsia="Times New Roman" w:hAnsi="Times New Roman"/>
          <w:sz w:val="14"/>
          <w:szCs w:val="14"/>
          <w:u w:val="single" w:color="auto"/>
          <w:color w:val="0000FF"/>
        </w:rPr>
      </w:pPr>
      <w:hyperlink r:id="rId516">
        <w:r>
          <w:rPr>
            <w:rFonts w:ascii="Times New Roman" w:cs="Times New Roman" w:eastAsia="Times New Roman" w:hAnsi="Times New Roman"/>
            <w:sz w:val="14"/>
            <w:szCs w:val="14"/>
            <w:u w:val="single" w:color="auto"/>
            <w:color w:val="0000FF"/>
          </w:rPr>
          <w:t>3.5</w:t>
        </w:r>
      </w:hyperlink>
    </w:p>
    <w:p>
      <w:pPr>
        <w:spacing w:after="0" w:line="271" w:lineRule="exact"/>
        <w:rPr>
          <w:sz w:val="20"/>
          <w:szCs w:val="20"/>
          <w:color w:val="auto"/>
        </w:rPr>
      </w:pPr>
    </w:p>
    <w:p>
      <w:pPr>
        <w:ind w:left="20"/>
        <w:spacing w:after="0"/>
        <w:rPr>
          <w:rFonts w:ascii="Times New Roman" w:cs="Times New Roman" w:eastAsia="Times New Roman" w:hAnsi="Times New Roman"/>
          <w:sz w:val="14"/>
          <w:szCs w:val="14"/>
          <w:u w:val="single" w:color="auto"/>
          <w:color w:val="0000FF"/>
        </w:rPr>
      </w:pPr>
      <w:hyperlink r:id="rId517">
        <w:r>
          <w:rPr>
            <w:rFonts w:ascii="Times New Roman" w:cs="Times New Roman" w:eastAsia="Times New Roman" w:hAnsi="Times New Roman"/>
            <w:sz w:val="14"/>
            <w:szCs w:val="14"/>
            <w:u w:val="single" w:color="auto"/>
            <w:color w:val="0000FF"/>
          </w:rPr>
          <w:t>3.6</w:t>
        </w:r>
      </w:hyperlink>
    </w:p>
    <w:p>
      <w:pPr>
        <w:spacing w:after="0" w:line="271" w:lineRule="exact"/>
        <w:rPr>
          <w:sz w:val="20"/>
          <w:szCs w:val="20"/>
          <w:color w:val="auto"/>
        </w:rPr>
      </w:pPr>
    </w:p>
    <w:p>
      <w:pPr>
        <w:ind w:left="20"/>
        <w:spacing w:after="0"/>
        <w:rPr>
          <w:rFonts w:ascii="Times New Roman" w:cs="Times New Roman" w:eastAsia="Times New Roman" w:hAnsi="Times New Roman"/>
          <w:sz w:val="14"/>
          <w:szCs w:val="14"/>
          <w:u w:val="single" w:color="auto"/>
          <w:color w:val="0000FF"/>
        </w:rPr>
      </w:pPr>
      <w:hyperlink r:id="rId518">
        <w:r>
          <w:rPr>
            <w:rFonts w:ascii="Times New Roman" w:cs="Times New Roman" w:eastAsia="Times New Roman" w:hAnsi="Times New Roman"/>
            <w:sz w:val="14"/>
            <w:szCs w:val="14"/>
            <w:u w:val="single" w:color="auto"/>
            <w:color w:val="0000FF"/>
          </w:rPr>
          <w:t>3.7</w:t>
        </w:r>
      </w:hyperlink>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10.1</w:t>
      </w: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10.2</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31.1</w:t>
      </w: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31.2</w:t>
      </w: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32.1</w:t>
      </w: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32.2</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644652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9">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45"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512">
        <w:r>
          <w:rPr>
            <w:rFonts w:ascii="Times New Roman" w:cs="Times New Roman" w:eastAsia="Times New Roman" w:hAnsi="Times New Roman"/>
            <w:sz w:val="14"/>
            <w:szCs w:val="14"/>
            <w:u w:val="single" w:color="auto"/>
            <w:color w:val="0000FF"/>
          </w:rPr>
          <w:t xml:space="preserve">Articles of Amendment and Restatement </w:t>
        </w:r>
        <w:r>
          <w:rPr>
            <w:rFonts w:ascii="Times New Roman" w:cs="Times New Roman" w:eastAsia="Times New Roman" w:hAnsi="Times New Roman"/>
            <w:sz w:val="19"/>
            <w:szCs w:val="19"/>
            <w:u w:val="single" w:color="auto"/>
            <w:color w:val="0000FF"/>
            <w:vertAlign w:val="superscript"/>
          </w:rPr>
          <w:t>(1)</w:t>
        </w:r>
      </w:hyperlink>
    </w:p>
    <w:p>
      <w:pPr>
        <w:spacing w:after="0" w:line="214"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513">
        <w:r>
          <w:rPr>
            <w:rFonts w:ascii="Times New Roman" w:cs="Times New Roman" w:eastAsia="Times New Roman" w:hAnsi="Times New Roman"/>
            <w:sz w:val="14"/>
            <w:szCs w:val="14"/>
            <w:u w:val="single" w:color="auto"/>
            <w:color w:val="0000FF"/>
          </w:rPr>
          <w:t xml:space="preserve">Articles of Amendment </w:t>
        </w:r>
        <w:r>
          <w:rPr>
            <w:rFonts w:ascii="Times New Roman" w:cs="Times New Roman" w:eastAsia="Times New Roman" w:hAnsi="Times New Roman"/>
            <w:sz w:val="19"/>
            <w:szCs w:val="19"/>
            <w:u w:val="single" w:color="auto"/>
            <w:color w:val="0000FF"/>
            <w:vertAlign w:val="superscript"/>
          </w:rPr>
          <w:t>(4)</w:t>
        </w:r>
      </w:hyperlink>
    </w:p>
    <w:p>
      <w:pPr>
        <w:spacing w:after="0" w:line="214"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514">
        <w:r>
          <w:rPr>
            <w:rFonts w:ascii="Times New Roman" w:cs="Times New Roman" w:eastAsia="Times New Roman" w:hAnsi="Times New Roman"/>
            <w:sz w:val="14"/>
            <w:szCs w:val="14"/>
            <w:u w:val="single" w:color="auto"/>
            <w:color w:val="0000FF"/>
          </w:rPr>
          <w:t xml:space="preserve">Certificate of Limited Partnership of CapitalSouth Partners Fund II Limited Partnership </w:t>
        </w:r>
        <w:r>
          <w:rPr>
            <w:rFonts w:ascii="Times New Roman" w:cs="Times New Roman" w:eastAsia="Times New Roman" w:hAnsi="Times New Roman"/>
            <w:sz w:val="19"/>
            <w:szCs w:val="19"/>
            <w:u w:val="single" w:color="auto"/>
            <w:color w:val="0000FF"/>
            <w:vertAlign w:val="superscript"/>
          </w:rPr>
          <w:t>(2)</w:t>
        </w:r>
      </w:hyperlink>
    </w:p>
    <w:p>
      <w:pPr>
        <w:spacing w:after="0" w:line="214"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515">
        <w:r>
          <w:rPr>
            <w:rFonts w:ascii="Times New Roman" w:cs="Times New Roman" w:eastAsia="Times New Roman" w:hAnsi="Times New Roman"/>
            <w:sz w:val="14"/>
            <w:szCs w:val="14"/>
            <w:u w:val="single" w:color="auto"/>
            <w:color w:val="0000FF"/>
          </w:rPr>
          <w:t xml:space="preserve">Certificate of Limited Partnership of CapitalSouth Fund III, L.P. (f/k/a CapitalSouth Partners SBIC Fund III, L.P.) </w:t>
        </w:r>
        <w:r>
          <w:rPr>
            <w:rFonts w:ascii="Times New Roman" w:cs="Times New Roman" w:eastAsia="Times New Roman" w:hAnsi="Times New Roman"/>
            <w:sz w:val="19"/>
            <w:szCs w:val="19"/>
            <w:u w:val="single" w:color="auto"/>
            <w:color w:val="0000FF"/>
            <w:vertAlign w:val="superscript"/>
          </w:rPr>
          <w:t>(2)</w:t>
        </w:r>
      </w:hyperlink>
    </w:p>
    <w:p>
      <w:pPr>
        <w:spacing w:after="0" w:line="214"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516">
        <w:r>
          <w:rPr>
            <w:rFonts w:ascii="Times New Roman" w:cs="Times New Roman" w:eastAsia="Times New Roman" w:hAnsi="Times New Roman"/>
            <w:sz w:val="14"/>
            <w:szCs w:val="14"/>
            <w:u w:val="single" w:color="auto"/>
            <w:color w:val="0000FF"/>
          </w:rPr>
          <w:t xml:space="preserve">Bylaws </w:t>
        </w:r>
        <w:r>
          <w:rPr>
            <w:rFonts w:ascii="Times New Roman" w:cs="Times New Roman" w:eastAsia="Times New Roman" w:hAnsi="Times New Roman"/>
            <w:sz w:val="19"/>
            <w:szCs w:val="19"/>
            <w:u w:val="single" w:color="auto"/>
            <w:color w:val="0000FF"/>
            <w:vertAlign w:val="superscript"/>
          </w:rPr>
          <w:t>(1)</w:t>
        </w:r>
      </w:hyperlink>
    </w:p>
    <w:p>
      <w:pPr>
        <w:spacing w:after="0" w:line="214"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517">
        <w:r>
          <w:rPr>
            <w:rFonts w:ascii="Times New Roman" w:cs="Times New Roman" w:eastAsia="Times New Roman" w:hAnsi="Times New Roman"/>
            <w:sz w:val="14"/>
            <w:szCs w:val="14"/>
            <w:u w:val="single" w:color="auto"/>
            <w:color w:val="0000FF"/>
          </w:rPr>
          <w:t xml:space="preserve">Form of Amended and Restated Limited Partnership Agreement of CapitalSouth Partners Fund II Limited Partnership </w:t>
        </w:r>
        <w:r>
          <w:rPr>
            <w:rFonts w:ascii="Times New Roman" w:cs="Times New Roman" w:eastAsia="Times New Roman" w:hAnsi="Times New Roman"/>
            <w:sz w:val="19"/>
            <w:szCs w:val="19"/>
            <w:u w:val="single" w:color="auto"/>
            <w:color w:val="0000FF"/>
            <w:vertAlign w:val="superscript"/>
          </w:rPr>
          <w:t>(3)</w:t>
        </w:r>
      </w:hyperlink>
    </w:p>
    <w:p>
      <w:pPr>
        <w:spacing w:after="0" w:line="192" w:lineRule="exact"/>
        <w:rPr>
          <w:sz w:val="20"/>
          <w:szCs w:val="20"/>
          <w:color w:val="auto"/>
        </w:rPr>
      </w:pPr>
    </w:p>
    <w:p>
      <w:pPr>
        <w:spacing w:after="0" w:line="237" w:lineRule="auto"/>
        <w:rPr>
          <w:rFonts w:ascii="Times New Roman" w:cs="Times New Roman" w:eastAsia="Times New Roman" w:hAnsi="Times New Roman"/>
          <w:sz w:val="14"/>
          <w:szCs w:val="14"/>
          <w:u w:val="single" w:color="auto"/>
          <w:color w:val="0000FF"/>
        </w:rPr>
      </w:pPr>
      <w:hyperlink r:id="rId518">
        <w:r>
          <w:rPr>
            <w:rFonts w:ascii="Times New Roman" w:cs="Times New Roman" w:eastAsia="Times New Roman" w:hAnsi="Times New Roman"/>
            <w:sz w:val="14"/>
            <w:szCs w:val="14"/>
            <w:u w:val="single" w:color="auto"/>
            <w:color w:val="0000FF"/>
          </w:rPr>
          <w:t>Form of Amended and Restated Agreement of Limited Partnership of Certificate of Limited Partnership of CapitalSouth Fund III, L.P. (f/k/a CapitalSouth Partners SBIC Fund</w:t>
        </w:r>
      </w:hyperlink>
      <w:r>
        <w:rPr>
          <w:rFonts w:ascii="Times New Roman" w:cs="Times New Roman" w:eastAsia="Times New Roman" w:hAnsi="Times New Roman"/>
          <w:sz w:val="14"/>
          <w:szCs w:val="14"/>
          <w:u w:val="single" w:color="auto"/>
          <w:color w:val="0000FF"/>
        </w:rPr>
        <w:t xml:space="preserve"> </w:t>
      </w:r>
      <w:hyperlink r:id="rId518">
        <w:r>
          <w:rPr>
            <w:rFonts w:ascii="Times New Roman" w:cs="Times New Roman" w:eastAsia="Times New Roman" w:hAnsi="Times New Roman"/>
            <w:sz w:val="14"/>
            <w:szCs w:val="14"/>
            <w:u w:val="single" w:color="auto"/>
            <w:color w:val="0000FF"/>
          </w:rPr>
          <w:t xml:space="preserve">III, L.P.) </w:t>
        </w:r>
        <w:r>
          <w:rPr>
            <w:rFonts w:ascii="Times New Roman" w:cs="Times New Roman" w:eastAsia="Times New Roman" w:hAnsi="Times New Roman"/>
            <w:sz w:val="19"/>
            <w:szCs w:val="19"/>
            <w:u w:val="single" w:color="auto"/>
            <w:color w:val="0000FF"/>
            <w:vertAlign w:val="superscript"/>
          </w:rPr>
          <w:t>(3)</w:t>
        </w:r>
      </w:hyperlink>
    </w:p>
    <w:p>
      <w:pPr>
        <w:spacing w:after="0" w:line="200"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520">
        <w:r>
          <w:rPr>
            <w:rFonts w:ascii="Times New Roman" w:cs="Times New Roman" w:eastAsia="Times New Roman" w:hAnsi="Times New Roman"/>
            <w:sz w:val="14"/>
            <w:szCs w:val="14"/>
            <w:u w:val="single" w:color="auto"/>
            <w:color w:val="0000FF"/>
          </w:rPr>
          <w:t xml:space="preserve">Note Purchase Agreement, dated as of April 1, 2022, by and among Logan Ridge Finance Corporation and the Purchasers (as defined therein.) </w:t>
        </w:r>
        <w:r>
          <w:rPr>
            <w:rFonts w:ascii="Times New Roman" w:cs="Times New Roman" w:eastAsia="Times New Roman" w:hAnsi="Times New Roman"/>
            <w:sz w:val="19"/>
            <w:szCs w:val="19"/>
            <w:u w:val="single" w:color="auto"/>
            <w:color w:val="0000FF"/>
            <w:vertAlign w:val="superscript"/>
          </w:rPr>
          <w:t>(5)</w:t>
        </w:r>
      </w:hyperlink>
    </w:p>
    <w:p>
      <w:pPr>
        <w:spacing w:after="0" w:line="192" w:lineRule="exact"/>
        <w:rPr>
          <w:sz w:val="20"/>
          <w:szCs w:val="20"/>
          <w:color w:val="auto"/>
        </w:rPr>
      </w:pPr>
    </w:p>
    <w:p>
      <w:pPr>
        <w:jc w:val="both"/>
        <w:ind w:right="60"/>
        <w:spacing w:after="0" w:line="232" w:lineRule="auto"/>
        <w:rPr>
          <w:rFonts w:ascii="Times New Roman" w:cs="Times New Roman" w:eastAsia="Times New Roman" w:hAnsi="Times New Roman"/>
          <w:sz w:val="14"/>
          <w:szCs w:val="14"/>
          <w:color w:val="0000FF"/>
        </w:rPr>
      </w:pPr>
      <w:hyperlink r:id="rId521">
        <w:r>
          <w:rPr>
            <w:rFonts w:ascii="Times New Roman" w:cs="Times New Roman" w:eastAsia="Times New Roman" w:hAnsi="Times New Roman"/>
            <w:sz w:val="14"/>
            <w:szCs w:val="14"/>
            <w:u w:val="single" w:color="auto"/>
            <w:color w:val="0000FF"/>
          </w:rPr>
          <w:t>Form of Revolving Credit and Security Agreement, dated as of May 10, 2022, among Capitala Business Lending, LLC, as the borrower, Mount Logan Management, LLC, as</w:t>
        </w:r>
      </w:hyperlink>
      <w:r>
        <w:rPr>
          <w:rFonts w:ascii="Times New Roman" w:cs="Times New Roman" w:eastAsia="Times New Roman" w:hAnsi="Times New Roman"/>
          <w:sz w:val="14"/>
          <w:szCs w:val="14"/>
          <w:u w:val="single" w:color="auto"/>
          <w:color w:val="0000FF"/>
        </w:rPr>
        <w:t xml:space="preserve"> </w:t>
      </w:r>
      <w:hyperlink r:id="rId521">
        <w:r>
          <w:rPr>
            <w:rFonts w:ascii="Times New Roman" w:cs="Times New Roman" w:eastAsia="Times New Roman" w:hAnsi="Times New Roman"/>
            <w:sz w:val="14"/>
            <w:szCs w:val="14"/>
            <w:u w:val="single" w:color="auto"/>
            <w:color w:val="0000FF"/>
          </w:rPr>
          <w:t>the collateral manager, the lenders from to time to time parties thereto, KeyBank National Association, as the administrative agent, and U.S. Bank National Association, as the</w:t>
        </w:r>
      </w:hyperlink>
      <w:r>
        <w:rPr>
          <w:rFonts w:ascii="Times New Roman" w:cs="Times New Roman" w:eastAsia="Times New Roman" w:hAnsi="Times New Roman"/>
          <w:sz w:val="14"/>
          <w:szCs w:val="14"/>
          <w:u w:val="single" w:color="auto"/>
          <w:color w:val="0000FF"/>
        </w:rPr>
        <w:t xml:space="preserve"> </w:t>
      </w:r>
      <w:hyperlink r:id="rId521">
        <w:r>
          <w:rPr>
            <w:rFonts w:ascii="Times New Roman" w:cs="Times New Roman" w:eastAsia="Times New Roman" w:hAnsi="Times New Roman"/>
            <w:sz w:val="14"/>
            <w:szCs w:val="14"/>
            <w:u w:val="single" w:color="auto"/>
            <w:color w:val="0000FF"/>
          </w:rPr>
          <w:t>custodian.</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9"/>
            <w:szCs w:val="19"/>
            <w:color w:val="000000"/>
            <w:vertAlign w:val="superscript"/>
          </w:rPr>
          <w:t>(6</w:t>
        </w:r>
      </w:hyperlink>
    </w:p>
    <w:p>
      <w:pPr>
        <w:spacing w:after="0" w:line="180" w:lineRule="exact"/>
        <w:rPr>
          <w:rFonts w:ascii="Times New Roman" w:cs="Times New Roman" w:eastAsia="Times New Roman" w:hAnsi="Times New Roman"/>
          <w:sz w:val="14"/>
          <w:szCs w:val="14"/>
          <w:u w:val="single" w:color="auto"/>
          <w:color w:val="0000FF"/>
        </w:rPr>
      </w:pPr>
    </w:p>
    <w:p>
      <w:pPr>
        <w:spacing w:after="0" w:line="261" w:lineRule="auto"/>
        <w:rPr>
          <w:sz w:val="20"/>
          <w:szCs w:val="20"/>
          <w:color w:val="auto"/>
        </w:rPr>
      </w:pPr>
      <w:r>
        <w:rPr>
          <w:rFonts w:ascii="Times New Roman" w:cs="Times New Roman" w:eastAsia="Times New Roman" w:hAnsi="Times New Roman"/>
          <w:sz w:val="14"/>
          <w:szCs w:val="14"/>
          <w:u w:val="single" w:color="auto"/>
          <w:color w:val="0000FF"/>
        </w:rPr>
        <w:t>Certification of Chief Executive Officer pursuant to Rule 13a-14 of the Securities Exchange Act of 1934, as adopted pursuant to Section 302 of the Sarbanes-Oxley Act of 2002 (filed herewith)</w:t>
      </w:r>
    </w:p>
    <w:p>
      <w:pPr>
        <w:spacing w:after="0" w:line="190" w:lineRule="exact"/>
        <w:rPr>
          <w:rFonts w:ascii="Times New Roman" w:cs="Times New Roman" w:eastAsia="Times New Roman" w:hAnsi="Times New Roman"/>
          <w:sz w:val="14"/>
          <w:szCs w:val="14"/>
          <w:u w:val="single" w:color="auto"/>
          <w:color w:val="0000FF"/>
        </w:rPr>
      </w:pPr>
    </w:p>
    <w:p>
      <w:pPr>
        <w:spacing w:after="0" w:line="261" w:lineRule="auto"/>
        <w:rPr>
          <w:sz w:val="20"/>
          <w:szCs w:val="20"/>
          <w:color w:val="auto"/>
        </w:rPr>
      </w:pPr>
      <w:r>
        <w:rPr>
          <w:rFonts w:ascii="Times New Roman" w:cs="Times New Roman" w:eastAsia="Times New Roman" w:hAnsi="Times New Roman"/>
          <w:sz w:val="14"/>
          <w:szCs w:val="14"/>
          <w:u w:val="single" w:color="auto"/>
          <w:color w:val="0000FF"/>
        </w:rPr>
        <w:t>Certification of Chief Financial Officer pursuant to Rule 13a-14 of the Securities Exchange Act of 1934, as adopted pursuant to Section 302 of the Sarbanes-Oxley Act of 2002 (filed herewith)</w:t>
      </w:r>
    </w:p>
    <w:p>
      <w:pPr>
        <w:spacing w:after="0" w:line="230" w:lineRule="exact"/>
        <w:rPr>
          <w:rFonts w:ascii="Times New Roman" w:cs="Times New Roman" w:eastAsia="Times New Roman" w:hAnsi="Times New Roman"/>
          <w:sz w:val="14"/>
          <w:szCs w:val="14"/>
          <w:u w:val="single" w:color="auto"/>
          <w:color w:val="0000FF"/>
        </w:rPr>
      </w:pPr>
    </w:p>
    <w:p>
      <w:pPr>
        <w:spacing w:after="0"/>
        <w:rPr>
          <w:sz w:val="20"/>
          <w:szCs w:val="20"/>
          <w:color w:val="auto"/>
        </w:rPr>
      </w:pPr>
      <w:r>
        <w:rPr>
          <w:rFonts w:ascii="Times New Roman" w:cs="Times New Roman" w:eastAsia="Times New Roman" w:hAnsi="Times New Roman"/>
          <w:sz w:val="14"/>
          <w:szCs w:val="14"/>
          <w:u w:val="single" w:color="auto"/>
          <w:color w:val="0000FF"/>
        </w:rPr>
        <w:t>Certification of Chief Executive Officer pursuant to 18 U.S.C. Section 1350, as adopted pursuant to section 906 of the Sarbanes-Oxley Act of 2002 (filed herewith)</w:t>
      </w:r>
    </w:p>
    <w:p>
      <w:pPr>
        <w:spacing w:after="0" w:line="271" w:lineRule="exact"/>
        <w:rPr>
          <w:rFonts w:ascii="Times New Roman" w:cs="Times New Roman" w:eastAsia="Times New Roman" w:hAnsi="Times New Roman"/>
          <w:sz w:val="14"/>
          <w:szCs w:val="14"/>
          <w:u w:val="single" w:color="auto"/>
          <w:color w:val="0000FF"/>
        </w:rPr>
      </w:pPr>
    </w:p>
    <w:p>
      <w:pPr>
        <w:spacing w:after="0"/>
        <w:rPr>
          <w:sz w:val="20"/>
          <w:szCs w:val="20"/>
          <w:color w:val="auto"/>
        </w:rPr>
      </w:pPr>
      <w:r>
        <w:rPr>
          <w:rFonts w:ascii="Times New Roman" w:cs="Times New Roman" w:eastAsia="Times New Roman" w:hAnsi="Times New Roman"/>
          <w:sz w:val="14"/>
          <w:szCs w:val="14"/>
          <w:u w:val="single" w:color="auto"/>
          <w:color w:val="0000FF"/>
        </w:rPr>
        <w:t>Certification of Chief Financial Officer pursuant to 18 U.S.C. Section 1350, as adopted pursuant to section 906 of the Sarbanes-Oxley Act of 2002 (filed herewith)</w:t>
      </w:r>
    </w:p>
    <w:p>
      <w:pPr>
        <w:spacing w:after="0" w:line="231" w:lineRule="exact"/>
        <w:rPr>
          <w:rFonts w:ascii="Times New Roman" w:cs="Times New Roman" w:eastAsia="Times New Roman" w:hAnsi="Times New Roman"/>
          <w:sz w:val="14"/>
          <w:szCs w:val="14"/>
          <w:u w:val="single" w:color="auto"/>
          <w:color w:val="0000FF"/>
        </w:rPr>
      </w:pPr>
    </w:p>
    <w:p>
      <w:pPr>
        <w:spacing w:after="0" w:line="261" w:lineRule="auto"/>
        <w:rPr>
          <w:sz w:val="20"/>
          <w:szCs w:val="20"/>
          <w:color w:val="auto"/>
        </w:rPr>
      </w:pPr>
      <w:r>
        <w:rPr>
          <w:rFonts w:ascii="Times New Roman" w:cs="Times New Roman" w:eastAsia="Times New Roman" w:hAnsi="Times New Roman"/>
          <w:sz w:val="14"/>
          <w:szCs w:val="14"/>
          <w:color w:val="auto"/>
        </w:rPr>
        <w:t>Previously filed in connection with the Pre-Effective Amendment No. 1 to Logan Ridge Finance Corporation’s registration statement on Form N-2 (File No. 333-188956) filed on September 9, 2013.</w:t>
      </w:r>
    </w:p>
    <w:p>
      <w:pPr>
        <w:spacing w:after="0" w:line="107" w:lineRule="exact"/>
        <w:rPr>
          <w:rFonts w:ascii="Times New Roman" w:cs="Times New Roman" w:eastAsia="Times New Roman" w:hAnsi="Times New Roman"/>
          <w:sz w:val="14"/>
          <w:szCs w:val="14"/>
          <w:u w:val="single" w:color="auto"/>
          <w:color w:val="0000FF"/>
        </w:rPr>
      </w:pPr>
    </w:p>
    <w:p>
      <w:pPr>
        <w:sectPr>
          <w:pgSz w:w="11900" w:h="16838" w:orient="portrait"/>
          <w:cols w:equalWidth="0" w:num="2">
            <w:col w:w="540" w:space="560"/>
            <w:col w:w="10120"/>
          </w:cols>
          <w:pgMar w:left="320" w:top="533"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rFonts w:ascii="Times New Roman" w:cs="Times New Roman" w:eastAsia="Times New Roman" w:hAnsi="Times New Roman"/>
          <w:sz w:val="14"/>
          <w:szCs w:val="14"/>
          <w:u w:val="single" w:color="auto"/>
          <w:color w:val="0000FF"/>
        </w:rPr>
      </w:pPr>
    </w:p>
    <w:p>
      <w:pPr>
        <w:spacing w:after="0" w:line="202" w:lineRule="exact"/>
        <w:rPr>
          <w:rFonts w:ascii="Times New Roman" w:cs="Times New Roman" w:eastAsia="Times New Roman" w:hAnsi="Times New Roman"/>
          <w:sz w:val="14"/>
          <w:szCs w:val="14"/>
          <w:u w:val="single" w:color="auto"/>
          <w:color w:val="0000FF"/>
        </w:rPr>
      </w:pPr>
    </w:p>
    <w:p>
      <w:pPr>
        <w:ind w:left="20"/>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rFonts w:ascii="Times New Roman" w:cs="Times New Roman" w:eastAsia="Times New Roman" w:hAnsi="Times New Roman"/>
          <w:sz w:val="14"/>
          <w:szCs w:val="14"/>
          <w:u w:val="single" w:color="auto"/>
          <w:color w:val="0000FF"/>
        </w:rPr>
      </w:pPr>
    </w:p>
    <w:p>
      <w:pPr>
        <w:spacing w:after="0" w:line="202" w:lineRule="exact"/>
        <w:rPr>
          <w:rFonts w:ascii="Times New Roman" w:cs="Times New Roman" w:eastAsia="Times New Roman" w:hAnsi="Times New Roman"/>
          <w:sz w:val="14"/>
          <w:szCs w:val="14"/>
          <w:u w:val="single" w:color="auto"/>
          <w:color w:val="0000FF"/>
        </w:rPr>
      </w:pPr>
    </w:p>
    <w:p>
      <w:pPr>
        <w:ind w:left="20"/>
        <w:spacing w:after="0"/>
        <w:rPr>
          <w:sz w:val="20"/>
          <w:szCs w:val="20"/>
          <w:color w:val="auto"/>
        </w:rPr>
      </w:pPr>
      <w:r>
        <w:rPr>
          <w:rFonts w:ascii="Times New Roman" w:cs="Times New Roman" w:eastAsia="Times New Roman" w:hAnsi="Times New Roman"/>
          <w:sz w:val="12"/>
          <w:szCs w:val="12"/>
          <w:color w:val="auto"/>
        </w:rPr>
        <w:t>(4)</w:t>
      </w:r>
    </w:p>
    <w:p>
      <w:pPr>
        <w:spacing w:after="0" w:line="294" w:lineRule="exact"/>
        <w:rPr>
          <w:rFonts w:ascii="Times New Roman" w:cs="Times New Roman" w:eastAsia="Times New Roman" w:hAnsi="Times New Roman"/>
          <w:sz w:val="14"/>
          <w:szCs w:val="14"/>
          <w:u w:val="single" w:color="auto"/>
          <w:color w:val="0000FF"/>
        </w:rPr>
      </w:pPr>
    </w:p>
    <w:p>
      <w:pPr>
        <w:ind w:left="20"/>
        <w:spacing w:after="0"/>
        <w:rPr>
          <w:sz w:val="20"/>
          <w:szCs w:val="20"/>
          <w:color w:val="auto"/>
        </w:rPr>
      </w:pPr>
      <w:r>
        <w:rPr>
          <w:rFonts w:ascii="Times New Roman" w:cs="Times New Roman" w:eastAsia="Times New Roman" w:hAnsi="Times New Roman"/>
          <w:sz w:val="12"/>
          <w:szCs w:val="12"/>
          <w:color w:val="auto"/>
        </w:rPr>
        <w:t>(5)</w:t>
      </w:r>
    </w:p>
    <w:p>
      <w:pPr>
        <w:spacing w:after="0" w:line="294" w:lineRule="exact"/>
        <w:rPr>
          <w:rFonts w:ascii="Times New Roman" w:cs="Times New Roman" w:eastAsia="Times New Roman" w:hAnsi="Times New Roman"/>
          <w:sz w:val="14"/>
          <w:szCs w:val="14"/>
          <w:u w:val="single" w:color="auto"/>
          <w:color w:val="0000FF"/>
        </w:rPr>
      </w:pPr>
    </w:p>
    <w:p>
      <w:pPr>
        <w:ind w:left="2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br w:type="column"/>
      </w:r>
    </w:p>
    <w:p>
      <w:pPr>
        <w:spacing w:after="0" w:line="63" w:lineRule="exact"/>
        <w:rPr>
          <w:rFonts w:ascii="Times New Roman" w:cs="Times New Roman" w:eastAsia="Times New Roman" w:hAnsi="Times New Roman"/>
          <w:sz w:val="14"/>
          <w:szCs w:val="14"/>
          <w:u w:val="single" w:color="auto"/>
          <w:color w:val="0000FF"/>
        </w:rPr>
      </w:pPr>
    </w:p>
    <w:p>
      <w:pPr>
        <w:spacing w:after="0" w:line="261" w:lineRule="auto"/>
        <w:rPr>
          <w:sz w:val="20"/>
          <w:szCs w:val="20"/>
          <w:color w:val="auto"/>
        </w:rPr>
      </w:pPr>
      <w:r>
        <w:rPr>
          <w:rFonts w:ascii="Times New Roman" w:cs="Times New Roman" w:eastAsia="Times New Roman" w:hAnsi="Times New Roman"/>
          <w:sz w:val="14"/>
          <w:szCs w:val="14"/>
          <w:color w:val="auto"/>
        </w:rPr>
        <w:t>Previously filed in connection with Pre-Effective Amendment No. 2 to Logan Ridge Finance Corporation’s registration statement on Form N-2 (File No. 333-188956) filed on September 17, 2013.</w:t>
      </w:r>
    </w:p>
    <w:p>
      <w:pPr>
        <w:spacing w:after="0" w:line="190" w:lineRule="exact"/>
        <w:rPr>
          <w:rFonts w:ascii="Times New Roman" w:cs="Times New Roman" w:eastAsia="Times New Roman" w:hAnsi="Times New Roman"/>
          <w:sz w:val="14"/>
          <w:szCs w:val="14"/>
          <w:u w:val="single" w:color="auto"/>
          <w:color w:val="0000FF"/>
        </w:rPr>
      </w:pPr>
    </w:p>
    <w:p>
      <w:pPr>
        <w:spacing w:after="0" w:line="261" w:lineRule="auto"/>
        <w:rPr>
          <w:sz w:val="20"/>
          <w:szCs w:val="20"/>
          <w:color w:val="auto"/>
        </w:rPr>
      </w:pPr>
      <w:r>
        <w:rPr>
          <w:rFonts w:ascii="Times New Roman" w:cs="Times New Roman" w:eastAsia="Times New Roman" w:hAnsi="Times New Roman"/>
          <w:sz w:val="14"/>
          <w:szCs w:val="14"/>
          <w:color w:val="auto"/>
        </w:rPr>
        <w:t>Previously filed in connection with Pre-Effective Amendment No. 5 to Logan Ridge Finance Corporation’s registration statement on Form N-2 (File No. 333-188956) filed on September 24, 2013.</w:t>
      </w:r>
    </w:p>
    <w:p>
      <w:pPr>
        <w:spacing w:after="0" w:line="230" w:lineRule="exact"/>
        <w:rPr>
          <w:rFonts w:ascii="Times New Roman" w:cs="Times New Roman" w:eastAsia="Times New Roman" w:hAnsi="Times New Roman"/>
          <w:sz w:val="14"/>
          <w:szCs w:val="14"/>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Previously filed in connection with Logan Ridge Finance Corporation's report on Form 8-K on August 4, 2020.</w:t>
      </w:r>
    </w:p>
    <w:p>
      <w:pPr>
        <w:spacing w:after="0" w:line="271" w:lineRule="exact"/>
        <w:rPr>
          <w:rFonts w:ascii="Times New Roman" w:cs="Times New Roman" w:eastAsia="Times New Roman" w:hAnsi="Times New Roman"/>
          <w:sz w:val="14"/>
          <w:szCs w:val="14"/>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Previously filed in connection with Logan Ridge Finance Corporation's report on Form 8-K on April 6, 2022.</w:t>
      </w:r>
    </w:p>
    <w:p>
      <w:pPr>
        <w:spacing w:after="0" w:line="271" w:lineRule="exact"/>
        <w:rPr>
          <w:rFonts w:ascii="Times New Roman" w:cs="Times New Roman" w:eastAsia="Times New Roman" w:hAnsi="Times New Roman"/>
          <w:sz w:val="14"/>
          <w:szCs w:val="14"/>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Previously filed in connection with Logan Ridge Finance Corporation's report on Form 8-K on May 12, 2022.</w:t>
      </w:r>
    </w:p>
    <w:p>
      <w:pPr>
        <w:spacing w:after="0" w:line="200" w:lineRule="exact"/>
        <w:rPr>
          <w:rFonts w:ascii="Times New Roman" w:cs="Times New Roman" w:eastAsia="Times New Roman" w:hAnsi="Times New Roman"/>
          <w:sz w:val="14"/>
          <w:szCs w:val="14"/>
          <w:u w:val="single" w:color="auto"/>
          <w:color w:val="0000FF"/>
        </w:rPr>
      </w:pPr>
    </w:p>
    <w:p>
      <w:pPr>
        <w:spacing w:after="0" w:line="224" w:lineRule="exact"/>
        <w:rPr>
          <w:rFonts w:ascii="Times New Roman" w:cs="Times New Roman" w:eastAsia="Times New Roman" w:hAnsi="Times New Roman"/>
          <w:sz w:val="14"/>
          <w:szCs w:val="14"/>
          <w:u w:val="single" w:color="auto"/>
          <w:color w:val="0000FF"/>
        </w:rPr>
      </w:pPr>
    </w:p>
    <w:p>
      <w:pPr>
        <w:jc w:val="center"/>
        <w:ind w:right="10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-705485</wp:posOffset>
            </wp:positionH>
            <wp:positionV relativeFrom="paragraph">
              <wp:posOffset>64770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80" w:space="720"/>
            <w:col w:w="10120"/>
          </w:cols>
          <w:pgMar w:left="320" w:top="533" w:right="359" w:bottom="1440" w:gutter="0" w:footer="0" w:header="0"/>
          <w:type w:val="continuous"/>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authorized.</w:t>
      </w:r>
    </w:p>
    <w:p>
      <w:pPr>
        <w:spacing w:after="0" w:line="215" w:lineRule="exact"/>
        <w:rPr>
          <w:sz w:val="20"/>
          <w:szCs w:val="20"/>
          <w:color w:val="auto"/>
        </w:rPr>
      </w:pPr>
    </w:p>
    <w:p>
      <w:pPr>
        <w:ind w:left="20"/>
        <w:spacing w:after="0"/>
        <w:tabs>
          <w:tab w:leader="none" w:pos="5700" w:val="left"/>
          <w:tab w:leader="none" w:pos="6100" w:val="left"/>
        </w:tabs>
        <w:rPr>
          <w:sz w:val="20"/>
          <w:szCs w:val="20"/>
          <w:color w:val="auto"/>
        </w:rPr>
      </w:pPr>
      <w:r>
        <w:rPr>
          <w:rFonts w:ascii="Times New Roman" w:cs="Times New Roman" w:eastAsia="Times New Roman" w:hAnsi="Times New Roman"/>
          <w:sz w:val="14"/>
          <w:szCs w:val="14"/>
          <w:color w:val="auto"/>
        </w:rPr>
        <w:t>Date: August 9, 2022</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23495</wp:posOffset>
            </wp:positionV>
            <wp:extent cx="325755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color w:val="auto"/>
        </w:rPr>
        <w:t>Ted Goldthorpe</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color w:val="auto"/>
        </w:rPr>
        <w:t>Chief Executive Officer and President</w:t>
      </w:r>
    </w:p>
    <w:p>
      <w:pPr>
        <w:spacing w:after="0" w:line="1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1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color w:val="auto"/>
        </w:rPr>
        <w:t>Logan Ridge Finance Corporation</w:t>
      </w:r>
    </w:p>
    <w:p>
      <w:pPr>
        <w:spacing w:after="0" w:line="177" w:lineRule="exact"/>
        <w:rPr>
          <w:sz w:val="20"/>
          <w:szCs w:val="20"/>
          <w:color w:val="auto"/>
        </w:rPr>
      </w:pPr>
    </w:p>
    <w:p>
      <w:pPr>
        <w:ind w:left="20"/>
        <w:spacing w:after="0"/>
        <w:tabs>
          <w:tab w:leader="none" w:pos="5700" w:val="left"/>
          <w:tab w:leader="none" w:pos="6100" w:val="left"/>
        </w:tabs>
        <w:rPr>
          <w:sz w:val="20"/>
          <w:szCs w:val="20"/>
          <w:color w:val="auto"/>
        </w:rPr>
      </w:pPr>
      <w:r>
        <w:rPr>
          <w:rFonts w:ascii="Times New Roman" w:cs="Times New Roman" w:eastAsia="Times New Roman" w:hAnsi="Times New Roman"/>
          <w:sz w:val="14"/>
          <w:szCs w:val="14"/>
          <w:color w:val="auto"/>
        </w:rPr>
        <w:t>Date: August 9, 2022</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23495</wp:posOffset>
            </wp:positionV>
            <wp:extent cx="325755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color w:val="auto"/>
        </w:rPr>
        <w:t>Jason Roos</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4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5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color w:val="auto"/>
        </w:rPr>
        <w:t>Logan Ridge Finance Corporation</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7" w:right="35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17" w:lineRule="exact"/>
        <w:rPr>
          <w:sz w:val="20"/>
          <w:szCs w:val="20"/>
          <w:color w:val="auto"/>
        </w:rPr>
      </w:pPr>
    </w:p>
    <w:p>
      <w:pPr>
        <w:jc w:val="center"/>
        <w:ind w:right="20"/>
        <w:spacing w:after="0" w:line="263" w:lineRule="auto"/>
        <w:rPr>
          <w:sz w:val="20"/>
          <w:szCs w:val="20"/>
          <w:color w:val="auto"/>
        </w:rPr>
      </w:pPr>
      <w:r>
        <w:rPr>
          <w:rFonts w:ascii="Times New Roman" w:cs="Times New Roman" w:eastAsia="Times New Roman" w:hAnsi="Times New Roman"/>
          <w:sz w:val="14"/>
          <w:szCs w:val="14"/>
          <w:b w:val="1"/>
          <w:bCs w:val="1"/>
          <w:color w:val="auto"/>
        </w:rPr>
        <w:t>CERTIFICATION OF CHIEF EXECUTIVE OFFICER PURSUANT TO RULE 13A-14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Ted Goldthorpe, certify that:</w:t>
      </w:r>
    </w:p>
    <w:p>
      <w:pPr>
        <w:spacing w:after="0" w:line="231" w:lineRule="exact"/>
        <w:rPr>
          <w:sz w:val="20"/>
          <w:szCs w:val="20"/>
          <w:color w:val="auto"/>
        </w:rPr>
      </w:pPr>
    </w:p>
    <w:p>
      <w:pPr>
        <w:ind w:left="460" w:hanging="317"/>
        <w:spacing w:after="0"/>
        <w:tabs>
          <w:tab w:leader="none" w:pos="4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Logan Ridge Finance Corporation;</w:t>
      </w:r>
    </w:p>
    <w:p>
      <w:pPr>
        <w:spacing w:after="0" w:line="217" w:lineRule="exact"/>
        <w:rPr>
          <w:rFonts w:ascii="Times New Roman" w:cs="Times New Roman" w:eastAsia="Times New Roman" w:hAnsi="Times New Roman"/>
          <w:sz w:val="14"/>
          <w:szCs w:val="14"/>
          <w:color w:val="auto"/>
        </w:rPr>
      </w:pPr>
    </w:p>
    <w:p>
      <w:pPr>
        <w:ind w:left="460" w:right="20" w:hanging="317"/>
        <w:spacing w:after="0" w:line="261" w:lineRule="auto"/>
        <w:tabs>
          <w:tab w:leader="none" w:pos="4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4"/>
          <w:szCs w:val="14"/>
          <w:color w:val="auto"/>
        </w:rPr>
      </w:pPr>
    </w:p>
    <w:p>
      <w:pPr>
        <w:ind w:left="460" w:right="20" w:hanging="317"/>
        <w:spacing w:after="0" w:line="261" w:lineRule="auto"/>
        <w:tabs>
          <w:tab w:leader="none" w:pos="4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4"/>
          <w:szCs w:val="14"/>
          <w:color w:val="auto"/>
        </w:rPr>
      </w:pPr>
    </w:p>
    <w:p>
      <w:pPr>
        <w:jc w:val="both"/>
        <w:ind w:left="460" w:right="20" w:hanging="317"/>
        <w:spacing w:after="0" w:line="255" w:lineRule="auto"/>
        <w:tabs>
          <w:tab w:leader="none" w:pos="4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spacing w:after="0" w:line="359" w:lineRule="exact"/>
        <w:rPr>
          <w:rFonts w:ascii="Times New Roman" w:cs="Times New Roman" w:eastAsia="Times New Roman" w:hAnsi="Times New Roman"/>
          <w:sz w:val="14"/>
          <w:szCs w:val="14"/>
          <w:color w:val="auto"/>
        </w:rPr>
      </w:pPr>
    </w:p>
    <w:p>
      <w:pPr>
        <w:ind w:left="1620" w:right="20" w:hanging="789"/>
        <w:spacing w:after="0" w:line="261" w:lineRule="auto"/>
        <w:tabs>
          <w:tab w:leader="none" w:pos="162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4"/>
          <w:szCs w:val="14"/>
          <w:color w:val="auto"/>
        </w:rPr>
      </w:pPr>
    </w:p>
    <w:p>
      <w:pPr>
        <w:jc w:val="both"/>
        <w:ind w:left="1620" w:right="20" w:hanging="789"/>
        <w:spacing w:after="0" w:line="241" w:lineRule="auto"/>
        <w:tabs>
          <w:tab w:leader="none" w:pos="162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4"/>
          <w:szCs w:val="14"/>
          <w:color w:val="auto"/>
        </w:rPr>
      </w:pPr>
    </w:p>
    <w:p>
      <w:pPr>
        <w:ind w:left="1620" w:right="20" w:hanging="789"/>
        <w:spacing w:after="0" w:line="282" w:lineRule="auto"/>
        <w:tabs>
          <w:tab w:leader="none" w:pos="162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61" w:lineRule="exact"/>
        <w:rPr>
          <w:rFonts w:ascii="Times New Roman" w:cs="Times New Roman" w:eastAsia="Times New Roman" w:hAnsi="Times New Roman"/>
          <w:sz w:val="14"/>
          <w:szCs w:val="14"/>
          <w:color w:val="auto"/>
        </w:rPr>
      </w:pPr>
    </w:p>
    <w:p>
      <w:pPr>
        <w:jc w:val="both"/>
        <w:ind w:left="1620" w:right="20" w:hanging="789"/>
        <w:spacing w:after="0" w:line="241" w:lineRule="auto"/>
        <w:tabs>
          <w:tab w:leader="none" w:pos="162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4"/>
          <w:szCs w:val="14"/>
          <w:color w:val="auto"/>
        </w:rPr>
      </w:pPr>
    </w:p>
    <w:p>
      <w:pPr>
        <w:ind w:left="460" w:right="20" w:hanging="317"/>
        <w:spacing w:after="0" w:line="261" w:lineRule="auto"/>
        <w:tabs>
          <w:tab w:leader="none" w:pos="4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4"/>
          <w:szCs w:val="14"/>
          <w:color w:val="auto"/>
        </w:rPr>
      </w:pPr>
    </w:p>
    <w:p>
      <w:pPr>
        <w:ind w:left="1620" w:right="20" w:hanging="789"/>
        <w:spacing w:after="0" w:line="282" w:lineRule="auto"/>
        <w:tabs>
          <w:tab w:leader="none" w:pos="162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4"/>
          <w:szCs w:val="14"/>
          <w:color w:val="auto"/>
        </w:rPr>
      </w:pPr>
    </w:p>
    <w:p>
      <w:pPr>
        <w:ind w:left="1620" w:right="20" w:hanging="789"/>
        <w:spacing w:after="0" w:line="250" w:lineRule="auto"/>
        <w:tabs>
          <w:tab w:leader="none" w:pos="162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August 9, 2022</w:t>
      </w:r>
    </w:p>
    <w:p>
      <w:pPr>
        <w:spacing w:after="0" w:line="2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Ted Goldthorpe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Chief Executive Officer and President</w:t>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17" w:lineRule="exact"/>
        <w:rPr>
          <w:sz w:val="20"/>
          <w:szCs w:val="20"/>
          <w:color w:val="auto"/>
        </w:rPr>
      </w:pPr>
    </w:p>
    <w:p>
      <w:pPr>
        <w:jc w:val="center"/>
        <w:ind w:right="20"/>
        <w:spacing w:after="0" w:line="263" w:lineRule="auto"/>
        <w:rPr>
          <w:sz w:val="20"/>
          <w:szCs w:val="20"/>
          <w:color w:val="auto"/>
        </w:rPr>
      </w:pPr>
      <w:r>
        <w:rPr>
          <w:rFonts w:ascii="Times New Roman" w:cs="Times New Roman" w:eastAsia="Times New Roman" w:hAnsi="Times New Roman"/>
          <w:sz w:val="14"/>
          <w:szCs w:val="14"/>
          <w:b w:val="1"/>
          <w:bCs w:val="1"/>
          <w:color w:val="auto"/>
        </w:rPr>
        <w:t>CERTIFICATION OF CHIEF FINANCIAL OFFICER PURSUANT TO RULE 13A-14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Jason Roos, certify that:</w:t>
      </w:r>
    </w:p>
    <w:p>
      <w:pPr>
        <w:spacing w:after="0" w:line="231" w:lineRule="exact"/>
        <w:rPr>
          <w:sz w:val="20"/>
          <w:szCs w:val="20"/>
          <w:color w:val="auto"/>
        </w:rPr>
      </w:pPr>
    </w:p>
    <w:p>
      <w:pPr>
        <w:ind w:left="380" w:hanging="359"/>
        <w:spacing w:after="0"/>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Logan Ridge Finance Corporation;</w:t>
      </w:r>
    </w:p>
    <w:p>
      <w:pPr>
        <w:spacing w:after="0" w:line="217" w:lineRule="exact"/>
        <w:rPr>
          <w:rFonts w:ascii="Times New Roman" w:cs="Times New Roman" w:eastAsia="Times New Roman" w:hAnsi="Times New Roman"/>
          <w:sz w:val="14"/>
          <w:szCs w:val="14"/>
          <w:color w:val="auto"/>
        </w:rPr>
      </w:pPr>
    </w:p>
    <w:p>
      <w:pPr>
        <w:ind w:left="380" w:right="20" w:hanging="359"/>
        <w:spacing w:after="0" w:line="261"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4"/>
          <w:szCs w:val="14"/>
          <w:color w:val="auto"/>
        </w:rPr>
      </w:pPr>
    </w:p>
    <w:p>
      <w:pPr>
        <w:ind w:left="380" w:right="20" w:hanging="359"/>
        <w:spacing w:after="0" w:line="261"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4"/>
          <w:szCs w:val="14"/>
          <w:color w:val="auto"/>
        </w:rPr>
      </w:pPr>
    </w:p>
    <w:p>
      <w:pPr>
        <w:jc w:val="both"/>
        <w:ind w:left="380" w:right="20" w:hanging="359"/>
        <w:spacing w:after="0" w:line="255"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spacing w:after="0" w:line="359" w:lineRule="exact"/>
        <w:rPr>
          <w:rFonts w:ascii="Times New Roman" w:cs="Times New Roman" w:eastAsia="Times New Roman" w:hAnsi="Times New Roman"/>
          <w:sz w:val="14"/>
          <w:szCs w:val="14"/>
          <w:color w:val="auto"/>
        </w:rPr>
      </w:pPr>
    </w:p>
    <w:p>
      <w:pPr>
        <w:ind w:left="1620" w:right="20" w:hanging="789"/>
        <w:spacing w:after="0" w:line="261" w:lineRule="auto"/>
        <w:tabs>
          <w:tab w:leader="none" w:pos="162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4"/>
          <w:szCs w:val="14"/>
          <w:color w:val="auto"/>
        </w:rPr>
      </w:pPr>
    </w:p>
    <w:p>
      <w:pPr>
        <w:jc w:val="both"/>
        <w:ind w:left="1620" w:right="20" w:hanging="789"/>
        <w:spacing w:after="0" w:line="241" w:lineRule="auto"/>
        <w:tabs>
          <w:tab w:leader="none" w:pos="162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4"/>
          <w:szCs w:val="14"/>
          <w:color w:val="auto"/>
        </w:rPr>
      </w:pPr>
    </w:p>
    <w:p>
      <w:pPr>
        <w:ind w:left="1620" w:right="20" w:hanging="789"/>
        <w:spacing w:after="0" w:line="282" w:lineRule="auto"/>
        <w:tabs>
          <w:tab w:leader="none" w:pos="162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61" w:lineRule="exact"/>
        <w:rPr>
          <w:rFonts w:ascii="Times New Roman" w:cs="Times New Roman" w:eastAsia="Times New Roman" w:hAnsi="Times New Roman"/>
          <w:sz w:val="14"/>
          <w:szCs w:val="14"/>
          <w:color w:val="auto"/>
        </w:rPr>
      </w:pPr>
    </w:p>
    <w:p>
      <w:pPr>
        <w:jc w:val="both"/>
        <w:ind w:left="1620" w:right="20" w:hanging="789"/>
        <w:spacing w:after="0" w:line="241" w:lineRule="auto"/>
        <w:tabs>
          <w:tab w:leader="none" w:pos="162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4"/>
          <w:szCs w:val="14"/>
          <w:color w:val="auto"/>
        </w:rPr>
      </w:pPr>
    </w:p>
    <w:p>
      <w:pPr>
        <w:ind w:left="380" w:right="20" w:hanging="359"/>
        <w:spacing w:after="0" w:line="261"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4"/>
          <w:szCs w:val="14"/>
          <w:color w:val="auto"/>
        </w:rPr>
      </w:pPr>
    </w:p>
    <w:p>
      <w:pPr>
        <w:ind w:left="1620" w:right="20" w:hanging="789"/>
        <w:spacing w:after="0" w:line="282" w:lineRule="auto"/>
        <w:tabs>
          <w:tab w:leader="none" w:pos="162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4"/>
          <w:szCs w:val="14"/>
          <w:color w:val="auto"/>
        </w:rPr>
      </w:pPr>
    </w:p>
    <w:p>
      <w:pPr>
        <w:ind w:left="1620" w:right="20" w:hanging="789"/>
        <w:spacing w:after="0" w:line="250" w:lineRule="auto"/>
        <w:tabs>
          <w:tab w:leader="none" w:pos="162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August 9, 2022</w:t>
      </w:r>
    </w:p>
    <w:p>
      <w:pPr>
        <w:spacing w:after="0" w:line="2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Jason Roos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1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1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PURSUANT TO 18 U.S.C. SECTION 1350, AS ADOPTED</w:t>
      </w:r>
    </w:p>
    <w:p>
      <w:pPr>
        <w:spacing w:after="0" w:line="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w:t>
      </w:r>
    </w:p>
    <w:p>
      <w:pPr>
        <w:spacing w:after="0" w:line="201" w:lineRule="exact"/>
        <w:rPr>
          <w:sz w:val="20"/>
          <w:szCs w:val="20"/>
          <w:color w:val="auto"/>
        </w:rPr>
      </w:pPr>
    </w:p>
    <w:p>
      <w:pPr>
        <w:jc w:val="both"/>
        <w:ind w:firstLine="374"/>
        <w:spacing w:after="0" w:line="269" w:lineRule="auto"/>
        <w:rPr>
          <w:sz w:val="20"/>
          <w:szCs w:val="20"/>
          <w:color w:val="auto"/>
        </w:rPr>
      </w:pPr>
      <w:r>
        <w:rPr>
          <w:rFonts w:ascii="Times New Roman" w:cs="Times New Roman" w:eastAsia="Times New Roman" w:hAnsi="Times New Roman"/>
          <w:sz w:val="14"/>
          <w:szCs w:val="14"/>
          <w:color w:val="auto"/>
        </w:rPr>
        <w:t>I, Ted Goldthorpe, Chief Executive Officer and President, in connection with the Quarterly Report of Logan Ridge Finance Corporation (the “Company”) on Form 10-Q for the quarterly period ended June 30, 2022, as filed with the U.S. Securities and Exchange Commission on the date hereof (the “Quarterly Report”), certify, pursuant to Section 906 of the Sarbanes-Oxley Act of 2002, that:</w:t>
      </w:r>
    </w:p>
    <w:p>
      <w:pPr>
        <w:spacing w:after="0" w:line="355" w:lineRule="exact"/>
        <w:rPr>
          <w:sz w:val="20"/>
          <w:szCs w:val="20"/>
          <w:color w:val="auto"/>
        </w:rPr>
      </w:pPr>
    </w:p>
    <w:p>
      <w:pPr>
        <w:ind w:left="1620" w:hanging="789"/>
        <w:spacing w:after="0"/>
        <w:tabs>
          <w:tab w:leader="none" w:pos="16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Quarterly Report fully complies with the requirements of Section 13(a) or 15(d) of the Securities Exchange Act of 1934, as amended; and</w:t>
      </w:r>
    </w:p>
    <w:p>
      <w:pPr>
        <w:spacing w:after="0" w:line="217" w:lineRule="exact"/>
        <w:rPr>
          <w:rFonts w:ascii="Times New Roman" w:cs="Times New Roman" w:eastAsia="Times New Roman" w:hAnsi="Times New Roman"/>
          <w:sz w:val="14"/>
          <w:szCs w:val="14"/>
          <w:color w:val="auto"/>
        </w:rPr>
      </w:pPr>
    </w:p>
    <w:p>
      <w:pPr>
        <w:ind w:left="1620" w:hanging="789"/>
        <w:spacing w:after="0"/>
        <w:tabs>
          <w:tab w:leader="none" w:pos="16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Quarterly Report fairly presents, in all material respects, the financial condition and results of operations of the Company.</w:t>
      </w:r>
    </w:p>
    <w:p>
      <w:pPr>
        <w:spacing w:after="0" w:line="21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August 9, 2022</w:t>
      </w:r>
    </w:p>
    <w:p>
      <w:pPr>
        <w:spacing w:after="0" w:line="2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Ted Goldthorpe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Chief Executive Officer and President</w:t>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PURSUANT TO 18 U.S.C. SECTION 1350, AS ADOPTED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w:t>
      </w:r>
    </w:p>
    <w:p>
      <w:pPr>
        <w:spacing w:after="0" w:line="20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4"/>
          <w:szCs w:val="14"/>
          <w:color w:val="auto"/>
        </w:rPr>
        <w:t>I, Jason Roos, Chief Financial Officer, in connection with the Quarterly Report of Logan Ridge Finance Corporation (the “Company”) on Form 10-Q for the quarterly period ended June 30, 2022, as filed with the U.S. Securities and Exchange Commission on the date hereof (the “Quarterly Report”), certify, pursuant to Section 906 of the Sarbanes-Oxley Act of 2002, that:</w:t>
      </w:r>
    </w:p>
    <w:p>
      <w:pPr>
        <w:spacing w:after="0" w:line="175" w:lineRule="exact"/>
        <w:rPr>
          <w:sz w:val="20"/>
          <w:szCs w:val="20"/>
          <w:color w:val="auto"/>
        </w:rPr>
      </w:pPr>
    </w:p>
    <w:p>
      <w:pPr>
        <w:ind w:left="1620" w:hanging="789"/>
        <w:spacing w:after="0"/>
        <w:tabs>
          <w:tab w:leader="none" w:pos="16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Quarterly Report fully complies with the requirements of Section 13(a) or 15(d) of the Securities Exchange Act of 1934, as amended; and</w:t>
      </w:r>
    </w:p>
    <w:p>
      <w:pPr>
        <w:spacing w:after="0" w:line="217" w:lineRule="exact"/>
        <w:rPr>
          <w:rFonts w:ascii="Times New Roman" w:cs="Times New Roman" w:eastAsia="Times New Roman" w:hAnsi="Times New Roman"/>
          <w:sz w:val="14"/>
          <w:szCs w:val="14"/>
          <w:color w:val="auto"/>
        </w:rPr>
      </w:pPr>
    </w:p>
    <w:p>
      <w:pPr>
        <w:ind w:left="1620" w:hanging="789"/>
        <w:spacing w:after="0"/>
        <w:tabs>
          <w:tab w:leader="none" w:pos="16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Quarterly Report fairly presents, in all material respects, the financial condition and results of operations of the Company.</w:t>
      </w:r>
    </w:p>
    <w:p>
      <w:pPr>
        <w:spacing w:after="0" w:line="20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August 9, 2022</w:t>
      </w:r>
    </w:p>
    <w:p>
      <w:pPr>
        <w:spacing w:after="0" w:line="2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Jason Roos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3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7"/>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20"/>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lvl>
    <w:lvl w:ilvl="1">
      <w:lvlJc w:val="left"/>
      <w:lvlText w:val="$"/>
      <w:numFmt w:val="bullet"/>
      <w:start w:val="1"/>
    </w:lvl>
  </w:abstractNum>
  <w:abstractNum w:abstractNumId="14">
    <w:nsid w:val="721DA317"/>
    <w:multiLevelType w:val="hybridMultilevel"/>
    <w:lvl w:ilvl="0">
      <w:lvlJc w:val="left"/>
      <w:lvlText w:val="(%1)"/>
      <w:numFmt w:val="decimal"/>
    </w:lvl>
    <w:lvl w:ilvl="1">
      <w:lvlJc w:val="left"/>
      <w:lvlText w:val="$"/>
      <w:numFmt w:val="bullet"/>
      <w:start w:val="1"/>
    </w:lvl>
  </w:abstractNum>
  <w:abstractNum w:abstractNumId="15">
    <w:nsid w:val="2443A858"/>
    <w:multiLevelType w:val="hybridMultilevel"/>
    <w:lvl w:ilvl="0">
      <w:lvlJc w:val="left"/>
      <w:lvlText w:val="(%1)"/>
      <w:numFmt w:val="decimal"/>
      <w:start w:val="2"/>
    </w:lvl>
  </w:abstractNum>
  <w:abstractNum w:abstractNumId="16">
    <w:nsid w:val="2D1D5AE9"/>
    <w:multiLevelType w:val="hybridMultilevel"/>
    <w:lvl w:ilvl="0">
      <w:lvlJc w:val="left"/>
      <w:lvlText w:val="(%1)"/>
      <w:numFmt w:val="decimal"/>
      <w:start w:val="2"/>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2"/>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9" Type="http://schemas.openxmlformats.org/officeDocument/2006/relationships/image" Target="media/image505.png"/><Relationship Id="rId522" Type="http://schemas.openxmlformats.org/officeDocument/2006/relationships/image" Target="media/image506.png"/><Relationship Id="rId523" Type="http://schemas.openxmlformats.org/officeDocument/2006/relationships/image" Target="media/image507.png"/><Relationship Id="rId524" Type="http://schemas.openxmlformats.org/officeDocument/2006/relationships/image" Target="media/image508.png"/><Relationship Id="rId525" Type="http://schemas.openxmlformats.org/officeDocument/2006/relationships/image" Target="media/image509.png"/><Relationship Id="rId526" Type="http://schemas.openxmlformats.org/officeDocument/2006/relationships/image" Target="media/image510.png"/><Relationship Id="rId527" Type="http://schemas.openxmlformats.org/officeDocument/2006/relationships/image" Target="media/image511.png"/><Relationship Id="rId528" Type="http://schemas.openxmlformats.org/officeDocument/2006/relationships/image" Target="media/image512.png"/><Relationship Id="rId529" Type="http://schemas.openxmlformats.org/officeDocument/2006/relationships/image" Target="media/image513.png"/><Relationship Id="rId530" Type="http://schemas.openxmlformats.org/officeDocument/2006/relationships/image" Target="media/image514.png"/><Relationship Id="rId531" Type="http://schemas.openxmlformats.org/officeDocument/2006/relationships/image" Target="media/image515.png"/><Relationship Id="rId532" Type="http://schemas.openxmlformats.org/officeDocument/2006/relationships/image" Target="media/image516.png"/><Relationship Id="rId533" Type="http://schemas.openxmlformats.org/officeDocument/2006/relationships/image" Target="media/image517.png"/><Relationship Id="rId512" Type="http://schemas.openxmlformats.org/officeDocument/2006/relationships/hyperlink" Target="https://www.sec.gov/Archives/edgar/data/1221483/000119312513361263/d505298dex99a1.htm" TargetMode="External"/><Relationship Id="rId513" Type="http://schemas.openxmlformats.org/officeDocument/2006/relationships/hyperlink" Target="https://www.sec.gov/Archives/edgar/data/1571329/000110465920090336/tm2026478d1_ex3-1.htm" TargetMode="External"/><Relationship Id="rId514" Type="http://schemas.openxmlformats.org/officeDocument/2006/relationships/hyperlink" Target="https://www.sec.gov/Archives/edgar/data/1221483/000119312513368161/d505298dex99a2.htm" TargetMode="External"/><Relationship Id="rId515" Type="http://schemas.openxmlformats.org/officeDocument/2006/relationships/hyperlink" Target="https://www.sec.gov/Archives/edgar/data/1221483/000119312513368161/d505298dex99a3.htm" TargetMode="External"/><Relationship Id="rId516" Type="http://schemas.openxmlformats.org/officeDocument/2006/relationships/hyperlink" Target="https://www.sec.gov/Archives/edgar/data/1221483/000119312513361263/d505298dex99b1.htm" TargetMode="External"/><Relationship Id="rId517" Type="http://schemas.openxmlformats.org/officeDocument/2006/relationships/hyperlink" Target="https://www.sec.gov/Archives/edgar/data/1571329/000119312513376445/d505298dex99b2.htm" TargetMode="External"/><Relationship Id="rId518" Type="http://schemas.openxmlformats.org/officeDocument/2006/relationships/hyperlink" Target="https://www.sec.gov/Archives/edgar/data/1571329/000119312513376445/d505298dex99b3.htm" TargetMode="External"/><Relationship Id="rId520" Type="http://schemas.openxmlformats.org/officeDocument/2006/relationships/hyperlink" Target="https://www.sec.gov/Archives/edgar/data/1571329/000119312522097684/d329551dex41.htm" TargetMode="External"/><Relationship Id="rId521" Type="http://schemas.openxmlformats.org/officeDocument/2006/relationships/hyperlink" Target="https://www.sec.gov/Archives/edgar/data/1571329/000119312522148849/d31967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2022-08-09T17:07:27Z</dcterms:created>
  <dcterms:modified xsi:type="dcterms:W3CDTF">2022-08-09T17:07:27Z</dcterms:modified>
</cp:coreProperties>
</file>