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FORM 10-Q</w:t>
            </w:r>
          </w:p>
        </w:tc>
        <w:tc>
          <w:tcPr>
            <w:tcW w:w="1720" w:type="dxa"/>
            <w:vAlign w:val="bottom"/>
          </w:tcPr>
          <w:p>
            <w:pPr>
              <w:spacing w:after="0"/>
              <w:rPr>
                <w:sz w:val="20"/>
                <w:szCs w:val="20"/>
                <w:color w:val="auto"/>
              </w:rPr>
            </w:pPr>
          </w:p>
        </w:tc>
      </w:tr>
      <w:tr>
        <w:trPr>
          <w:trHeight w:val="45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1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Quarterly Report Pursuant to Section 13 or 15(d) of the Securities Exchange Act of 1934</w:t>
            </w:r>
          </w:p>
        </w:tc>
        <w:tc>
          <w:tcPr>
            <w:tcW w:w="1720" w:type="dxa"/>
            <w:vAlign w:val="bottom"/>
          </w:tcPr>
          <w:p>
            <w:pPr>
              <w:spacing w:after="0"/>
              <w:rPr>
                <w:sz w:val="24"/>
                <w:szCs w:val="24"/>
                <w:color w:val="auto"/>
              </w:rPr>
            </w:pPr>
          </w:p>
        </w:tc>
      </w:tr>
      <w:tr>
        <w:trPr>
          <w:trHeight w:val="41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 the Quarter Ended March 31, 2017</w:t>
            </w:r>
          </w:p>
        </w:tc>
        <w:tc>
          <w:tcPr>
            <w:tcW w:w="1720" w:type="dxa"/>
            <w:vAlign w:val="bottom"/>
          </w:tcPr>
          <w:p>
            <w:pPr>
              <w:spacing w:after="0"/>
              <w:rPr>
                <w:sz w:val="24"/>
                <w:szCs w:val="24"/>
                <w:color w:val="auto"/>
              </w:rPr>
            </w:pPr>
          </w:p>
        </w:tc>
      </w:tr>
      <w:tr>
        <w:trPr>
          <w:trHeight w:val="45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12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Transition Report Pursuant to Section 13 or 15(d) of the Securities Exchange Act of 1934</w:t>
            </w:r>
          </w:p>
        </w:tc>
        <w:tc>
          <w:tcPr>
            <w:tcW w:w="1720" w:type="dxa"/>
            <w:vAlign w:val="bottom"/>
          </w:tcPr>
          <w:p>
            <w:pPr>
              <w:spacing w:after="0"/>
              <w:rPr>
                <w:sz w:val="24"/>
                <w:szCs w:val="24"/>
                <w:color w:val="auto"/>
              </w:rPr>
            </w:pPr>
          </w:p>
        </w:tc>
      </w:tr>
      <w:tr>
        <w:trPr>
          <w:trHeight w:val="394"/>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Exact name of registrant as specified in its</w:t>
            </w:r>
          </w:p>
        </w:tc>
        <w:tc>
          <w:tcPr>
            <w:tcW w:w="1720" w:type="dxa"/>
            <w:vAlign w:val="bottom"/>
          </w:tcPr>
          <w:p>
            <w:pPr>
              <w:spacing w:after="0"/>
              <w:rPr>
                <w:sz w:val="24"/>
                <w:szCs w:val="24"/>
                <w:color w:val="auto"/>
              </w:rPr>
            </w:pPr>
          </w:p>
        </w:tc>
      </w:tr>
      <w:tr>
        <w:trPr>
          <w:trHeight w:val="216"/>
        </w:trPr>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Commission</w:t>
            </w:r>
          </w:p>
        </w:tc>
        <w:tc>
          <w:tcPr>
            <w:tcW w:w="7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charter, address of principal executive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File Number</w:t>
            </w: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office, telephone number and state or other jurisdiction of incorporation or organization</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191"/>
        </w:trPr>
        <w:tc>
          <w:tcPr>
            <w:tcW w:w="1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16"/>
                <w:szCs w:val="16"/>
                <w:color w:val="auto"/>
              </w:rPr>
            </w:pPr>
          </w:p>
        </w:tc>
        <w:tc>
          <w:tcPr>
            <w:tcW w:w="7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Capitala Finance Corp.</w:t>
            </w: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90-0945675</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4201 Congress St., Suite 360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Charlotte, North Carolina</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Telephone: (704) 376-5502</w:t>
            </w:r>
          </w:p>
        </w:tc>
        <w:tc>
          <w:tcPr>
            <w:tcW w:w="17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State of Incorporation: Maryland</w:t>
            </w:r>
          </w:p>
        </w:tc>
        <w:tc>
          <w:tcPr>
            <w:tcW w:w="1720" w:type="dxa"/>
            <w:vAlign w:val="bottom"/>
          </w:tcPr>
          <w:p>
            <w:pPr>
              <w:spacing w:after="0"/>
              <w:rPr>
                <w:sz w:val="20"/>
                <w:szCs w:val="20"/>
                <w:color w:val="auto"/>
              </w:rPr>
            </w:pPr>
          </w:p>
        </w:tc>
      </w:tr>
    </w:tbl>
    <w:p>
      <w:pPr>
        <w:spacing w:after="0" w:line="202"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720"/>
        <w:spacing w:after="0" w:line="207" w:lineRule="exact"/>
        <w:tabs>
          <w:tab w:leader="none" w:pos="6280" w:val="left"/>
          <w:tab w:leader="none" w:pos="6680" w:val="left"/>
          <w:tab w:leader="none" w:pos="7980" w:val="left"/>
          <w:tab w:leader="none" w:pos="83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720"/>
        <w:spacing w:after="0" w:line="207" w:lineRule="exact"/>
        <w:tabs>
          <w:tab w:leader="none" w:pos="6280" w:val="left"/>
          <w:tab w:leader="none" w:pos="6680" w:val="left"/>
          <w:tab w:leader="none" w:pos="7980" w:val="left"/>
          <w:tab w:leader="none" w:pos="83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Capitala Finance Corp.</w:t>
            </w:r>
          </w:p>
        </w:tc>
        <w:tc>
          <w:tcPr>
            <w:tcW w:w="2720" w:type="dxa"/>
            <w:vAlign w:val="bottom"/>
          </w:tcPr>
          <w:p>
            <w:pPr>
              <w:ind w:left="600"/>
              <w:spacing w:after="0"/>
              <w:rPr>
                <w:sz w:val="20"/>
                <w:szCs w:val="20"/>
                <w:color w:val="auto"/>
              </w:rPr>
            </w:pPr>
            <w:r>
              <w:rPr>
                <w:rFonts w:ascii="Arial" w:cs="Arial" w:eastAsia="Arial" w:hAnsi="Arial"/>
                <w:sz w:val="18"/>
                <w:szCs w:val="18"/>
                <w:color w:val="auto"/>
              </w:rPr>
              <w:t>Large accelerated filer</w:t>
            </w:r>
          </w:p>
        </w:tc>
        <w:tc>
          <w:tcPr>
            <w:tcW w:w="8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580" w:type="dxa"/>
            <w:vAlign w:val="bottom"/>
          </w:tcPr>
          <w:p>
            <w:pPr>
              <w:ind w:left="1420"/>
              <w:spacing w:after="0"/>
              <w:rPr>
                <w:sz w:val="20"/>
                <w:szCs w:val="20"/>
                <w:color w:val="auto"/>
              </w:rPr>
            </w:pPr>
            <w:r>
              <w:rPr>
                <w:rFonts w:ascii="Arial" w:cs="Arial" w:eastAsia="Arial" w:hAnsi="Arial"/>
                <w:sz w:val="18"/>
                <w:szCs w:val="18"/>
                <w:color w:val="auto"/>
              </w:rPr>
              <w:t>x</w:t>
            </w:r>
          </w:p>
        </w:tc>
      </w:tr>
      <w:tr>
        <w:trPr>
          <w:trHeight w:val="432"/>
        </w:trPr>
        <w:tc>
          <w:tcPr>
            <w:tcW w:w="2280" w:type="dxa"/>
            <w:vAlign w:val="bottom"/>
          </w:tcPr>
          <w:p>
            <w:pPr>
              <w:spacing w:after="0"/>
              <w:rPr>
                <w:sz w:val="24"/>
                <w:szCs w:val="24"/>
                <w:color w:val="auto"/>
              </w:rPr>
            </w:pPr>
          </w:p>
        </w:tc>
        <w:tc>
          <w:tcPr>
            <w:tcW w:w="2720" w:type="dxa"/>
            <w:vAlign w:val="bottom"/>
          </w:tcPr>
          <w:p>
            <w:pPr>
              <w:ind w:left="600"/>
              <w:spacing w:after="0"/>
              <w:rPr>
                <w:sz w:val="20"/>
                <w:szCs w:val="20"/>
                <w:color w:val="auto"/>
              </w:rPr>
            </w:pPr>
            <w:r>
              <w:rPr>
                <w:rFonts w:ascii="Arial" w:cs="Arial" w:eastAsia="Arial" w:hAnsi="Arial"/>
                <w:sz w:val="18"/>
                <w:szCs w:val="18"/>
                <w:color w:val="auto"/>
              </w:rPr>
              <w:t>Non-accelerated filer</w:t>
            </w:r>
          </w:p>
        </w:tc>
        <w:tc>
          <w:tcPr>
            <w:tcW w:w="8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2"/>
        </w:trPr>
        <w:tc>
          <w:tcPr>
            <w:tcW w:w="2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580" w:type="dxa"/>
            <w:vAlign w:val="bottom"/>
          </w:tcPr>
          <w:p>
            <w:pPr>
              <w:ind w:left="142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472" w:right="239" w:bottom="1440" w:gutter="0" w:footer="0" w:header="0"/>
        </w:sectPr>
      </w:pPr>
    </w:p>
    <w:p>
      <w:pPr>
        <w:spacing w:after="0" w:line="225"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5580" w:space="720"/>
            <w:col w:w="260" w:space="100"/>
            <w:col w:w="620" w:space="720"/>
            <w:col w:w="220" w:space="140"/>
            <w:col w:w="3060"/>
          </w:cols>
          <w:pgMar w:left="240" w:top="472" w:right="2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May 5, 2017 was 15,888,656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9"/>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March 31,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2017 and 2016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for the three months ended March 31, 2017 and 2016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2017 and 2016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Notes to Consolidated Financial Statements as of March 31, 2017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620" w:type="dxa"/>
            <w:vAlign w:val="bottom"/>
            <w:tcBorders>
              <w:top w:val="single" w:sz="8" w:color="CCEEFF"/>
              <w:bottom w:val="single" w:sz="8" w:color="auto"/>
            </w:tcBorders>
            <w:gridSpan w:val="11"/>
          </w:tcPr>
          <w:p>
            <w:pPr>
              <w:ind w:left="4760"/>
              <w:spacing w:after="0"/>
              <w:rPr>
                <w:sz w:val="20"/>
                <w:szCs w:val="20"/>
                <w:color w:val="auto"/>
              </w:rPr>
            </w:pPr>
            <w:r>
              <w:rPr>
                <w:rFonts w:ascii="Arial" w:cs="Arial" w:eastAsia="Arial" w:hAnsi="Arial"/>
                <w:sz w:val="18"/>
                <w:szCs w:val="18"/>
                <w:color w:val="auto"/>
              </w:rPr>
              <w:t>2</w:t>
            </w:r>
          </w:p>
        </w:tc>
        <w:tc>
          <w:tcPr>
            <w:tcW w:w="8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84"/>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March 31, 2017   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$368,836 and $391,706,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364,260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$56,043 and $39,279,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78,454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$84,407 and $82,791,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89,764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$509,286 and $513,776, respectively)</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40,564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5,994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Trade settlement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SBA debentures (net of deferred financing costs of $2,760 and $2,911, respectively)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167,940</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Notes (net of deferred financing costs of $2,880 and $3,025, respectively)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110,558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Credit Facility (net of deferred financing costs of $521 and $759,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43,479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Management and incentive fee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3,887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Written call option at fair value (proceeds of $0 and $20,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4,221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331,198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$.01, 100,000,000 common shares authorized, 15,883,492 and 15,868,045 common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240,391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22,973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net realized losses from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(33,035)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23,192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580,677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15.71</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60" w:type="dxa"/>
            <w:vAlign w:val="bottom"/>
            <w:tcBorders>
              <w:bottom w:val="single" w:sz="8" w:color="auto"/>
            </w:tcBorders>
          </w:tcPr>
          <w:p>
            <w:pPr>
              <w:jc w:val="center"/>
              <w:ind w:left="3150"/>
              <w:spacing w:after="0"/>
              <w:rPr>
                <w:sz w:val="20"/>
                <w:szCs w:val="20"/>
                <w:color w:val="auto"/>
              </w:rPr>
            </w:pPr>
            <w:r>
              <w:rPr>
                <w:rFonts w:ascii="Arial" w:cs="Arial" w:eastAsia="Arial" w:hAnsi="Arial"/>
                <w:sz w:val="18"/>
                <w:szCs w:val="18"/>
                <w:color w:val="auto"/>
                <w:w w:val="79"/>
              </w:rPr>
              <w:t>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Capitala Finance Corp.</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1,044</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12,670</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Dividend 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Base management fee</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2,514</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1,107</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3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fee waivers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6,191</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 AND WRITTEN CALL OPTION: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realized gain (loss) from investments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written call option</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loss on investments and written call option</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4,881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00" w:type="dxa"/>
            <w:vAlign w:val="bottom"/>
          </w:tcPr>
          <w:p>
            <w:pPr>
              <w:spacing w:after="0" w:line="201" w:lineRule="exact"/>
              <w:rPr>
                <w:sz w:val="20"/>
                <w:szCs w:val="20"/>
                <w:color w:val="auto"/>
              </w:rPr>
            </w:pPr>
            <w:r>
              <w:rPr>
                <w:rFonts w:ascii="Arial" w:cs="Arial" w:eastAsia="Arial" w:hAnsi="Arial"/>
                <w:sz w:val="18"/>
                <w:szCs w:val="18"/>
                <w:color w:val="auto"/>
                <w:w w:val="96"/>
              </w:rPr>
              <w:t>NET INCREASE (DECREASE) IN NET ASSETS PER SHARE RESULTING FROM OPERATIONS – BASIC</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15,873,655</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15,785,943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00" w:type="dxa"/>
            <w:vAlign w:val="bottom"/>
            <w:tcBorders>
              <w:bottom w:val="single" w:sz="8" w:color="auto"/>
            </w:tcBorders>
          </w:tcPr>
          <w:p>
            <w:pPr>
              <w:jc w:val="center"/>
              <w:ind w:left="3010"/>
              <w:spacing w:after="0"/>
              <w:rPr>
                <w:sz w:val="20"/>
                <w:szCs w:val="20"/>
                <w:color w:val="auto"/>
              </w:rPr>
            </w:pPr>
            <w:r>
              <w:rPr>
                <w:rFonts w:ascii="Arial" w:cs="Arial" w:eastAsia="Arial" w:hAnsi="Arial"/>
                <w:sz w:val="18"/>
                <w:szCs w:val="18"/>
                <w:color w:val="auto"/>
                <w:w w:val="79"/>
              </w:rPr>
              <w:t>4</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80" w:type="dxa"/>
            <w:vAlign w:val="bottom"/>
            <w:gridSpan w:val="4"/>
          </w:tcPr>
          <w:p>
            <w:pPr>
              <w:ind w:left="48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200" w:type="dxa"/>
            <w:vAlign w:val="bottom"/>
          </w:tcPr>
          <w:p>
            <w:pPr>
              <w:spacing w:after="0"/>
              <w:rPr>
                <w:sz w:val="14"/>
                <w:szCs w:val="14"/>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Net Unrealized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0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 Paid</w:t>
            </w: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Undistributed Net</w:t>
            </w: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Accumulated Net</w:t>
            </w: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40" w:type="dxa"/>
            <w:vAlign w:val="bottom"/>
            <w:gridSpan w:val="2"/>
            <w:vMerge w:val="continue"/>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Par Value</w:t>
            </w:r>
          </w:p>
        </w:tc>
        <w:tc>
          <w:tcPr>
            <w:tcW w:w="18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Appreciation on</w:t>
            </w:r>
          </w:p>
        </w:tc>
        <w:tc>
          <w:tcPr>
            <w:tcW w:w="2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Depreciation on</w:t>
            </w: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in Capital</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Investment Income</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Realized Losses</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Investments</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Written Call Option</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380"/>
          </w:cols>
          <w:pgMar w:left="240" w:top="904" w:right="279" w:bottom="1440" w:gutter="0" w:footer="0" w:header="0"/>
        </w:sect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color w:val="auto"/>
              </w:rPr>
              <w:t>BALANCE, December 31,</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line="149" w:lineRule="exact"/>
              <w:rPr>
                <w:sz w:val="20"/>
                <w:szCs w:val="20"/>
                <w:color w:val="auto"/>
              </w:rPr>
            </w:pPr>
            <w:r>
              <w:rPr>
                <w:rFonts w:ascii="Arial" w:cs="Arial" w:eastAsia="Arial" w:hAnsi="Arial"/>
                <w:sz w:val="14"/>
                <w:szCs w:val="14"/>
                <w:color w:val="auto"/>
              </w:rPr>
              <w:t>2015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15,777,345</w:t>
            </w:r>
          </w:p>
        </w:tc>
        <w:tc>
          <w:tcPr>
            <w:tcW w:w="180" w:type="dxa"/>
            <w:vAlign w:val="bottom"/>
          </w:tcPr>
          <w:p>
            <w:pPr>
              <w:spacing w:after="0"/>
              <w:rPr>
                <w:sz w:val="12"/>
                <w:szCs w:val="12"/>
                <w:color w:val="auto"/>
              </w:rPr>
            </w:pPr>
          </w:p>
        </w:tc>
        <w:tc>
          <w:tcPr>
            <w:tcW w:w="380" w:type="dxa"/>
            <w:vAlign w:val="bottom"/>
          </w:tcPr>
          <w:p>
            <w:pPr>
              <w:jc w:val="right"/>
              <w:ind w:right="224"/>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4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239,104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investment income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realized loss from</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investments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change in unrealized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depreciation on investments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Distributions to</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Shareholders: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Stock issued under</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dividend reinvestment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plan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22,290</w:t>
            </w: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80" w:type="dxa"/>
            <w:vAlign w:val="bottom"/>
          </w:tcPr>
          <w:p>
            <w:pPr>
              <w:ind w:left="340"/>
              <w:spacing w:after="0"/>
              <w:rPr>
                <w:sz w:val="20"/>
                <w:szCs w:val="20"/>
                <w:color w:val="auto"/>
              </w:rPr>
            </w:pPr>
            <w:r>
              <w:rPr>
                <w:rFonts w:ascii="Arial" w:cs="Arial" w:eastAsia="Arial" w:hAnsi="Arial"/>
                <w:sz w:val="14"/>
                <w:szCs w:val="14"/>
                <w:color w:val="auto"/>
              </w:rPr>
              <w:t>Distributions declared</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line="150" w:lineRule="exact"/>
              <w:rPr>
                <w:sz w:val="20"/>
                <w:szCs w:val="20"/>
                <w:color w:val="auto"/>
              </w:rPr>
            </w:pPr>
            <w:r>
              <w:rPr>
                <w:rFonts w:ascii="Arial" w:cs="Arial" w:eastAsia="Arial" w:hAnsi="Arial"/>
                <w:sz w:val="14"/>
                <w:szCs w:val="14"/>
                <w:color w:val="auto"/>
              </w:rPr>
              <w:t>BALANCE, March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15,799,635</w:t>
            </w:r>
          </w:p>
        </w:tc>
        <w:tc>
          <w:tcPr>
            <w:tcW w:w="1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239,331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4"/>
                <w:szCs w:val="14"/>
                <w:color w:val="auto"/>
              </w:rPr>
              <w:t>BALANCE, December 31,</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80" w:type="dxa"/>
            <w:vAlign w:val="bottom"/>
            <w:vMerge w:val="continue"/>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line="149" w:lineRule="exact"/>
              <w:rPr>
                <w:sz w:val="20"/>
                <w:szCs w:val="20"/>
                <w:color w:val="auto"/>
              </w:rPr>
            </w:pPr>
            <w:r>
              <w:rPr>
                <w:rFonts w:ascii="Arial" w:cs="Arial" w:eastAsia="Arial" w:hAnsi="Arial"/>
                <w:sz w:val="14"/>
                <w:szCs w:val="14"/>
                <w:color w:val="auto"/>
              </w:rPr>
              <w:t>2016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15,868,045</w:t>
            </w:r>
          </w:p>
        </w:tc>
        <w:tc>
          <w:tcPr>
            <w:tcW w:w="180" w:type="dxa"/>
            <w:vAlign w:val="bottom"/>
          </w:tcPr>
          <w:p>
            <w:pPr>
              <w:spacing w:after="0"/>
              <w:rPr>
                <w:sz w:val="12"/>
                <w:szCs w:val="12"/>
                <w:color w:val="auto"/>
              </w:rPr>
            </w:pPr>
          </w:p>
        </w:tc>
        <w:tc>
          <w:tcPr>
            <w:tcW w:w="380" w:type="dxa"/>
            <w:vAlign w:val="bottom"/>
          </w:tcPr>
          <w:p>
            <w:pPr>
              <w:jc w:val="right"/>
              <w:ind w:right="224"/>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4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240,184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investment income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realized gain from</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investments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change in unrealized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depreciation on investments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Net change in unrealized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depreciation on written call</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option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Distributions to</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line="149" w:lineRule="exact"/>
              <w:rPr>
                <w:sz w:val="20"/>
                <w:szCs w:val="20"/>
                <w:color w:val="auto"/>
              </w:rPr>
            </w:pPr>
            <w:r>
              <w:rPr>
                <w:rFonts w:ascii="Arial" w:cs="Arial" w:eastAsia="Arial" w:hAnsi="Arial"/>
                <w:sz w:val="14"/>
                <w:szCs w:val="14"/>
                <w:color w:val="auto"/>
              </w:rPr>
              <w:t>Shareholders: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Stock issued under</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dividend reinvestment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plan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15,447</w:t>
            </w:r>
          </w:p>
        </w:tc>
        <w:tc>
          <w:tcPr>
            <w:tcW w:w="3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80" w:type="dxa"/>
            <w:vAlign w:val="bottom"/>
          </w:tcPr>
          <w:p>
            <w:pPr>
              <w:ind w:left="340"/>
              <w:spacing w:after="0"/>
              <w:rPr>
                <w:sz w:val="20"/>
                <w:szCs w:val="20"/>
                <w:color w:val="auto"/>
              </w:rPr>
            </w:pPr>
            <w:r>
              <w:rPr>
                <w:rFonts w:ascii="Arial" w:cs="Arial" w:eastAsia="Arial" w:hAnsi="Arial"/>
                <w:sz w:val="14"/>
                <w:szCs w:val="14"/>
                <w:color w:val="auto"/>
              </w:rPr>
              <w:t>Distributions declared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20"/>
                <w:szCs w:val="20"/>
                <w:color w:val="auto"/>
              </w:rPr>
            </w:pPr>
            <w:r>
              <w:rPr>
                <w:rFonts w:ascii="Arial" w:cs="Arial" w:eastAsia="Arial" w:hAnsi="Arial"/>
                <w:sz w:val="14"/>
                <w:szCs w:val="14"/>
                <w:color w:val="auto"/>
              </w:rPr>
              <w:t>BALANCE, March 31, 2017</w:t>
            </w:r>
          </w:p>
        </w:tc>
        <w:tc>
          <w:tcPr>
            <w:tcW w:w="860" w:type="dxa"/>
            <w:vAlign w:val="bottom"/>
          </w:tcPr>
          <w:p>
            <w:pPr>
              <w:jc w:val="right"/>
              <w:spacing w:after="0"/>
              <w:rPr>
                <w:sz w:val="20"/>
                <w:szCs w:val="20"/>
                <w:color w:val="auto"/>
              </w:rPr>
            </w:pPr>
            <w:r>
              <w:rPr>
                <w:rFonts w:ascii="Arial" w:cs="Arial" w:eastAsia="Arial" w:hAnsi="Arial"/>
                <w:sz w:val="14"/>
                <w:szCs w:val="14"/>
                <w:color w:val="auto"/>
              </w:rPr>
              <w:t>15,883,492</w:t>
            </w:r>
          </w:p>
        </w:tc>
        <w:tc>
          <w:tcPr>
            <w:tcW w:w="180" w:type="dxa"/>
            <w:vAlign w:val="bottom"/>
          </w:tcPr>
          <w:p>
            <w:pPr>
              <w:spacing w:after="0"/>
              <w:rPr>
                <w:sz w:val="18"/>
                <w:szCs w:val="18"/>
                <w:color w:val="auto"/>
              </w:rPr>
            </w:pPr>
          </w:p>
        </w:tc>
        <w:tc>
          <w:tcPr>
            <w:tcW w:w="380" w:type="dxa"/>
            <w:vAlign w:val="bottom"/>
          </w:tcPr>
          <w:p>
            <w:pPr>
              <w:jc w:val="right"/>
              <w:ind w:right="18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240,391</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8,570</w:t>
            </w:r>
          </w:p>
        </w:tc>
        <w:tc>
          <w:tcPr>
            <w:tcW w:w="440" w:type="dxa"/>
            <w:vAlign w:val="bottom"/>
            <w:gridSpan w:val="2"/>
          </w:tcPr>
          <w:p>
            <w:pPr>
              <w:jc w:val="right"/>
              <w:ind w:right="237"/>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9"/>
              <w:spacing w:after="0"/>
              <w:rPr>
                <w:sz w:val="20"/>
                <w:szCs w:val="20"/>
                <w:color w:val="auto"/>
              </w:rPr>
            </w:pPr>
            <w:r>
              <w:rPr>
                <w:rFonts w:ascii="Arial" w:cs="Arial" w:eastAsia="Arial" w:hAnsi="Arial"/>
                <w:sz w:val="14"/>
                <w:szCs w:val="14"/>
                <w:color w:val="auto"/>
              </w:rPr>
              <w:t>(1,299)</w:t>
            </w:r>
          </w:p>
        </w:tc>
        <w:tc>
          <w:tcPr>
            <w:tcW w:w="360" w:type="dxa"/>
            <w:vAlign w:val="bottom"/>
          </w:tcPr>
          <w:p>
            <w:pPr>
              <w:jc w:val="right"/>
              <w:ind w:right="204"/>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22,269</w:t>
            </w:r>
          </w:p>
        </w:tc>
        <w:tc>
          <w:tcPr>
            <w:tcW w:w="54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268,802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7,421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4"/>
                <w:szCs w:val="14"/>
                <w:color w:val="auto"/>
              </w:rPr>
              <w:t>(2,262)</w:t>
            </w:r>
          </w:p>
        </w:tc>
        <w:tc>
          <w:tcPr>
            <w:tcW w:w="3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97"/>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(9,348)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(9,348)</w:t>
            </w:r>
          </w:p>
        </w:tc>
        <w:tc>
          <w:tcPr>
            <w:tcW w:w="0" w:type="dxa"/>
            <w:vAlign w:val="bottom"/>
          </w:tcPr>
          <w:p>
            <w:pPr>
              <w:spacing w:after="0"/>
              <w:rPr>
                <w:sz w:val="1"/>
                <w:szCs w:val="1"/>
                <w:color w:val="auto"/>
              </w:rPr>
            </w:pPr>
          </w:p>
        </w:tc>
      </w:tr>
      <w:tr>
        <w:trPr>
          <w:trHeight w:val="709"/>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0" w:type="dxa"/>
            <w:vAlign w:val="bottom"/>
          </w:tcPr>
          <w:p>
            <w:pPr>
              <w:jc w:val="right"/>
              <w:spacing w:after="0"/>
              <w:rPr>
                <w:sz w:val="20"/>
                <w:szCs w:val="20"/>
                <w:color w:val="auto"/>
              </w:rPr>
            </w:pPr>
            <w:r>
              <w:rPr>
                <w:rFonts w:ascii="Arial" w:cs="Arial" w:eastAsia="Arial" w:hAnsi="Arial"/>
                <w:sz w:val="14"/>
                <w:szCs w:val="14"/>
                <w:color w:val="auto"/>
                <w:w w:val="99"/>
              </w:rPr>
              <w:t>(7,421)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62"/>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8,570</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(3,561</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257,419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20" w:type="dxa"/>
            <w:vAlign w:val="bottom"/>
          </w:tcPr>
          <w:p>
            <w:pPr>
              <w:jc w:val="right"/>
              <w:ind w:right="47"/>
              <w:spacing w:after="0"/>
              <w:rPr>
                <w:sz w:val="20"/>
                <w:szCs w:val="20"/>
                <w:color w:val="auto"/>
              </w:rPr>
            </w:pPr>
            <w:r>
              <w:rPr>
                <w:rFonts w:ascii="Arial" w:cs="Arial" w:eastAsia="Arial" w:hAnsi="Arial"/>
                <w:sz w:val="14"/>
                <w:szCs w:val="14"/>
                <w:color w:val="auto"/>
                <w:w w:val="88"/>
              </w:rPr>
              <w:t>22,973</w:t>
            </w:r>
          </w:p>
        </w:tc>
        <w:tc>
          <w:tcPr>
            <w:tcW w:w="440" w:type="dxa"/>
            <w:vAlign w:val="bottom"/>
            <w:gridSpan w:val="2"/>
          </w:tcPr>
          <w:p>
            <w:pPr>
              <w:jc w:val="right"/>
              <w:ind w:right="237"/>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9"/>
              <w:spacing w:after="0"/>
              <w:rPr>
                <w:sz w:val="20"/>
                <w:szCs w:val="20"/>
                <w:color w:val="auto"/>
              </w:rPr>
            </w:pPr>
            <w:r>
              <w:rPr>
                <w:rFonts w:ascii="Arial" w:cs="Arial" w:eastAsia="Arial" w:hAnsi="Arial"/>
                <w:sz w:val="14"/>
                <w:szCs w:val="14"/>
                <w:color w:val="auto"/>
              </w:rPr>
              <w:t>(37,881)</w:t>
            </w:r>
          </w:p>
        </w:tc>
        <w:tc>
          <w:tcPr>
            <w:tcW w:w="360" w:type="dxa"/>
            <w:vAlign w:val="bottom"/>
          </w:tcPr>
          <w:p>
            <w:pPr>
              <w:jc w:val="right"/>
              <w:ind w:right="204"/>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27,863</w:t>
            </w:r>
          </w:p>
        </w:tc>
        <w:tc>
          <w:tcPr>
            <w:tcW w:w="54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(2,716)</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250,582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6,191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4,846</w:t>
            </w:r>
          </w:p>
        </w:tc>
        <w:tc>
          <w:tcPr>
            <w:tcW w:w="3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(4,671)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(4,671)</w:t>
            </w:r>
          </w:p>
        </w:tc>
        <w:tc>
          <w:tcPr>
            <w:tcW w:w="0" w:type="dxa"/>
            <w:vAlign w:val="bottom"/>
          </w:tcPr>
          <w:p>
            <w:pPr>
              <w:spacing w:after="0"/>
              <w:rPr>
                <w:sz w:val="1"/>
                <w:szCs w:val="1"/>
                <w:color w:val="auto"/>
              </w:rPr>
            </w:pPr>
          </w:p>
        </w:tc>
      </w:tr>
      <w:tr>
        <w:trPr>
          <w:trHeight w:val="446"/>
        </w:trPr>
        <w:tc>
          <w:tcPr>
            <w:tcW w:w="5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(1,485)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709"/>
        </w:trPr>
        <w:tc>
          <w:tcPr>
            <w:tcW w:w="520" w:type="dxa"/>
            <w:vAlign w:val="bottom"/>
          </w:tcPr>
          <w:p>
            <w:pPr>
              <w:jc w:val="right"/>
              <w:ind w:right="8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0" w:type="dxa"/>
            <w:vAlign w:val="bottom"/>
          </w:tcPr>
          <w:p>
            <w:pPr>
              <w:jc w:val="right"/>
              <w:spacing w:after="0"/>
              <w:rPr>
                <w:sz w:val="20"/>
                <w:szCs w:val="20"/>
                <w:color w:val="auto"/>
              </w:rPr>
            </w:pPr>
            <w:r>
              <w:rPr>
                <w:rFonts w:ascii="Arial" w:cs="Arial" w:eastAsia="Arial" w:hAnsi="Arial"/>
                <w:sz w:val="14"/>
                <w:szCs w:val="14"/>
                <w:color w:val="auto"/>
                <w:w w:val="99"/>
              </w:rPr>
              <w:t>(6,191)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(6,191)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jc w:val="right"/>
              <w:ind w:right="47"/>
              <w:spacing w:after="0"/>
              <w:rPr>
                <w:sz w:val="20"/>
                <w:szCs w:val="20"/>
                <w:color w:val="auto"/>
              </w:rPr>
            </w:pPr>
            <w:r>
              <w:rPr>
                <w:rFonts w:ascii="Arial" w:cs="Arial" w:eastAsia="Arial" w:hAnsi="Arial"/>
                <w:sz w:val="14"/>
                <w:szCs w:val="14"/>
                <w:color w:val="auto"/>
                <w:w w:val="88"/>
              </w:rPr>
              <w:t>22,973</w:t>
            </w:r>
          </w:p>
        </w:tc>
        <w:tc>
          <w:tcPr>
            <w:tcW w:w="80" w:type="dxa"/>
            <w:vAlign w:val="bottom"/>
            <w:vMerge w:val="continue"/>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99"/>
              <w:spacing w:after="0" w:line="210" w:lineRule="exact"/>
              <w:rPr>
                <w:sz w:val="20"/>
                <w:szCs w:val="20"/>
                <w:color w:val="auto"/>
              </w:rPr>
            </w:pPr>
            <w:r>
              <w:rPr>
                <w:rFonts w:ascii="Arial" w:cs="Arial" w:eastAsia="Arial" w:hAnsi="Arial"/>
                <w:sz w:val="13"/>
                <w:szCs w:val="13"/>
                <w:color w:val="auto"/>
              </w:rPr>
              <w:t>(33,035</w:t>
            </w:r>
            <w:r>
              <w:rPr>
                <w:rFonts w:ascii="Arial" w:cs="Arial" w:eastAsia="Arial" w:hAnsi="Arial"/>
                <w:sz w:val="24"/>
                <w:szCs w:val="24"/>
                <w:color w:val="auto"/>
                <w:vertAlign w:val="superscript"/>
              </w:rPr>
              <w:t>)</w:t>
            </w:r>
          </w:p>
        </w:tc>
        <w:tc>
          <w:tcPr>
            <w:tcW w:w="360" w:type="dxa"/>
            <w:vAlign w:val="bottom"/>
          </w:tcPr>
          <w:p>
            <w:pPr>
              <w:jc w:val="right"/>
              <w:ind w:right="164"/>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23,192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40"/>
              <w:spacing w:after="0" w:line="210" w:lineRule="exact"/>
              <w:rPr>
                <w:sz w:val="20"/>
                <w:szCs w:val="20"/>
                <w:color w:val="auto"/>
              </w:rPr>
            </w:pPr>
            <w:r>
              <w:rPr>
                <w:rFonts w:ascii="Arial" w:cs="Arial" w:eastAsia="Arial" w:hAnsi="Arial"/>
                <w:sz w:val="13"/>
                <w:szCs w:val="13"/>
                <w:color w:val="auto"/>
              </w:rPr>
              <w:t>(4,201</w:t>
            </w:r>
            <w:r>
              <w:rPr>
                <w:rFonts w:ascii="Arial" w:cs="Arial" w:eastAsia="Arial" w:hAnsi="Arial"/>
                <w:sz w:val="24"/>
                <w:szCs w:val="24"/>
                <w:color w:val="auto"/>
                <w:vertAlign w:val="superscript"/>
              </w:rPr>
              <w:t>)</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249,479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-3155315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-2872105</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-2494915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-2023110</wp:posOffset>
            </wp:positionV>
            <wp:extent cx="7246620" cy="2023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23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660"/>
            <w:col w:w="5360"/>
          </w:cols>
          <w:pgMar w:left="240" w:top="904" w:right="279" w:bottom="1440" w:gutter="0" w:footer="0" w:header="0"/>
          <w:type w:val="continuous"/>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Capitala Finance Corp.</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4,881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Adjustments to reconcile net increase (decrease) in net assets resulting from operations to net cash provided</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(21,708)</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and sales of investments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33,049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depreciation on investments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Payment-in-kind interest and dividends</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original issue discount on investments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unrealized depreciation on written call option</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1,485</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and dividend receivable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Trade settlement receivable</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Due from related parties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Due to related parties</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Management and incentive fee payable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Interest and financing fees payable</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Paydowns on SBA debentures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Proceeds from Credit Facility</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shareholders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4,283</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36,281</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40,564</w:t>
            </w:r>
          </w:p>
        </w:tc>
        <w:tc>
          <w:tcPr>
            <w:tcW w:w="2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1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- 146.0%</w:t>
            </w: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Second Lien Debt (12%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3/31/18)</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(14% fully</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(10.5% Cash (3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+ 9.5%,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6/11/20)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(10% PIK,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20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1/1/19) </w:t>
            </w:r>
            <w:r>
              <w:rPr>
                <w:rFonts w:ascii="Arial" w:cs="Arial" w:eastAsia="Arial" w:hAnsi="Arial"/>
                <w:sz w:val="23"/>
                <w:szCs w:val="23"/>
                <w:color w:val="auto"/>
                <w:vertAlign w:val="superscript"/>
              </w:rPr>
              <w:t>(1) (2)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First Lien Debt (12.75%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9/8/21)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19,072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Subordinated Debt (14%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7/23/20)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Membership Unit Warrants (91,739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(12.6%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9"/>
              </w:rPr>
              <w:t>Series A Preferred Stock (350,000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shares, 8% PIK) </w:t>
            </w:r>
            <w:r>
              <w:rPr>
                <w:rFonts w:ascii="Arial" w:cs="Arial" w:eastAsia="Arial" w:hAnsi="Arial"/>
                <w:sz w:val="23"/>
                <w:szCs w:val="23"/>
                <w:color w:val="auto"/>
                <w:vertAlign w:val="superscript"/>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 Merchandise Retailer</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(8.5%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+ 7.5%,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11/7/20)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First Lien Debt (8% Cash (1 month</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 2% Floor),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5/22/20)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(16.25%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+ 14.25%, 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Due 5/22/20)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Preferred Shares (2,966 shares, 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Burke America Parts Group,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9"/>
              </w:rPr>
              <w:t>Home Repair Parts Manufacturer</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(14 units)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926" w:orient="portrait"/>
          <w:cols w:equalWidth="0" w:num="1">
            <w:col w:w="11420"/>
          </w:cols>
          <w:pgMar w:left="240" w:top="904" w:right="239" w:bottom="0" w:gutter="0" w:footer="0" w:header="0"/>
        </w:sect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Arial" w:cs="Arial" w:eastAsia="Arial" w:hAnsi="Arial"/>
                <w:sz w:val="14"/>
                <w:szCs w:val="14"/>
                <w:color w:val="auto"/>
              </w:rPr>
              <w:t>California Pizza Kitchen, Inc.</w:t>
            </w:r>
          </w:p>
        </w:tc>
        <w:tc>
          <w:tcPr>
            <w:tcW w:w="2260" w:type="dxa"/>
            <w:vAlign w:val="bottom"/>
          </w:tcPr>
          <w:p>
            <w:pPr>
              <w:ind w:left="320"/>
              <w:spacing w:after="0"/>
              <w:rPr>
                <w:sz w:val="20"/>
                <w:szCs w:val="20"/>
                <w:color w:val="auto"/>
              </w:rPr>
            </w:pPr>
            <w:r>
              <w:rPr>
                <w:rFonts w:ascii="Arial" w:cs="Arial" w:eastAsia="Arial" w:hAnsi="Arial"/>
                <w:sz w:val="14"/>
                <w:szCs w:val="14"/>
                <w:color w:val="auto"/>
              </w:rPr>
              <w:t>Restaurant</w:t>
            </w:r>
          </w:p>
        </w:tc>
        <w:tc>
          <w:tcPr>
            <w:tcW w:w="2320" w:type="dxa"/>
            <w:vAlign w:val="bottom"/>
          </w:tcPr>
          <w:p>
            <w:pPr>
              <w:ind w:left="240"/>
              <w:spacing w:after="0"/>
              <w:rPr>
                <w:sz w:val="20"/>
                <w:szCs w:val="20"/>
                <w:color w:val="auto"/>
              </w:rPr>
            </w:pPr>
            <w:r>
              <w:rPr>
                <w:rFonts w:ascii="Arial" w:cs="Arial" w:eastAsia="Arial" w:hAnsi="Arial"/>
                <w:sz w:val="14"/>
                <w:szCs w:val="14"/>
                <w:color w:val="auto"/>
              </w:rPr>
              <w:t>Second Lien Debt (11% Cash (1</w:t>
            </w:r>
          </w:p>
        </w:tc>
      </w:tr>
      <w:tr>
        <w:trPr>
          <w:trHeight w:val="149"/>
        </w:trPr>
        <w:tc>
          <w:tcPr>
            <w:tcW w:w="2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320" w:type="dxa"/>
            <w:vAlign w:val="bottom"/>
          </w:tcPr>
          <w:p>
            <w:pPr>
              <w:ind w:left="240"/>
              <w:spacing w:after="0" w:line="149" w:lineRule="exact"/>
              <w:rPr>
                <w:sz w:val="20"/>
                <w:szCs w:val="20"/>
                <w:color w:val="auto"/>
              </w:rPr>
            </w:pPr>
            <w:r>
              <w:rPr>
                <w:rFonts w:ascii="Arial" w:cs="Arial" w:eastAsia="Arial" w:hAnsi="Arial"/>
                <w:sz w:val="14"/>
                <w:szCs w:val="14"/>
                <w:color w:val="auto"/>
              </w:rPr>
              <w:t>month LIBOR + 10%, 1% Floor),</w:t>
            </w:r>
          </w:p>
        </w:tc>
      </w:tr>
      <w:tr>
        <w:trPr>
          <w:trHeight w:val="182"/>
        </w:trPr>
        <w:tc>
          <w:tcPr>
            <w:tcW w:w="2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320" w:type="dxa"/>
            <w:vAlign w:val="bottom"/>
          </w:tcPr>
          <w:p>
            <w:pPr>
              <w:ind w:left="240"/>
              <w:spacing w:after="0"/>
              <w:rPr>
                <w:sz w:val="20"/>
                <w:szCs w:val="20"/>
                <w:color w:val="auto"/>
              </w:rPr>
            </w:pPr>
            <w:r>
              <w:rPr>
                <w:rFonts w:ascii="Arial" w:cs="Arial" w:eastAsia="Arial" w:hAnsi="Arial"/>
                <w:sz w:val="14"/>
                <w:szCs w:val="14"/>
                <w:color w:val="auto"/>
              </w:rPr>
              <w:t>Due 8/23/23)</w:t>
            </w:r>
          </w:p>
        </w:tc>
      </w:tr>
      <w:tr>
        <w:trPr>
          <w:trHeight w:val="648"/>
        </w:trPr>
        <w:tc>
          <w:tcPr>
            <w:tcW w:w="232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260" w:type="dxa"/>
            <w:vAlign w:val="bottom"/>
          </w:tcPr>
          <w:p>
            <w:pPr>
              <w:ind w:left="320"/>
              <w:spacing w:after="0"/>
              <w:rPr>
                <w:sz w:val="20"/>
                <w:szCs w:val="20"/>
                <w:color w:val="auto"/>
              </w:rPr>
            </w:pPr>
            <w:r>
              <w:rPr>
                <w:rFonts w:ascii="Arial" w:cs="Arial" w:eastAsia="Arial" w:hAnsi="Arial"/>
                <w:sz w:val="14"/>
                <w:szCs w:val="14"/>
                <w:color w:val="auto"/>
              </w:rPr>
              <w:t>In-Home Healthcare Services</w:t>
            </w:r>
          </w:p>
        </w:tc>
        <w:tc>
          <w:tcPr>
            <w:tcW w:w="2320" w:type="dxa"/>
            <w:vAlign w:val="bottom"/>
          </w:tcPr>
          <w:p>
            <w:pPr>
              <w:ind w:left="240"/>
              <w:spacing w:after="0"/>
              <w:rPr>
                <w:sz w:val="20"/>
                <w:szCs w:val="20"/>
                <w:color w:val="auto"/>
              </w:rPr>
            </w:pPr>
            <w:r>
              <w:rPr>
                <w:rFonts w:ascii="Arial" w:cs="Arial" w:eastAsia="Arial" w:hAnsi="Arial"/>
                <w:sz w:val="14"/>
                <w:szCs w:val="14"/>
                <w:color w:val="auto"/>
              </w:rPr>
              <w:t>Common Stock (293,186 shares)</w:t>
            </w:r>
          </w:p>
        </w:tc>
      </w:tr>
      <w:tr>
        <w:trPr>
          <w:trHeight w:val="273"/>
        </w:trPr>
        <w:tc>
          <w:tcPr>
            <w:tcW w:w="232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260" w:type="dxa"/>
            <w:vAlign w:val="bottom"/>
          </w:tcPr>
          <w:p>
            <w:pPr>
              <w:ind w:left="320"/>
              <w:spacing w:after="0"/>
              <w:rPr>
                <w:sz w:val="20"/>
                <w:szCs w:val="20"/>
                <w:color w:val="auto"/>
              </w:rPr>
            </w:pPr>
            <w:r>
              <w:rPr>
                <w:rFonts w:ascii="Arial" w:cs="Arial" w:eastAsia="Arial" w:hAnsi="Arial"/>
                <w:sz w:val="14"/>
                <w:szCs w:val="14"/>
                <w:color w:val="auto"/>
              </w:rPr>
              <w:t>In-Home Healthcare Services</w:t>
            </w:r>
          </w:p>
        </w:tc>
        <w:tc>
          <w:tcPr>
            <w:tcW w:w="2320" w:type="dxa"/>
            <w:vAlign w:val="bottom"/>
          </w:tcPr>
          <w:p>
            <w:pPr>
              <w:ind w:left="240"/>
              <w:spacing w:after="0"/>
              <w:rPr>
                <w:sz w:val="20"/>
                <w:szCs w:val="20"/>
                <w:color w:val="auto"/>
              </w:rPr>
            </w:pPr>
            <w:r>
              <w:rPr>
                <w:rFonts w:ascii="Arial" w:cs="Arial" w:eastAsia="Arial" w:hAnsi="Arial"/>
                <w:sz w:val="14"/>
                <w:szCs w:val="14"/>
                <w:color w:val="auto"/>
                <w:w w:val="95"/>
              </w:rPr>
              <w:t>Common Stock Warrants (655,908</w:t>
            </w:r>
          </w:p>
        </w:tc>
      </w:tr>
      <w:tr>
        <w:trPr>
          <w:trHeight w:val="313"/>
        </w:trPr>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20" w:type="dxa"/>
            <w:vAlign w:val="bottom"/>
          </w:tcPr>
          <w:p>
            <w:pPr>
              <w:ind w:left="240"/>
              <w:spacing w:after="0"/>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r>
      <w:tr>
        <w:trPr>
          <w:trHeight w:val="524"/>
        </w:trPr>
        <w:tc>
          <w:tcPr>
            <w:tcW w:w="2320" w:type="dxa"/>
            <w:vAlign w:val="bottom"/>
          </w:tcPr>
          <w:p>
            <w:pPr>
              <w:spacing w:after="0"/>
              <w:rPr>
                <w:sz w:val="20"/>
                <w:szCs w:val="20"/>
                <w:color w:val="auto"/>
              </w:rPr>
            </w:pPr>
            <w:r>
              <w:rPr>
                <w:rFonts w:ascii="Arial" w:cs="Arial" w:eastAsia="Arial" w:hAnsi="Arial"/>
                <w:sz w:val="14"/>
                <w:szCs w:val="14"/>
                <w:color w:val="auto"/>
              </w:rPr>
              <w:t>Cedar Electronics Holding Corp.</w:t>
            </w:r>
          </w:p>
        </w:tc>
        <w:tc>
          <w:tcPr>
            <w:tcW w:w="2260" w:type="dxa"/>
            <w:vAlign w:val="bottom"/>
          </w:tcPr>
          <w:p>
            <w:pPr>
              <w:ind w:left="320"/>
              <w:spacing w:after="0"/>
              <w:rPr>
                <w:sz w:val="20"/>
                <w:szCs w:val="20"/>
                <w:color w:val="auto"/>
              </w:rPr>
            </w:pPr>
            <w:r>
              <w:rPr>
                <w:rFonts w:ascii="Arial" w:cs="Arial" w:eastAsia="Arial" w:hAnsi="Arial"/>
                <w:sz w:val="14"/>
                <w:szCs w:val="14"/>
                <w:color w:val="auto"/>
              </w:rPr>
              <w:t>Consumer Electronics</w:t>
            </w:r>
          </w:p>
        </w:tc>
        <w:tc>
          <w:tcPr>
            <w:tcW w:w="2320" w:type="dxa"/>
            <w:vAlign w:val="bottom"/>
          </w:tcPr>
          <w:p>
            <w:pPr>
              <w:ind w:left="240"/>
              <w:spacing w:after="0"/>
              <w:rPr>
                <w:sz w:val="20"/>
                <w:szCs w:val="20"/>
                <w:color w:val="auto"/>
              </w:rPr>
            </w:pPr>
            <w:r>
              <w:rPr>
                <w:rFonts w:ascii="Arial" w:cs="Arial" w:eastAsia="Arial" w:hAnsi="Arial"/>
                <w:sz w:val="14"/>
                <w:szCs w:val="14"/>
                <w:color w:val="auto"/>
                <w:w w:val="92"/>
              </w:rPr>
              <w:t>Subordinated Debt (12% Cash, Due</w:t>
            </w:r>
          </w:p>
        </w:tc>
      </w:tr>
      <w:tr>
        <w:trPr>
          <w:trHeight w:val="313"/>
        </w:trPr>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20" w:type="dxa"/>
            <w:vAlign w:val="bottom"/>
          </w:tcPr>
          <w:p>
            <w:pPr>
              <w:ind w:left="240"/>
              <w:spacing w:after="0"/>
              <w:rPr>
                <w:sz w:val="20"/>
                <w:szCs w:val="20"/>
                <w:color w:val="auto"/>
              </w:rPr>
            </w:pPr>
            <w:r>
              <w:rPr>
                <w:rFonts w:ascii="Arial" w:cs="Arial" w:eastAsia="Arial" w:hAnsi="Arial"/>
                <w:sz w:val="14"/>
                <w:szCs w:val="14"/>
                <w:color w:val="auto"/>
              </w:rPr>
              <w:t xml:space="preserve">12/26/20) </w:t>
            </w:r>
            <w:r>
              <w:rPr>
                <w:rFonts w:ascii="Arial" w:cs="Arial" w:eastAsia="Arial" w:hAnsi="Arial"/>
                <w:sz w:val="23"/>
                <w:szCs w:val="23"/>
                <w:color w:val="auto"/>
                <w:vertAlign w:val="superscript"/>
              </w:rPr>
              <w:t>(13)</w:t>
            </w:r>
          </w:p>
        </w:tc>
      </w:tr>
      <w:tr>
        <w:trPr>
          <w:trHeight w:val="548"/>
        </w:trPr>
        <w:tc>
          <w:tcPr>
            <w:tcW w:w="2320" w:type="dxa"/>
            <w:vAlign w:val="bottom"/>
          </w:tcPr>
          <w:p>
            <w:pPr>
              <w:spacing w:after="0"/>
              <w:rPr>
                <w:sz w:val="20"/>
                <w:szCs w:val="20"/>
                <w:color w:val="auto"/>
              </w:rPr>
            </w:pPr>
            <w:r>
              <w:rPr>
                <w:rFonts w:ascii="Arial" w:cs="Arial" w:eastAsia="Arial" w:hAnsi="Arial"/>
                <w:sz w:val="14"/>
                <w:szCs w:val="14"/>
                <w:color w:val="auto"/>
              </w:rPr>
              <w:t>Community Choice Financial, Inc.</w:t>
            </w:r>
          </w:p>
        </w:tc>
        <w:tc>
          <w:tcPr>
            <w:tcW w:w="2260" w:type="dxa"/>
            <w:vAlign w:val="bottom"/>
          </w:tcPr>
          <w:p>
            <w:pPr>
              <w:ind w:left="320"/>
              <w:spacing w:after="0"/>
              <w:rPr>
                <w:sz w:val="20"/>
                <w:szCs w:val="20"/>
                <w:color w:val="auto"/>
              </w:rPr>
            </w:pPr>
            <w:r>
              <w:rPr>
                <w:rFonts w:ascii="Arial" w:cs="Arial" w:eastAsia="Arial" w:hAnsi="Arial"/>
                <w:sz w:val="14"/>
                <w:szCs w:val="14"/>
                <w:color w:val="auto"/>
              </w:rPr>
              <w:t>Financial Services</w:t>
            </w:r>
          </w:p>
        </w:tc>
        <w:tc>
          <w:tcPr>
            <w:tcW w:w="2320" w:type="dxa"/>
            <w:vAlign w:val="bottom"/>
          </w:tcPr>
          <w:p>
            <w:pPr>
              <w:ind w:left="240"/>
              <w:spacing w:after="0"/>
              <w:rPr>
                <w:sz w:val="20"/>
                <w:szCs w:val="20"/>
                <w:color w:val="auto"/>
              </w:rPr>
            </w:pPr>
            <w:r>
              <w:rPr>
                <w:rFonts w:ascii="Arial" w:cs="Arial" w:eastAsia="Arial" w:hAnsi="Arial"/>
                <w:sz w:val="14"/>
                <w:szCs w:val="14"/>
                <w:color w:val="auto"/>
              </w:rPr>
              <w:t>First Lien Debt (18% Cash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-1955800</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-1560830</wp:posOffset>
            </wp:positionV>
            <wp:extent cx="724662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-1355090</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-1166495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-840740</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7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5,000</w:t>
            </w:r>
          </w:p>
        </w:tc>
        <w:tc>
          <w:tcPr>
            <w:tcW w:w="900" w:type="dxa"/>
            <w:vAlign w:val="bottom"/>
          </w:tcPr>
          <w:p>
            <w:pPr>
              <w:jc w:val="right"/>
              <w:spacing w:after="0"/>
              <w:rPr>
                <w:sz w:val="20"/>
                <w:szCs w:val="20"/>
                <w:color w:val="auto"/>
              </w:rPr>
            </w:pPr>
            <w:r>
              <w:rPr>
                <w:rFonts w:ascii="Arial" w:cs="Arial" w:eastAsia="Arial" w:hAnsi="Arial"/>
                <w:sz w:val="14"/>
                <w:szCs w:val="14"/>
                <w:color w:val="auto"/>
              </w:rPr>
              <w:t>4,862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4,862</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4,862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4,862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6"/>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85"/>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21,550</w:t>
            </w:r>
          </w:p>
        </w:tc>
        <w:tc>
          <w:tcPr>
            <w:tcW w:w="900" w:type="dxa"/>
            <w:vAlign w:val="bottom"/>
          </w:tcPr>
          <w:p>
            <w:pPr>
              <w:jc w:val="right"/>
              <w:spacing w:after="0"/>
              <w:rPr>
                <w:sz w:val="20"/>
                <w:szCs w:val="20"/>
                <w:color w:val="auto"/>
              </w:rPr>
            </w:pPr>
            <w:r>
              <w:rPr>
                <w:rFonts w:ascii="Arial" w:cs="Arial" w:eastAsia="Arial" w:hAnsi="Arial"/>
                <w:sz w:val="14"/>
                <w:szCs w:val="14"/>
                <w:color w:val="auto"/>
              </w:rPr>
              <w:t>21,550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20,245</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21,550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20,245</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6"/>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15,000</w:t>
            </w: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bl>
    <w:p>
      <w:pPr>
        <w:sectPr>
          <w:pgSz w:w="11900" w:h="16926" w:orient="portrait"/>
          <w:cols w:equalWidth="0" w:num="2">
            <w:col w:w="6900" w:space="640"/>
            <w:col w:w="3880"/>
          </w:cols>
          <w:pgMar w:left="240" w:top="904" w:right="23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month LIBOR + 17%, 1% Floor),</w:t>
            </w:r>
          </w:p>
        </w:tc>
      </w:tr>
      <w:tr>
        <w:trPr>
          <w:trHeight w:val="313"/>
        </w:trPr>
        <w:tc>
          <w:tcPr>
            <w:tcW w:w="2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 xml:space="preserve">Due 3/30/18) </w:t>
            </w:r>
            <w:r>
              <w:rPr>
                <w:rFonts w:ascii="Arial" w:cs="Arial" w:eastAsia="Arial" w:hAnsi="Arial"/>
                <w:sz w:val="23"/>
                <w:szCs w:val="23"/>
                <w:color w:val="auto"/>
                <w:vertAlign w:val="superscript"/>
              </w:rPr>
              <w:t>(1) (8)</w:t>
            </w: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Construction Partners, Inc.</w:t>
            </w:r>
          </w:p>
        </w:tc>
        <w:tc>
          <w:tcPr>
            <w:tcW w:w="2040" w:type="dxa"/>
            <w:vAlign w:val="bottom"/>
          </w:tcPr>
          <w:p>
            <w:pPr>
              <w:ind w:left="100"/>
              <w:spacing w:after="0"/>
              <w:rPr>
                <w:sz w:val="20"/>
                <w:szCs w:val="20"/>
                <w:color w:val="auto"/>
              </w:rPr>
            </w:pPr>
            <w:r>
              <w:rPr>
                <w:rFonts w:ascii="Arial" w:cs="Arial" w:eastAsia="Arial" w:hAnsi="Arial"/>
                <w:sz w:val="14"/>
                <w:szCs w:val="14"/>
                <w:color w:val="auto"/>
              </w:rPr>
              <w:t>Construction Services</w:t>
            </w:r>
          </w:p>
        </w:tc>
        <w:tc>
          <w:tcPr>
            <w:tcW w:w="2300" w:type="dxa"/>
            <w:vAlign w:val="bottom"/>
          </w:tcPr>
          <w:p>
            <w:pPr>
              <w:ind w:left="240"/>
              <w:spacing w:after="0"/>
              <w:rPr>
                <w:sz w:val="20"/>
                <w:szCs w:val="20"/>
                <w:color w:val="auto"/>
              </w:rPr>
            </w:pPr>
            <w:r>
              <w:rPr>
                <w:rFonts w:ascii="Arial" w:cs="Arial" w:eastAsia="Arial" w:hAnsi="Arial"/>
                <w:sz w:val="14"/>
                <w:szCs w:val="14"/>
                <w:color w:val="auto"/>
              </w:rPr>
              <w:t>Second Lien Debt (11.5% Cash,</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Due 6/12/20)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04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300" w:type="dxa"/>
            <w:vAlign w:val="bottom"/>
          </w:tcPr>
          <w:p>
            <w:pPr>
              <w:ind w:left="240"/>
              <w:spacing w:after="0"/>
              <w:rPr>
                <w:sz w:val="20"/>
                <w:szCs w:val="20"/>
                <w:color w:val="auto"/>
              </w:rPr>
            </w:pPr>
            <w:r>
              <w:rPr>
                <w:rFonts w:ascii="Arial" w:cs="Arial" w:eastAsia="Arial" w:hAnsi="Arial"/>
                <w:sz w:val="14"/>
                <w:szCs w:val="14"/>
                <w:color w:val="auto"/>
                <w:w w:val="97"/>
              </w:rPr>
              <w:t>Subordinated Debt (9% Cash, 2%</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PIK, Due 11/29/21)</w:t>
            </w: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04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300" w:type="dxa"/>
            <w:vAlign w:val="bottom"/>
          </w:tcPr>
          <w:p>
            <w:pPr>
              <w:ind w:left="240"/>
              <w:spacing w:after="0"/>
              <w:rPr>
                <w:sz w:val="20"/>
                <w:szCs w:val="20"/>
                <w:color w:val="auto"/>
              </w:rPr>
            </w:pPr>
            <w:r>
              <w:rPr>
                <w:rFonts w:ascii="Arial" w:cs="Arial" w:eastAsia="Arial" w:hAnsi="Arial"/>
                <w:sz w:val="14"/>
                <w:szCs w:val="14"/>
                <w:color w:val="auto"/>
              </w:rPr>
              <w:t>Common Stock (15,750 shares)</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04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300" w:type="dxa"/>
            <w:vAlign w:val="bottom"/>
          </w:tcPr>
          <w:p>
            <w:pPr>
              <w:ind w:left="240"/>
              <w:spacing w:after="0"/>
              <w:rPr>
                <w:sz w:val="20"/>
                <w:szCs w:val="20"/>
                <w:color w:val="auto"/>
              </w:rPr>
            </w:pPr>
            <w:r>
              <w:rPr>
                <w:rFonts w:ascii="Arial" w:cs="Arial" w:eastAsia="Arial" w:hAnsi="Arial"/>
                <w:sz w:val="14"/>
                <w:szCs w:val="14"/>
                <w:color w:val="auto"/>
                <w:w w:val="96"/>
              </w:rPr>
              <w:t>Second Lien Debt (8.76% Cash (1</w:t>
            </w:r>
          </w:p>
        </w:tc>
      </w:tr>
      <w:tr>
        <w:trPr>
          <w:trHeight w:val="149"/>
        </w:trPr>
        <w:tc>
          <w:tcPr>
            <w:tcW w:w="2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00" w:type="dxa"/>
            <w:vAlign w:val="bottom"/>
          </w:tcPr>
          <w:p>
            <w:pPr>
              <w:ind w:left="240"/>
              <w:spacing w:after="0" w:line="149" w:lineRule="exact"/>
              <w:rPr>
                <w:sz w:val="20"/>
                <w:szCs w:val="20"/>
                <w:color w:val="auto"/>
              </w:rPr>
            </w:pPr>
            <w:r>
              <w:rPr>
                <w:rFonts w:ascii="Arial" w:cs="Arial" w:eastAsia="Arial" w:hAnsi="Arial"/>
                <w:sz w:val="14"/>
                <w:szCs w:val="14"/>
                <w:color w:val="auto"/>
                <w:w w:val="95"/>
              </w:rPr>
              <w:t>month LIBOR + 7.75%, 1% Floor),</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Due 8/7/22)</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Currency Capital, LLC</w:t>
            </w:r>
          </w:p>
        </w:tc>
        <w:tc>
          <w:tcPr>
            <w:tcW w:w="2040" w:type="dxa"/>
            <w:vAlign w:val="bottom"/>
          </w:tcPr>
          <w:p>
            <w:pPr>
              <w:ind w:left="100"/>
              <w:spacing w:after="0"/>
              <w:rPr>
                <w:sz w:val="20"/>
                <w:szCs w:val="20"/>
                <w:color w:val="auto"/>
              </w:rPr>
            </w:pPr>
            <w:r>
              <w:rPr>
                <w:rFonts w:ascii="Arial" w:cs="Arial" w:eastAsia="Arial" w:hAnsi="Arial"/>
                <w:sz w:val="14"/>
                <w:szCs w:val="14"/>
                <w:color w:val="auto"/>
              </w:rPr>
              <w:t>Financial Services</w:t>
            </w:r>
          </w:p>
        </w:tc>
        <w:tc>
          <w:tcPr>
            <w:tcW w:w="2300" w:type="dxa"/>
            <w:vAlign w:val="bottom"/>
          </w:tcPr>
          <w:p>
            <w:pPr>
              <w:ind w:left="240"/>
              <w:spacing w:after="0"/>
              <w:rPr>
                <w:sz w:val="20"/>
                <w:szCs w:val="20"/>
                <w:color w:val="auto"/>
              </w:rPr>
            </w:pPr>
            <w:r>
              <w:rPr>
                <w:rFonts w:ascii="Arial" w:cs="Arial" w:eastAsia="Arial" w:hAnsi="Arial"/>
                <w:sz w:val="14"/>
                <w:szCs w:val="14"/>
                <w:color w:val="auto"/>
              </w:rPr>
              <w:t>First Lien Debt (11.81% Cash (1</w:t>
            </w:r>
          </w:p>
        </w:tc>
      </w:tr>
      <w:tr>
        <w:trPr>
          <w:trHeight w:val="158"/>
        </w:trPr>
        <w:tc>
          <w:tcPr>
            <w:tcW w:w="2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300" w:type="dxa"/>
            <w:vAlign w:val="bottom"/>
          </w:tcPr>
          <w:p>
            <w:pPr>
              <w:ind w:left="240"/>
              <w:spacing w:after="0" w:line="159" w:lineRule="exact"/>
              <w:rPr>
                <w:sz w:val="20"/>
                <w:szCs w:val="20"/>
                <w:color w:val="auto"/>
              </w:rPr>
            </w:pPr>
            <w:r>
              <w:rPr>
                <w:rFonts w:ascii="Arial" w:cs="Arial" w:eastAsia="Arial" w:hAnsi="Arial"/>
                <w:sz w:val="14"/>
                <w:szCs w:val="14"/>
                <w:color w:val="auto"/>
              </w:rPr>
              <w:t>month LIBOR + 11.00%, 0.50%</w:t>
            </w:r>
          </w:p>
        </w:tc>
      </w:tr>
      <w:tr>
        <w:trPr>
          <w:trHeight w:val="313"/>
        </w:trPr>
        <w:tc>
          <w:tcPr>
            <w:tcW w:w="2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 xml:space="preserve">Floor) Due 1/20/22) </w:t>
            </w:r>
            <w:r>
              <w:rPr>
                <w:rFonts w:ascii="Arial" w:cs="Arial" w:eastAsia="Arial" w:hAnsi="Arial"/>
                <w:sz w:val="23"/>
                <w:szCs w:val="23"/>
                <w:color w:val="auto"/>
                <w:vertAlign w:val="superscript"/>
              </w:rPr>
              <w:t>(8)</w:t>
            </w: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Currency Capital, LLC</w:t>
            </w:r>
          </w:p>
        </w:tc>
        <w:tc>
          <w:tcPr>
            <w:tcW w:w="2040" w:type="dxa"/>
            <w:vAlign w:val="bottom"/>
          </w:tcPr>
          <w:p>
            <w:pPr>
              <w:ind w:left="100"/>
              <w:spacing w:after="0"/>
              <w:rPr>
                <w:sz w:val="20"/>
                <w:szCs w:val="20"/>
                <w:color w:val="auto"/>
              </w:rPr>
            </w:pPr>
            <w:r>
              <w:rPr>
                <w:rFonts w:ascii="Arial" w:cs="Arial" w:eastAsia="Arial" w:hAnsi="Arial"/>
                <w:sz w:val="14"/>
                <w:szCs w:val="14"/>
                <w:color w:val="auto"/>
              </w:rPr>
              <w:t>Financial Services</w:t>
            </w:r>
          </w:p>
        </w:tc>
        <w:tc>
          <w:tcPr>
            <w:tcW w:w="2300" w:type="dxa"/>
            <w:vAlign w:val="bottom"/>
          </w:tcPr>
          <w:p>
            <w:pPr>
              <w:ind w:left="240"/>
              <w:spacing w:after="0"/>
              <w:rPr>
                <w:sz w:val="20"/>
                <w:szCs w:val="20"/>
                <w:color w:val="auto"/>
              </w:rPr>
            </w:pPr>
            <w:r>
              <w:rPr>
                <w:rFonts w:ascii="Arial" w:cs="Arial" w:eastAsia="Arial" w:hAnsi="Arial"/>
                <w:sz w:val="14"/>
                <w:szCs w:val="14"/>
                <w:color w:val="auto"/>
                <w:w w:val="93"/>
              </w:rPr>
              <w:t>Class A Preferred Units (2,000,000</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units)</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04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300" w:type="dxa"/>
            <w:vAlign w:val="bottom"/>
          </w:tcPr>
          <w:p>
            <w:pPr>
              <w:ind w:left="240"/>
              <w:spacing w:after="0"/>
              <w:rPr>
                <w:sz w:val="20"/>
                <w:szCs w:val="20"/>
                <w:color w:val="auto"/>
              </w:rPr>
            </w:pPr>
            <w:r>
              <w:rPr>
                <w:rFonts w:ascii="Arial" w:cs="Arial" w:eastAsia="Arial" w:hAnsi="Arial"/>
                <w:sz w:val="14"/>
                <w:szCs w:val="14"/>
                <w:color w:val="auto"/>
              </w:rPr>
              <w:t>First Lien Debt (6.90% Cash (3</w:t>
            </w:r>
          </w:p>
        </w:tc>
      </w:tr>
      <w:tr>
        <w:trPr>
          <w:trHeight w:val="149"/>
        </w:trPr>
        <w:tc>
          <w:tcPr>
            <w:tcW w:w="2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00" w:type="dxa"/>
            <w:vAlign w:val="bottom"/>
          </w:tcPr>
          <w:p>
            <w:pPr>
              <w:ind w:left="240"/>
              <w:spacing w:after="0" w:line="149" w:lineRule="exact"/>
              <w:rPr>
                <w:sz w:val="20"/>
                <w:szCs w:val="20"/>
                <w:color w:val="auto"/>
              </w:rPr>
            </w:pPr>
            <w:r>
              <w:rPr>
                <w:rFonts w:ascii="Arial" w:cs="Arial" w:eastAsia="Arial" w:hAnsi="Arial"/>
                <w:sz w:val="14"/>
                <w:szCs w:val="14"/>
                <w:color w:val="auto"/>
                <w:w w:val="95"/>
              </w:rPr>
              <w:t>month LIBOR + 5.75%, 1% Floor),</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Due 4/3/20)</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04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300" w:type="dxa"/>
            <w:vAlign w:val="bottom"/>
          </w:tcPr>
          <w:p>
            <w:pPr>
              <w:ind w:left="240"/>
              <w:spacing w:after="0"/>
              <w:rPr>
                <w:sz w:val="20"/>
                <w:szCs w:val="20"/>
                <w:color w:val="auto"/>
              </w:rPr>
            </w:pPr>
            <w:r>
              <w:rPr>
                <w:rFonts w:ascii="Arial" w:cs="Arial" w:eastAsia="Arial" w:hAnsi="Arial"/>
                <w:sz w:val="14"/>
                <w:szCs w:val="14"/>
                <w:color w:val="auto"/>
                <w:w w:val="92"/>
              </w:rPr>
              <w:t>Second Lien Debt (11.15% Cash (3</w:t>
            </w:r>
          </w:p>
        </w:tc>
      </w:tr>
      <w:tr>
        <w:trPr>
          <w:trHeight w:val="149"/>
        </w:trPr>
        <w:tc>
          <w:tcPr>
            <w:tcW w:w="2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00" w:type="dxa"/>
            <w:vAlign w:val="bottom"/>
          </w:tcPr>
          <w:p>
            <w:pPr>
              <w:ind w:left="240"/>
              <w:spacing w:after="0" w:line="149" w:lineRule="exact"/>
              <w:rPr>
                <w:sz w:val="20"/>
                <w:szCs w:val="20"/>
                <w:color w:val="auto"/>
              </w:rPr>
            </w:pPr>
            <w:r>
              <w:rPr>
                <w:rFonts w:ascii="Arial" w:cs="Arial" w:eastAsia="Arial" w:hAnsi="Arial"/>
                <w:sz w:val="14"/>
                <w:szCs w:val="14"/>
                <w:color w:val="auto"/>
              </w:rPr>
              <w:t>month LIBOR + 10%, 1% Floor),</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Due 10/3/21)</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04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300" w:type="dxa"/>
            <w:vAlign w:val="bottom"/>
          </w:tcPr>
          <w:p>
            <w:pPr>
              <w:ind w:left="240"/>
              <w:spacing w:after="0"/>
              <w:rPr>
                <w:sz w:val="20"/>
                <w:szCs w:val="20"/>
                <w:color w:val="auto"/>
              </w:rPr>
            </w:pPr>
            <w:r>
              <w:rPr>
                <w:rFonts w:ascii="Arial" w:cs="Arial" w:eastAsia="Arial" w:hAnsi="Arial"/>
                <w:sz w:val="14"/>
                <w:szCs w:val="14"/>
                <w:color w:val="auto"/>
                <w:w w:val="98"/>
              </w:rPr>
              <w:t>Subordinated Debt (Due 12/9/19)</w:t>
            </w:r>
          </w:p>
        </w:tc>
      </w:tr>
      <w:tr>
        <w:trPr>
          <w:trHeight w:val="153"/>
        </w:trPr>
        <w:tc>
          <w:tcPr>
            <w:tcW w:w="2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300" w:type="dxa"/>
            <w:vAlign w:val="bottom"/>
          </w:tcPr>
          <w:p>
            <w:pPr>
              <w:ind w:left="240"/>
              <w:spacing w:after="0"/>
              <w:rPr>
                <w:sz w:val="20"/>
                <w:szCs w:val="20"/>
                <w:color w:val="auto"/>
              </w:rPr>
            </w:pPr>
            <w:r>
              <w:rPr>
                <w:rFonts w:ascii="Arial" w:cs="Arial" w:eastAsia="Arial" w:hAnsi="Arial"/>
                <w:sz w:val="12"/>
                <w:szCs w:val="12"/>
                <w:color w:val="auto"/>
              </w:rPr>
              <w:t>(9)</w:t>
            </w:r>
          </w:p>
        </w:tc>
      </w:tr>
      <w:tr>
        <w:trPr>
          <w:trHeight w:val="648"/>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0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300" w:type="dxa"/>
            <w:vAlign w:val="bottom"/>
          </w:tcPr>
          <w:p>
            <w:pPr>
              <w:ind w:left="240"/>
              <w:spacing w:after="0"/>
              <w:rPr>
                <w:sz w:val="20"/>
                <w:szCs w:val="20"/>
                <w:color w:val="auto"/>
              </w:rPr>
            </w:pPr>
            <w:r>
              <w:rPr>
                <w:rFonts w:ascii="Arial" w:cs="Arial" w:eastAsia="Arial" w:hAnsi="Arial"/>
                <w:sz w:val="14"/>
                <w:szCs w:val="14"/>
                <w:color w:val="auto"/>
              </w:rPr>
              <w:t>First Lien Debt (14% Cash, Due</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3/31/19)</w:t>
            </w: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0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300" w:type="dxa"/>
            <w:vAlign w:val="bottom"/>
          </w:tcPr>
          <w:p>
            <w:pPr>
              <w:ind w:left="240"/>
              <w:spacing w:after="0"/>
              <w:rPr>
                <w:sz w:val="20"/>
                <w:szCs w:val="20"/>
                <w:color w:val="auto"/>
              </w:rPr>
            </w:pPr>
            <w:r>
              <w:rPr>
                <w:rFonts w:ascii="Arial" w:cs="Arial" w:eastAsia="Arial" w:hAnsi="Arial"/>
                <w:sz w:val="14"/>
                <w:szCs w:val="14"/>
                <w:color w:val="auto"/>
              </w:rPr>
              <w:t>Preferred Units (1,000 units)</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0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300" w:type="dxa"/>
            <w:vAlign w:val="bottom"/>
          </w:tcPr>
          <w:p>
            <w:pPr>
              <w:ind w:left="240"/>
              <w:spacing w:after="0"/>
              <w:rPr>
                <w:sz w:val="20"/>
                <w:szCs w:val="20"/>
                <w:color w:val="auto"/>
              </w:rPr>
            </w:pPr>
            <w:r>
              <w:rPr>
                <w:rFonts w:ascii="Arial" w:cs="Arial" w:eastAsia="Arial" w:hAnsi="Arial"/>
                <w:sz w:val="14"/>
                <w:szCs w:val="14"/>
                <w:color w:val="auto"/>
              </w:rPr>
              <w:t>Common Stock Warrants (15%</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fully diluted)</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04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300" w:type="dxa"/>
            <w:vAlign w:val="bottom"/>
          </w:tcPr>
          <w:p>
            <w:pPr>
              <w:ind w:left="240"/>
              <w:spacing w:after="0"/>
              <w:rPr>
                <w:sz w:val="20"/>
                <w:szCs w:val="20"/>
                <w:color w:val="auto"/>
              </w:rPr>
            </w:pPr>
            <w:r>
              <w:rPr>
                <w:rFonts w:ascii="Arial" w:cs="Arial" w:eastAsia="Arial" w:hAnsi="Arial"/>
                <w:sz w:val="14"/>
                <w:szCs w:val="14"/>
                <w:color w:val="auto"/>
              </w:rPr>
              <w:t>Series C Convertible Preferred</w:t>
            </w:r>
          </w:p>
        </w:tc>
      </w:tr>
      <w:tr>
        <w:trPr>
          <w:trHeight w:val="313"/>
        </w:trPr>
        <w:tc>
          <w:tcPr>
            <w:tcW w:w="2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Stock (740 shares)</w:t>
            </w:r>
            <w:r>
              <w:rPr>
                <w:rFonts w:ascii="Arial" w:cs="Arial" w:eastAsia="Arial" w:hAnsi="Arial"/>
                <w:sz w:val="23"/>
                <w:szCs w:val="23"/>
                <w:color w:val="auto"/>
                <w:vertAlign w:val="superscript"/>
              </w:rPr>
              <w:t>(12)</w:t>
            </w: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Nielsen &amp; Bainbridge, LLC</w:t>
            </w:r>
          </w:p>
        </w:tc>
        <w:tc>
          <w:tcPr>
            <w:tcW w:w="2040" w:type="dxa"/>
            <w:vAlign w:val="bottom"/>
          </w:tcPr>
          <w:p>
            <w:pPr>
              <w:ind w:left="100"/>
              <w:spacing w:after="0"/>
              <w:rPr>
                <w:sz w:val="20"/>
                <w:szCs w:val="20"/>
                <w:color w:val="auto"/>
              </w:rPr>
            </w:pPr>
            <w:r>
              <w:rPr>
                <w:rFonts w:ascii="Arial" w:cs="Arial" w:eastAsia="Arial" w:hAnsi="Arial"/>
                <w:sz w:val="14"/>
                <w:szCs w:val="14"/>
                <w:color w:val="auto"/>
              </w:rPr>
              <w:t>Home Décor Manufacturer</w:t>
            </w:r>
          </w:p>
        </w:tc>
        <w:tc>
          <w:tcPr>
            <w:tcW w:w="2300" w:type="dxa"/>
            <w:vAlign w:val="bottom"/>
          </w:tcPr>
          <w:p>
            <w:pPr>
              <w:ind w:left="240"/>
              <w:spacing w:after="0"/>
              <w:rPr>
                <w:sz w:val="20"/>
                <w:szCs w:val="20"/>
                <w:color w:val="auto"/>
              </w:rPr>
            </w:pPr>
            <w:r>
              <w:rPr>
                <w:rFonts w:ascii="Arial" w:cs="Arial" w:eastAsia="Arial" w:hAnsi="Arial"/>
                <w:sz w:val="14"/>
                <w:szCs w:val="14"/>
                <w:color w:val="auto"/>
                <w:w w:val="96"/>
              </w:rPr>
              <w:t>Second Lien Debt (10.5% Cash (6</w:t>
            </w:r>
          </w:p>
        </w:tc>
      </w:tr>
      <w:tr>
        <w:trPr>
          <w:trHeight w:val="149"/>
        </w:trPr>
        <w:tc>
          <w:tcPr>
            <w:tcW w:w="2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00" w:type="dxa"/>
            <w:vAlign w:val="bottom"/>
          </w:tcPr>
          <w:p>
            <w:pPr>
              <w:ind w:left="240"/>
              <w:spacing w:after="0" w:line="149" w:lineRule="exact"/>
              <w:rPr>
                <w:sz w:val="20"/>
                <w:szCs w:val="20"/>
                <w:color w:val="auto"/>
              </w:rPr>
            </w:pPr>
            <w:r>
              <w:rPr>
                <w:rFonts w:ascii="Arial" w:cs="Arial" w:eastAsia="Arial" w:hAnsi="Arial"/>
                <w:sz w:val="14"/>
                <w:szCs w:val="14"/>
                <w:color w:val="auto"/>
                <w:w w:val="95"/>
              </w:rPr>
              <w:t>month LIBOR + 9.25%, 1% Floor),</w:t>
            </w:r>
          </w:p>
        </w:tc>
      </w:tr>
      <w:tr>
        <w:trPr>
          <w:trHeight w:val="182"/>
        </w:trPr>
        <w:tc>
          <w:tcPr>
            <w:tcW w:w="2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Due 8/15/21)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-6534785</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-6209030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-6003290</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-5702935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-5497195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-5214620</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-5008880</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-4802505</wp:posOffset>
            </wp:positionV>
            <wp:extent cx="72466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-4408170</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-4202430</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-3799205</wp:posOffset>
            </wp:positionV>
            <wp:extent cx="72466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-3499485</wp:posOffset>
            </wp:positionV>
            <wp:extent cx="72466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-3293110</wp:posOffset>
            </wp:positionV>
            <wp:extent cx="724662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-2915920</wp:posOffset>
            </wp:positionV>
            <wp:extent cx="72466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-2521585</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-2315845</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-2007235</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-1801495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-1518285</wp:posOffset>
            </wp:positionV>
            <wp:extent cx="724662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-1329690</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72466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2466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9,500</w:t>
            </w:r>
          </w:p>
        </w:tc>
        <w:tc>
          <w:tcPr>
            <w:tcW w:w="900" w:type="dxa"/>
            <w:vAlign w:val="bottom"/>
          </w:tcPr>
          <w:p>
            <w:pPr>
              <w:jc w:val="right"/>
              <w:spacing w:after="0"/>
              <w:rPr>
                <w:sz w:val="20"/>
                <w:szCs w:val="20"/>
                <w:color w:val="auto"/>
              </w:rPr>
            </w:pPr>
            <w:r>
              <w:rPr>
                <w:rFonts w:ascii="Arial" w:cs="Arial" w:eastAsia="Arial" w:hAnsi="Arial"/>
                <w:sz w:val="14"/>
                <w:szCs w:val="14"/>
                <w:color w:val="auto"/>
              </w:rPr>
              <w:t>9,500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16,349</w:t>
            </w:r>
          </w:p>
        </w:tc>
        <w:tc>
          <w:tcPr>
            <w:tcW w:w="900" w:type="dxa"/>
            <w:vAlign w:val="bottom"/>
          </w:tcPr>
          <w:p>
            <w:pPr>
              <w:jc w:val="right"/>
              <w:spacing w:after="0"/>
              <w:rPr>
                <w:sz w:val="20"/>
                <w:szCs w:val="20"/>
                <w:color w:val="auto"/>
              </w:rPr>
            </w:pPr>
            <w:r>
              <w:rPr>
                <w:rFonts w:ascii="Arial" w:cs="Arial" w:eastAsia="Arial" w:hAnsi="Arial"/>
                <w:sz w:val="14"/>
                <w:szCs w:val="14"/>
                <w:color w:val="auto"/>
              </w:rPr>
              <w:t>16,349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15,056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96"/>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1,575</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17,924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15,722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12,000</w:t>
            </w:r>
          </w:p>
        </w:tc>
        <w:tc>
          <w:tcPr>
            <w:tcW w:w="900" w:type="dxa"/>
            <w:vAlign w:val="bottom"/>
          </w:tcPr>
          <w:p>
            <w:pPr>
              <w:jc w:val="right"/>
              <w:spacing w:after="0"/>
              <w:rPr>
                <w:sz w:val="20"/>
                <w:szCs w:val="20"/>
                <w:color w:val="auto"/>
              </w:rPr>
            </w:pPr>
            <w:r>
              <w:rPr>
                <w:rFonts w:ascii="Arial" w:cs="Arial" w:eastAsia="Arial" w:hAnsi="Arial"/>
                <w:sz w:val="14"/>
                <w:szCs w:val="14"/>
                <w:color w:val="auto"/>
              </w:rPr>
              <w:t>11,821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11,821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16,000</w:t>
            </w:r>
          </w:p>
        </w:tc>
        <w:tc>
          <w:tcPr>
            <w:tcW w:w="900" w:type="dxa"/>
            <w:vAlign w:val="bottom"/>
          </w:tcPr>
          <w:p>
            <w:pPr>
              <w:jc w:val="right"/>
              <w:spacing w:after="0"/>
              <w:rPr>
                <w:sz w:val="20"/>
                <w:szCs w:val="20"/>
                <w:color w:val="auto"/>
              </w:rPr>
            </w:pPr>
            <w:r>
              <w:rPr>
                <w:rFonts w:ascii="Arial" w:cs="Arial" w:eastAsia="Arial" w:hAnsi="Arial"/>
                <w:sz w:val="14"/>
                <w:szCs w:val="14"/>
                <w:color w:val="auto"/>
              </w:rPr>
              <w:t>16,000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6.4%</w:t>
            </w:r>
          </w:p>
        </w:tc>
      </w:tr>
      <w:tr>
        <w:trPr>
          <w:trHeight w:val="44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7,000</w:t>
            </w:r>
          </w:p>
        </w:tc>
        <w:tc>
          <w:tcPr>
            <w:tcW w:w="900" w:type="dxa"/>
            <w:vAlign w:val="bottom"/>
          </w:tcPr>
          <w:p>
            <w:pPr>
              <w:jc w:val="right"/>
              <w:spacing w:after="0"/>
              <w:rPr>
                <w:sz w:val="20"/>
                <w:szCs w:val="20"/>
                <w:color w:val="auto"/>
              </w:rPr>
            </w:pPr>
            <w:r>
              <w:rPr>
                <w:rFonts w:ascii="Arial" w:cs="Arial" w:eastAsia="Arial" w:hAnsi="Arial"/>
                <w:sz w:val="14"/>
                <w:szCs w:val="14"/>
                <w:color w:val="auto"/>
              </w:rPr>
              <w:t>6,845</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6,312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59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12,000</w:t>
            </w:r>
          </w:p>
        </w:tc>
        <w:tc>
          <w:tcPr>
            <w:tcW w:w="900" w:type="dxa"/>
            <w:vAlign w:val="bottom"/>
          </w:tcPr>
          <w:p>
            <w:pPr>
              <w:jc w:val="right"/>
              <w:spacing w:after="0"/>
              <w:rPr>
                <w:sz w:val="20"/>
                <w:szCs w:val="20"/>
                <w:color w:val="auto"/>
              </w:rPr>
            </w:pPr>
            <w:r>
              <w:rPr>
                <w:rFonts w:ascii="Arial" w:cs="Arial" w:eastAsia="Arial" w:hAnsi="Arial"/>
                <w:sz w:val="14"/>
                <w:szCs w:val="14"/>
                <w:color w:val="auto"/>
              </w:rPr>
              <w:t>11,688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10,239</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18,533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16,551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2,000</w:t>
            </w: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13,674</w:t>
            </w:r>
          </w:p>
        </w:tc>
        <w:tc>
          <w:tcPr>
            <w:tcW w:w="900" w:type="dxa"/>
            <w:vAlign w:val="bottom"/>
          </w:tcPr>
          <w:p>
            <w:pPr>
              <w:jc w:val="right"/>
              <w:spacing w:after="0"/>
              <w:rPr>
                <w:sz w:val="20"/>
                <w:szCs w:val="20"/>
                <w:color w:val="auto"/>
              </w:rPr>
            </w:pPr>
            <w:r>
              <w:rPr>
                <w:rFonts w:ascii="Arial" w:cs="Arial" w:eastAsia="Arial" w:hAnsi="Arial"/>
                <w:sz w:val="14"/>
                <w:szCs w:val="14"/>
                <w:color w:val="auto"/>
              </w:rPr>
              <w:t>13,669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97"/>
        </w:trPr>
        <w:tc>
          <w:tcPr>
            <w:tcW w:w="6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3,433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4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17,124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15,000</w:t>
            </w:r>
          </w:p>
        </w:tc>
        <w:tc>
          <w:tcPr>
            <w:tcW w:w="900" w:type="dxa"/>
            <w:vAlign w:val="bottom"/>
          </w:tcPr>
          <w:p>
            <w:pPr>
              <w:jc w:val="right"/>
              <w:spacing w:after="0"/>
              <w:rPr>
                <w:sz w:val="20"/>
                <w:szCs w:val="20"/>
                <w:color w:val="auto"/>
              </w:rPr>
            </w:pPr>
            <w:r>
              <w:rPr>
                <w:rFonts w:ascii="Arial" w:cs="Arial" w:eastAsia="Arial" w:hAnsi="Arial"/>
                <w:sz w:val="14"/>
                <w:szCs w:val="14"/>
                <w:color w:val="auto"/>
              </w:rPr>
              <w:t>14,857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14,857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-6525260</wp:posOffset>
            </wp:positionV>
            <wp:extent cx="19983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2">
            <w:col w:w="6880" w:space="660"/>
            <w:col w:w="388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vMerge w:val="restart"/>
          </w:tcPr>
          <w:p>
            <w:pPr>
              <w:ind w:left="76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(4) , (5)</w:t>
            </w:r>
          </w:p>
        </w:tc>
        <w:tc>
          <w:tcPr>
            <w:tcW w:w="120" w:type="dxa"/>
            <w:vAlign w:val="bottom"/>
            <w:vMerge w:val="restart"/>
          </w:tcPr>
          <w:p>
            <w:pPr>
              <w:spacing w:after="0"/>
              <w:rPr>
                <w:sz w:val="16"/>
                <w:szCs w:val="16"/>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16"/>
                <w:szCs w:val="16"/>
                <w:color w:val="auto"/>
              </w:rPr>
            </w:pPr>
          </w:p>
        </w:tc>
        <w:tc>
          <w:tcPr>
            <w:tcW w:w="20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6"/>
                <w:szCs w:val="16"/>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0" w:gutter="0" w:footer="0" w:header="0"/>
        </w:sect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Nth Degree, Inc.</w:t>
            </w:r>
          </w:p>
        </w:tc>
        <w:tc>
          <w:tcPr>
            <w:tcW w:w="2240" w:type="dxa"/>
            <w:vAlign w:val="bottom"/>
          </w:tcPr>
          <w:p>
            <w:pPr>
              <w:ind w:left="180"/>
              <w:spacing w:after="0"/>
              <w:rPr>
                <w:sz w:val="20"/>
                <w:szCs w:val="20"/>
                <w:color w:val="auto"/>
              </w:rPr>
            </w:pPr>
            <w:r>
              <w:rPr>
                <w:rFonts w:ascii="Arial" w:cs="Arial" w:eastAsia="Arial" w:hAnsi="Arial"/>
                <w:sz w:val="14"/>
                <w:szCs w:val="14"/>
                <w:color w:val="auto"/>
              </w:rPr>
              <w:t>Business Services</w:t>
            </w:r>
          </w:p>
        </w:tc>
        <w:tc>
          <w:tcPr>
            <w:tcW w:w="2200" w:type="dxa"/>
            <w:vAlign w:val="bottom"/>
          </w:tcPr>
          <w:p>
            <w:pPr>
              <w:ind w:left="120"/>
              <w:spacing w:after="0"/>
              <w:rPr>
                <w:sz w:val="20"/>
                <w:szCs w:val="20"/>
                <w:color w:val="auto"/>
              </w:rPr>
            </w:pPr>
            <w:r>
              <w:rPr>
                <w:rFonts w:ascii="Arial" w:cs="Arial" w:eastAsia="Arial" w:hAnsi="Arial"/>
                <w:sz w:val="14"/>
                <w:szCs w:val="14"/>
                <w:color w:val="auto"/>
                <w:w w:val="95"/>
              </w:rPr>
              <w:t>First Lien Debt (8% Cash (1 month</w:t>
            </w:r>
          </w:p>
        </w:tc>
      </w:tr>
      <w:tr>
        <w:trPr>
          <w:trHeight w:val="149"/>
        </w:trPr>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LIBOR + 7%, 1% Floor), 1% PIK,</w:t>
            </w:r>
          </w:p>
        </w:tc>
      </w:tr>
      <w:tr>
        <w:trPr>
          <w:trHeight w:val="182"/>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Due 12/14/20)</w:t>
            </w:r>
          </w:p>
        </w:tc>
      </w:tr>
      <w:tr>
        <w:trPr>
          <w:trHeight w:val="263"/>
        </w:trPr>
        <w:tc>
          <w:tcPr>
            <w:tcW w:w="2460" w:type="dxa"/>
            <w:vAlign w:val="bottom"/>
          </w:tcPr>
          <w:p>
            <w:pPr>
              <w:spacing w:after="0"/>
              <w:rPr>
                <w:sz w:val="20"/>
                <w:szCs w:val="20"/>
                <w:color w:val="auto"/>
              </w:rPr>
            </w:pPr>
            <w:r>
              <w:rPr>
                <w:rFonts w:ascii="Arial" w:cs="Arial" w:eastAsia="Arial" w:hAnsi="Arial"/>
                <w:sz w:val="14"/>
                <w:szCs w:val="14"/>
                <w:color w:val="auto"/>
              </w:rPr>
              <w:t>Nth Degree, Inc.</w:t>
            </w:r>
          </w:p>
        </w:tc>
        <w:tc>
          <w:tcPr>
            <w:tcW w:w="2240" w:type="dxa"/>
            <w:vAlign w:val="bottom"/>
          </w:tcPr>
          <w:p>
            <w:pPr>
              <w:ind w:left="180"/>
              <w:spacing w:after="0"/>
              <w:rPr>
                <w:sz w:val="20"/>
                <w:szCs w:val="20"/>
                <w:color w:val="auto"/>
              </w:rPr>
            </w:pPr>
            <w:r>
              <w:rPr>
                <w:rFonts w:ascii="Arial" w:cs="Arial" w:eastAsia="Arial" w:hAnsi="Arial"/>
                <w:sz w:val="14"/>
                <w:szCs w:val="14"/>
                <w:color w:val="auto"/>
              </w:rPr>
              <w:t>Business Services</w:t>
            </w:r>
          </w:p>
        </w:tc>
        <w:tc>
          <w:tcPr>
            <w:tcW w:w="2200" w:type="dxa"/>
            <w:vAlign w:val="bottom"/>
          </w:tcPr>
          <w:p>
            <w:pPr>
              <w:ind w:left="120"/>
              <w:spacing w:after="0"/>
              <w:rPr>
                <w:sz w:val="20"/>
                <w:szCs w:val="20"/>
                <w:color w:val="auto"/>
              </w:rPr>
            </w:pPr>
            <w:r>
              <w:rPr>
                <w:rFonts w:ascii="Arial" w:cs="Arial" w:eastAsia="Arial" w:hAnsi="Arial"/>
                <w:sz w:val="14"/>
                <w:szCs w:val="14"/>
                <w:color w:val="auto"/>
              </w:rPr>
              <w:t>First Lien Debt (12.5% Cash (1</w:t>
            </w:r>
          </w:p>
        </w:tc>
      </w:tr>
      <w:tr>
        <w:trPr>
          <w:trHeight w:val="149"/>
        </w:trPr>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w w:val="96"/>
              </w:rPr>
              <w:t>month LIBOR + 11.5%, 1% Floor),</w:t>
            </w:r>
          </w:p>
        </w:tc>
      </w:tr>
      <w:tr>
        <w:trPr>
          <w:trHeight w:val="182"/>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2% PIK, Due 12/14/20)</w:t>
            </w:r>
          </w:p>
        </w:tc>
      </w:tr>
      <w:tr>
        <w:trPr>
          <w:trHeight w:val="273"/>
        </w:trPr>
        <w:tc>
          <w:tcPr>
            <w:tcW w:w="2460" w:type="dxa"/>
            <w:vAlign w:val="bottom"/>
          </w:tcPr>
          <w:p>
            <w:pPr>
              <w:spacing w:after="0"/>
              <w:rPr>
                <w:sz w:val="20"/>
                <w:szCs w:val="20"/>
                <w:color w:val="auto"/>
              </w:rPr>
            </w:pPr>
            <w:r>
              <w:rPr>
                <w:rFonts w:ascii="Arial" w:cs="Arial" w:eastAsia="Arial" w:hAnsi="Arial"/>
                <w:sz w:val="14"/>
                <w:szCs w:val="14"/>
                <w:color w:val="auto"/>
              </w:rPr>
              <w:t>Nth Degree, Inc.</w:t>
            </w:r>
          </w:p>
        </w:tc>
        <w:tc>
          <w:tcPr>
            <w:tcW w:w="2240" w:type="dxa"/>
            <w:vAlign w:val="bottom"/>
          </w:tcPr>
          <w:p>
            <w:pPr>
              <w:ind w:left="180"/>
              <w:spacing w:after="0"/>
              <w:rPr>
                <w:sz w:val="20"/>
                <w:szCs w:val="20"/>
                <w:color w:val="auto"/>
              </w:rPr>
            </w:pPr>
            <w:r>
              <w:rPr>
                <w:rFonts w:ascii="Arial" w:cs="Arial" w:eastAsia="Arial" w:hAnsi="Arial"/>
                <w:sz w:val="14"/>
                <w:szCs w:val="14"/>
                <w:color w:val="auto"/>
              </w:rPr>
              <w:t>Business Services</w:t>
            </w:r>
          </w:p>
        </w:tc>
        <w:tc>
          <w:tcPr>
            <w:tcW w:w="2200" w:type="dxa"/>
            <w:vAlign w:val="bottom"/>
          </w:tcPr>
          <w:p>
            <w:pPr>
              <w:ind w:left="120"/>
              <w:spacing w:after="0"/>
              <w:rPr>
                <w:sz w:val="20"/>
                <w:szCs w:val="20"/>
                <w:color w:val="auto"/>
              </w:rPr>
            </w:pPr>
            <w:r>
              <w:rPr>
                <w:rFonts w:ascii="Arial" w:cs="Arial" w:eastAsia="Arial" w:hAnsi="Arial"/>
                <w:sz w:val="14"/>
                <w:szCs w:val="14"/>
                <w:color w:val="auto"/>
              </w:rPr>
              <w:t>Preferred Stock (10% PIK</w:t>
            </w:r>
          </w:p>
        </w:tc>
      </w:tr>
      <w:tr>
        <w:trPr>
          <w:trHeight w:val="313"/>
        </w:trPr>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r>
      <w:tr>
        <w:trPr>
          <w:trHeight w:val="514"/>
        </w:trPr>
        <w:tc>
          <w:tcPr>
            <w:tcW w:w="2460" w:type="dxa"/>
            <w:vAlign w:val="bottom"/>
          </w:tcPr>
          <w:p>
            <w:pPr>
              <w:spacing w:after="0"/>
              <w:rPr>
                <w:sz w:val="20"/>
                <w:szCs w:val="20"/>
                <w:color w:val="auto"/>
              </w:rPr>
            </w:pPr>
            <w:r>
              <w:rPr>
                <w:rFonts w:ascii="Arial" w:cs="Arial" w:eastAsia="Arial" w:hAnsi="Arial"/>
                <w:sz w:val="14"/>
                <w:szCs w:val="14"/>
                <w:color w:val="auto"/>
              </w:rPr>
              <w:t>Portrait Innovations, Inc.</w:t>
            </w:r>
          </w:p>
        </w:tc>
        <w:tc>
          <w:tcPr>
            <w:tcW w:w="2240" w:type="dxa"/>
            <w:vAlign w:val="bottom"/>
          </w:tcPr>
          <w:p>
            <w:pPr>
              <w:ind w:left="180"/>
              <w:spacing w:after="0"/>
              <w:rPr>
                <w:sz w:val="20"/>
                <w:szCs w:val="20"/>
                <w:color w:val="auto"/>
              </w:rPr>
            </w:pPr>
            <w:r>
              <w:rPr>
                <w:rFonts w:ascii="Arial" w:cs="Arial" w:eastAsia="Arial" w:hAnsi="Arial"/>
                <w:sz w:val="14"/>
                <w:szCs w:val="14"/>
                <w:color w:val="auto"/>
                <w:w w:val="98"/>
              </w:rPr>
              <w:t>Professional and Personal Digital</w:t>
            </w:r>
          </w:p>
        </w:tc>
        <w:tc>
          <w:tcPr>
            <w:tcW w:w="2200" w:type="dxa"/>
            <w:vAlign w:val="bottom"/>
          </w:tcPr>
          <w:p>
            <w:pPr>
              <w:ind w:left="120"/>
              <w:spacing w:after="0"/>
              <w:rPr>
                <w:sz w:val="20"/>
                <w:szCs w:val="20"/>
                <w:color w:val="auto"/>
              </w:rPr>
            </w:pPr>
            <w:r>
              <w:rPr>
                <w:rFonts w:ascii="Arial" w:cs="Arial" w:eastAsia="Arial" w:hAnsi="Arial"/>
                <w:sz w:val="14"/>
                <w:szCs w:val="14"/>
                <w:color w:val="auto"/>
                <w:w w:val="92"/>
              </w:rPr>
              <w:t>Subordinated Debt (12% Cash, Due</w:t>
            </w:r>
          </w:p>
        </w:tc>
      </w:tr>
      <w:tr>
        <w:trPr>
          <w:trHeight w:val="182"/>
        </w:trPr>
        <w:tc>
          <w:tcPr>
            <w:tcW w:w="2460" w:type="dxa"/>
            <w:vAlign w:val="bottom"/>
          </w:tcPr>
          <w:p>
            <w:pPr>
              <w:spacing w:after="0"/>
              <w:rPr>
                <w:sz w:val="15"/>
                <w:szCs w:val="15"/>
                <w:color w:val="auto"/>
              </w:rPr>
            </w:pPr>
          </w:p>
        </w:tc>
        <w:tc>
          <w:tcPr>
            <w:tcW w:w="2240" w:type="dxa"/>
            <w:vAlign w:val="bottom"/>
          </w:tcPr>
          <w:p>
            <w:pPr>
              <w:ind w:left="180"/>
              <w:spacing w:after="0"/>
              <w:rPr>
                <w:sz w:val="20"/>
                <w:szCs w:val="20"/>
                <w:color w:val="auto"/>
              </w:rPr>
            </w:pPr>
            <w:r>
              <w:rPr>
                <w:rFonts w:ascii="Arial" w:cs="Arial" w:eastAsia="Arial" w:hAnsi="Arial"/>
                <w:sz w:val="14"/>
                <w:szCs w:val="14"/>
                <w:color w:val="auto"/>
              </w:rPr>
              <w:t>Imaging</w:t>
            </w:r>
          </w:p>
        </w:tc>
        <w:tc>
          <w:tcPr>
            <w:tcW w:w="2200" w:type="dxa"/>
            <w:vAlign w:val="bottom"/>
          </w:tcPr>
          <w:p>
            <w:pPr>
              <w:ind w:left="120"/>
              <w:spacing w:after="0"/>
              <w:rPr>
                <w:sz w:val="20"/>
                <w:szCs w:val="20"/>
                <w:color w:val="auto"/>
              </w:rPr>
            </w:pPr>
            <w:r>
              <w:rPr>
                <w:rFonts w:ascii="Arial" w:cs="Arial" w:eastAsia="Arial" w:hAnsi="Arial"/>
                <w:sz w:val="14"/>
                <w:szCs w:val="14"/>
                <w:color w:val="auto"/>
              </w:rPr>
              <w:t>2/26/20)</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2240" w:type="dxa"/>
            <w:vAlign w:val="bottom"/>
          </w:tcPr>
          <w:p>
            <w:pPr>
              <w:ind w:left="180"/>
              <w:spacing w:after="0"/>
              <w:rPr>
                <w:sz w:val="20"/>
                <w:szCs w:val="20"/>
                <w:color w:val="auto"/>
              </w:rPr>
            </w:pPr>
            <w:r>
              <w:rPr>
                <w:rFonts w:ascii="Arial" w:cs="Arial" w:eastAsia="Arial" w:hAnsi="Arial"/>
                <w:sz w:val="14"/>
                <w:szCs w:val="14"/>
                <w:color w:val="auto"/>
              </w:rPr>
              <w:t>Healthcare Management</w:t>
            </w:r>
          </w:p>
        </w:tc>
        <w:tc>
          <w:tcPr>
            <w:tcW w:w="2200" w:type="dxa"/>
            <w:vAlign w:val="bottom"/>
          </w:tcPr>
          <w:p>
            <w:pPr>
              <w:ind w:left="120"/>
              <w:spacing w:after="0"/>
              <w:rPr>
                <w:sz w:val="20"/>
                <w:szCs w:val="20"/>
                <w:color w:val="auto"/>
              </w:rPr>
            </w:pPr>
            <w:r>
              <w:rPr>
                <w:rFonts w:ascii="Arial" w:cs="Arial" w:eastAsia="Arial" w:hAnsi="Arial"/>
                <w:sz w:val="14"/>
                <w:szCs w:val="14"/>
                <w:color w:val="auto"/>
              </w:rPr>
              <w:t>First Lien Debt (12% Cash, 4%</w:t>
            </w:r>
          </w:p>
        </w:tc>
      </w:tr>
      <w:tr>
        <w:trPr>
          <w:trHeight w:val="182"/>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PIK, Due 7/17/19)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-1990090</wp:posOffset>
            </wp:positionV>
            <wp:extent cx="72466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-1612265</wp:posOffset>
            </wp:positionV>
            <wp:extent cx="72466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-1235075</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9,929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9,929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9,929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59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7,387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7,387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7,387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485"/>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2,728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6,321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20,044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23,637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9.6%</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9,000</w:t>
            </w:r>
          </w:p>
        </w:tc>
        <w:tc>
          <w:tcPr>
            <w:tcW w:w="900" w:type="dxa"/>
            <w:vAlign w:val="bottom"/>
          </w:tcPr>
          <w:p>
            <w:pPr>
              <w:jc w:val="right"/>
              <w:spacing w:after="0"/>
              <w:rPr>
                <w:sz w:val="20"/>
                <w:szCs w:val="20"/>
                <w:color w:val="auto"/>
              </w:rPr>
            </w:pPr>
            <w:r>
              <w:rPr>
                <w:rFonts w:ascii="Arial" w:cs="Arial" w:eastAsia="Arial" w:hAnsi="Arial"/>
                <w:sz w:val="14"/>
                <w:szCs w:val="14"/>
                <w:color w:val="auto"/>
              </w:rPr>
              <w:t>9,000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8,974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8,974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10,544</w:t>
            </w:r>
          </w:p>
        </w:tc>
        <w:tc>
          <w:tcPr>
            <w:tcW w:w="900" w:type="dxa"/>
            <w:vAlign w:val="bottom"/>
          </w:tcPr>
          <w:p>
            <w:pPr>
              <w:jc w:val="right"/>
              <w:spacing w:after="0"/>
              <w:rPr>
                <w:sz w:val="20"/>
                <w:szCs w:val="20"/>
                <w:color w:val="auto"/>
              </w:rPr>
            </w:pPr>
            <w:r>
              <w:rPr>
                <w:rFonts w:ascii="Arial" w:cs="Arial" w:eastAsia="Arial" w:hAnsi="Arial"/>
                <w:sz w:val="14"/>
                <w:szCs w:val="14"/>
                <w:color w:val="auto"/>
              </w:rPr>
              <w:t>10,457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10,544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10,457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10,544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6900" w:space="640"/>
            <w:col w:w="388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Sierra Hamilton, LLC</w:t>
            </w:r>
          </w:p>
        </w:tc>
        <w:tc>
          <w:tcPr>
            <w:tcW w:w="25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Oil &amp; Gas Engineering and</w:t>
            </w:r>
          </w:p>
        </w:tc>
        <w:tc>
          <w:tcPr>
            <w:tcW w:w="27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First Lien Debt (9% Cash (1 Month</w:t>
            </w:r>
          </w:p>
        </w:tc>
        <w:tc>
          <w:tcPr>
            <w:tcW w:w="1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49"/>
        </w:trPr>
        <w:tc>
          <w:tcPr>
            <w:tcW w:w="1960" w:type="dxa"/>
            <w:vAlign w:val="bottom"/>
            <w:shd w:val="clear" w:color="auto" w:fill="CCEEFF"/>
          </w:tcPr>
          <w:p>
            <w:pPr>
              <w:spacing w:after="0"/>
              <w:rPr>
                <w:sz w:val="12"/>
                <w:szCs w:val="12"/>
                <w:color w:val="auto"/>
              </w:rPr>
            </w:pPr>
          </w:p>
        </w:tc>
        <w:tc>
          <w:tcPr>
            <w:tcW w:w="256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Consulting Services</w:t>
            </w:r>
          </w:p>
        </w:tc>
        <w:tc>
          <w:tcPr>
            <w:tcW w:w="2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LIBOR + 8.00%, 1.00% Floor),</w:t>
            </w:r>
          </w:p>
        </w:tc>
        <w:tc>
          <w:tcPr>
            <w:tcW w:w="1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19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27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Due 6/13/17)</w:t>
            </w:r>
          </w:p>
        </w:tc>
        <w:tc>
          <w:tcPr>
            <w:tcW w:w="11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1,214</w:t>
            </w:r>
          </w:p>
        </w:tc>
        <w:tc>
          <w:tcPr>
            <w:tcW w:w="11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1,214</w:t>
            </w:r>
          </w:p>
        </w:tc>
        <w:tc>
          <w:tcPr>
            <w:tcW w:w="11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1,214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bl>
    <w:p>
      <w:pPr>
        <w:spacing w:after="0" w:line="117" w:lineRule="exact"/>
        <w:rPr>
          <w:sz w:val="20"/>
          <w:szCs w:val="20"/>
          <w:color w:val="auto"/>
        </w:rPr>
      </w:pPr>
    </w:p>
    <w:p>
      <w:pPr>
        <w:sectPr>
          <w:pgSz w:w="11900" w:h="16838" w:orient="portrait"/>
          <w:cols w:equalWidth="0" w:num="1">
            <w:col w:w="1142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color w:val="auto"/>
              </w:rPr>
              <w:t>Sierra Hamilton, LLC</w:t>
            </w:r>
          </w:p>
        </w:tc>
        <w:tc>
          <w:tcPr>
            <w:tcW w:w="2220" w:type="dxa"/>
            <w:vAlign w:val="bottom"/>
          </w:tcPr>
          <w:p>
            <w:pPr>
              <w:ind w:left="160"/>
              <w:spacing w:after="0"/>
              <w:rPr>
                <w:sz w:val="20"/>
                <w:szCs w:val="20"/>
                <w:color w:val="auto"/>
              </w:rPr>
            </w:pPr>
            <w:r>
              <w:rPr>
                <w:rFonts w:ascii="Arial" w:cs="Arial" w:eastAsia="Arial" w:hAnsi="Arial"/>
                <w:sz w:val="14"/>
                <w:szCs w:val="14"/>
                <w:color w:val="auto"/>
              </w:rPr>
              <w:t>Oil &amp; Gas Engineering and</w:t>
            </w:r>
          </w:p>
        </w:tc>
        <w:tc>
          <w:tcPr>
            <w:tcW w:w="2180" w:type="dxa"/>
            <w:vAlign w:val="bottom"/>
          </w:tcPr>
          <w:p>
            <w:pPr>
              <w:ind w:left="120"/>
              <w:spacing w:after="0"/>
              <w:rPr>
                <w:sz w:val="20"/>
                <w:szCs w:val="20"/>
                <w:color w:val="auto"/>
              </w:rPr>
            </w:pPr>
            <w:r>
              <w:rPr>
                <w:rFonts w:ascii="Arial" w:cs="Arial" w:eastAsia="Arial" w:hAnsi="Arial"/>
                <w:sz w:val="14"/>
                <w:szCs w:val="14"/>
                <w:color w:val="auto"/>
                <w:w w:val="93"/>
              </w:rPr>
              <w:t>First Lien Debt (12.25% Cash, Due</w:t>
            </w:r>
          </w:p>
        </w:tc>
      </w:tr>
      <w:tr>
        <w:trPr>
          <w:trHeight w:val="323"/>
        </w:trPr>
        <w:tc>
          <w:tcPr>
            <w:tcW w:w="248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Arial" w:cs="Arial" w:eastAsia="Arial" w:hAnsi="Arial"/>
                <w:sz w:val="14"/>
                <w:szCs w:val="14"/>
                <w:color w:val="auto"/>
              </w:rPr>
              <w:t>Consulting Services</w:t>
            </w:r>
          </w:p>
        </w:tc>
        <w:tc>
          <w:tcPr>
            <w:tcW w:w="2180" w:type="dxa"/>
            <w:vAlign w:val="bottom"/>
          </w:tcPr>
          <w:p>
            <w:pPr>
              <w:ind w:left="120"/>
              <w:spacing w:after="0"/>
              <w:rPr>
                <w:sz w:val="20"/>
                <w:szCs w:val="20"/>
                <w:color w:val="auto"/>
              </w:rPr>
            </w:pPr>
            <w:r>
              <w:rPr>
                <w:rFonts w:ascii="Arial" w:cs="Arial" w:eastAsia="Arial" w:hAnsi="Arial"/>
                <w:sz w:val="14"/>
                <w:szCs w:val="14"/>
                <w:color w:val="auto"/>
              </w:rPr>
              <w:t xml:space="preserve">12/15/18) </w:t>
            </w:r>
            <w:r>
              <w:rPr>
                <w:rFonts w:ascii="Arial" w:cs="Arial" w:eastAsia="Arial" w:hAnsi="Arial"/>
                <w:sz w:val="23"/>
                <w:szCs w:val="23"/>
                <w:color w:val="auto"/>
                <w:vertAlign w:val="superscript"/>
              </w:rPr>
              <w:t>(2)</w:t>
            </w:r>
          </w:p>
        </w:tc>
      </w:tr>
      <w:tr>
        <w:trPr>
          <w:trHeight w:val="514"/>
        </w:trPr>
        <w:tc>
          <w:tcPr>
            <w:tcW w:w="2480" w:type="dxa"/>
            <w:vAlign w:val="bottom"/>
          </w:tcPr>
          <w:p>
            <w:pPr>
              <w:spacing w:after="0"/>
              <w:rPr>
                <w:sz w:val="20"/>
                <w:szCs w:val="20"/>
                <w:color w:val="auto"/>
              </w:rPr>
            </w:pPr>
            <w:r>
              <w:rPr>
                <w:rFonts w:ascii="Arial" w:cs="Arial" w:eastAsia="Arial" w:hAnsi="Arial"/>
                <w:sz w:val="14"/>
                <w:szCs w:val="14"/>
                <w:color w:val="auto"/>
              </w:rPr>
              <w:t>Sur La Table, Inc.</w:t>
            </w:r>
          </w:p>
        </w:tc>
        <w:tc>
          <w:tcPr>
            <w:tcW w:w="2220" w:type="dxa"/>
            <w:vAlign w:val="bottom"/>
          </w:tcPr>
          <w:p>
            <w:pPr>
              <w:ind w:left="160"/>
              <w:spacing w:after="0"/>
              <w:rPr>
                <w:sz w:val="20"/>
                <w:szCs w:val="20"/>
                <w:color w:val="auto"/>
              </w:rPr>
            </w:pPr>
            <w:r>
              <w:rPr>
                <w:rFonts w:ascii="Arial" w:cs="Arial" w:eastAsia="Arial" w:hAnsi="Arial"/>
                <w:sz w:val="14"/>
                <w:szCs w:val="14"/>
                <w:color w:val="auto"/>
              </w:rPr>
              <w:t>Retail</w:t>
            </w:r>
          </w:p>
        </w:tc>
        <w:tc>
          <w:tcPr>
            <w:tcW w:w="2180" w:type="dxa"/>
            <w:vAlign w:val="bottom"/>
          </w:tcPr>
          <w:p>
            <w:pPr>
              <w:ind w:left="120"/>
              <w:spacing w:after="0"/>
              <w:rPr>
                <w:sz w:val="20"/>
                <w:szCs w:val="20"/>
                <w:color w:val="auto"/>
              </w:rPr>
            </w:pPr>
            <w:r>
              <w:rPr>
                <w:rFonts w:ascii="Arial" w:cs="Arial" w:eastAsia="Arial" w:hAnsi="Arial"/>
                <w:sz w:val="14"/>
                <w:szCs w:val="14"/>
                <w:color w:val="auto"/>
              </w:rPr>
              <w:t>First Lien Debt (12% Cash, Due</w:t>
            </w:r>
          </w:p>
        </w:tc>
      </w:tr>
      <w:tr>
        <w:trPr>
          <w:trHeight w:val="182"/>
        </w:trPr>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7/28/20)</w:t>
            </w:r>
          </w:p>
        </w:tc>
      </w:tr>
      <w:tr>
        <w:trPr>
          <w:trHeight w:val="615"/>
        </w:trPr>
        <w:tc>
          <w:tcPr>
            <w:tcW w:w="2480" w:type="dxa"/>
            <w:vAlign w:val="bottom"/>
          </w:tcPr>
          <w:p>
            <w:pPr>
              <w:spacing w:after="0"/>
              <w:rPr>
                <w:sz w:val="20"/>
                <w:szCs w:val="20"/>
                <w:color w:val="auto"/>
              </w:rPr>
            </w:pPr>
            <w:r>
              <w:rPr>
                <w:rFonts w:ascii="Arial" w:cs="Arial" w:eastAsia="Arial" w:hAnsi="Arial"/>
                <w:sz w:val="14"/>
                <w:szCs w:val="14"/>
                <w:color w:val="auto"/>
              </w:rPr>
              <w:t>Taylor Precision Products, Inc.</w:t>
            </w:r>
          </w:p>
        </w:tc>
        <w:tc>
          <w:tcPr>
            <w:tcW w:w="2220" w:type="dxa"/>
            <w:vAlign w:val="bottom"/>
          </w:tcPr>
          <w:p>
            <w:pPr>
              <w:ind w:left="160"/>
              <w:spacing w:after="0"/>
              <w:rPr>
                <w:sz w:val="20"/>
                <w:szCs w:val="20"/>
                <w:color w:val="auto"/>
              </w:rPr>
            </w:pPr>
            <w:r>
              <w:rPr>
                <w:rFonts w:ascii="Arial" w:cs="Arial" w:eastAsia="Arial" w:hAnsi="Arial"/>
                <w:sz w:val="14"/>
                <w:szCs w:val="14"/>
                <w:color w:val="auto"/>
                <w:w w:val="99"/>
              </w:rPr>
              <w:t>Household Product Manufacturer</w:t>
            </w:r>
          </w:p>
        </w:tc>
        <w:tc>
          <w:tcPr>
            <w:tcW w:w="2180" w:type="dxa"/>
            <w:vAlign w:val="bottom"/>
          </w:tcPr>
          <w:p>
            <w:pPr>
              <w:ind w:left="120"/>
              <w:spacing w:after="0"/>
              <w:rPr>
                <w:sz w:val="20"/>
                <w:szCs w:val="20"/>
                <w:color w:val="auto"/>
              </w:rPr>
            </w:pPr>
            <w:r>
              <w:rPr>
                <w:rFonts w:ascii="Arial" w:cs="Arial" w:eastAsia="Arial" w:hAnsi="Arial"/>
                <w:sz w:val="14"/>
                <w:szCs w:val="14"/>
                <w:color w:val="auto"/>
              </w:rPr>
              <w:t>Series C Preferred Stock (379</w:t>
            </w:r>
          </w:p>
        </w:tc>
      </w:tr>
      <w:tr>
        <w:trPr>
          <w:trHeight w:val="182"/>
        </w:trPr>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shares)</w:t>
            </w:r>
          </w:p>
        </w:tc>
      </w:tr>
      <w:tr>
        <w:trPr>
          <w:trHeight w:val="624"/>
        </w:trPr>
        <w:tc>
          <w:tcPr>
            <w:tcW w:w="2480" w:type="dxa"/>
            <w:vAlign w:val="bottom"/>
          </w:tcPr>
          <w:p>
            <w:pPr>
              <w:spacing w:after="0"/>
              <w:rPr>
                <w:sz w:val="20"/>
                <w:szCs w:val="20"/>
                <w:color w:val="auto"/>
              </w:rPr>
            </w:pPr>
            <w:r>
              <w:rPr>
                <w:rFonts w:ascii="Arial" w:cs="Arial" w:eastAsia="Arial" w:hAnsi="Arial"/>
                <w:sz w:val="14"/>
                <w:szCs w:val="14"/>
                <w:color w:val="auto"/>
              </w:rPr>
              <w:t>Velum Global Credit Management, LLC</w:t>
            </w:r>
          </w:p>
        </w:tc>
        <w:tc>
          <w:tcPr>
            <w:tcW w:w="2220" w:type="dxa"/>
            <w:vAlign w:val="bottom"/>
          </w:tcPr>
          <w:p>
            <w:pPr>
              <w:ind w:left="160"/>
              <w:spacing w:after="0"/>
              <w:rPr>
                <w:sz w:val="20"/>
                <w:szCs w:val="20"/>
                <w:color w:val="auto"/>
              </w:rPr>
            </w:pPr>
            <w:r>
              <w:rPr>
                <w:rFonts w:ascii="Arial" w:cs="Arial" w:eastAsia="Arial" w:hAnsi="Arial"/>
                <w:sz w:val="14"/>
                <w:szCs w:val="14"/>
                <w:color w:val="auto"/>
              </w:rPr>
              <w:t>Financial Services</w:t>
            </w:r>
          </w:p>
        </w:tc>
        <w:tc>
          <w:tcPr>
            <w:tcW w:w="2180" w:type="dxa"/>
            <w:vAlign w:val="bottom"/>
          </w:tcPr>
          <w:p>
            <w:pPr>
              <w:ind w:left="120"/>
              <w:spacing w:after="0"/>
              <w:rPr>
                <w:sz w:val="20"/>
                <w:szCs w:val="20"/>
                <w:color w:val="auto"/>
              </w:rPr>
            </w:pPr>
            <w:r>
              <w:rPr>
                <w:rFonts w:ascii="Arial" w:cs="Arial" w:eastAsia="Arial" w:hAnsi="Arial"/>
                <w:sz w:val="14"/>
                <w:szCs w:val="14"/>
                <w:color w:val="auto"/>
              </w:rPr>
              <w:t>First Lien Debt (15% PIK, Due</w:t>
            </w:r>
          </w:p>
        </w:tc>
      </w:tr>
      <w:tr>
        <w:trPr>
          <w:trHeight w:val="313"/>
        </w:trPr>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 xml:space="preserve">12/31/17) </w:t>
            </w:r>
            <w:r>
              <w:rPr>
                <w:rFonts w:ascii="Arial" w:cs="Arial" w:eastAsia="Arial" w:hAnsi="Arial"/>
                <w:sz w:val="23"/>
                <w:szCs w:val="23"/>
                <w:color w:val="auto"/>
                <w:vertAlign w:val="superscript"/>
              </w:rPr>
              <w:t>(1) (8)</w:t>
            </w:r>
          </w:p>
        </w:tc>
      </w:tr>
      <w:tr>
        <w:trPr>
          <w:trHeight w:val="514"/>
        </w:trPr>
        <w:tc>
          <w:tcPr>
            <w:tcW w:w="2480" w:type="dxa"/>
            <w:vAlign w:val="bottom"/>
          </w:tcPr>
          <w:p>
            <w:pPr>
              <w:spacing w:after="0"/>
              <w:rPr>
                <w:sz w:val="20"/>
                <w:szCs w:val="20"/>
                <w:color w:val="auto"/>
              </w:rPr>
            </w:pPr>
            <w:r>
              <w:rPr>
                <w:rFonts w:ascii="Arial" w:cs="Arial" w:eastAsia="Arial" w:hAnsi="Arial"/>
                <w:sz w:val="14"/>
                <w:szCs w:val="14"/>
                <w:color w:val="auto"/>
              </w:rPr>
              <w:t>Vintage Stock, Inc.</w:t>
            </w:r>
          </w:p>
        </w:tc>
        <w:tc>
          <w:tcPr>
            <w:tcW w:w="2220" w:type="dxa"/>
            <w:vAlign w:val="bottom"/>
          </w:tcPr>
          <w:p>
            <w:pPr>
              <w:ind w:left="160"/>
              <w:spacing w:after="0"/>
              <w:rPr>
                <w:sz w:val="20"/>
                <w:szCs w:val="20"/>
                <w:color w:val="auto"/>
              </w:rPr>
            </w:pPr>
            <w:r>
              <w:rPr>
                <w:rFonts w:ascii="Arial" w:cs="Arial" w:eastAsia="Arial" w:hAnsi="Arial"/>
                <w:sz w:val="14"/>
                <w:szCs w:val="14"/>
                <w:color w:val="auto"/>
              </w:rPr>
              <w:t>Specialty Retail</w:t>
            </w:r>
          </w:p>
        </w:tc>
        <w:tc>
          <w:tcPr>
            <w:tcW w:w="2180" w:type="dxa"/>
            <w:vAlign w:val="bottom"/>
          </w:tcPr>
          <w:p>
            <w:pPr>
              <w:ind w:left="120"/>
              <w:spacing w:after="0"/>
              <w:rPr>
                <w:sz w:val="20"/>
                <w:szCs w:val="20"/>
                <w:color w:val="auto"/>
              </w:rPr>
            </w:pPr>
            <w:r>
              <w:rPr>
                <w:rFonts w:ascii="Arial" w:cs="Arial" w:eastAsia="Arial" w:hAnsi="Arial"/>
                <w:sz w:val="14"/>
                <w:szCs w:val="14"/>
                <w:color w:val="auto"/>
              </w:rPr>
              <w:t>First Lien Debt (13.28% Cash (1</w:t>
            </w:r>
          </w:p>
        </w:tc>
      </w:tr>
      <w:tr>
        <w:trPr>
          <w:trHeight w:val="149"/>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month LIBOR + 12.5%, 0.5%</w:t>
            </w:r>
          </w:p>
        </w:tc>
      </w:tr>
      <w:tr>
        <w:trPr>
          <w:trHeight w:val="182"/>
        </w:trPr>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floor), 3% PIK, Due 11/3/21)</w:t>
            </w:r>
          </w:p>
        </w:tc>
      </w:tr>
      <w:tr>
        <w:trPr>
          <w:trHeight w:val="615"/>
        </w:trPr>
        <w:tc>
          <w:tcPr>
            <w:tcW w:w="2480" w:type="dxa"/>
            <w:vAlign w:val="bottom"/>
          </w:tcPr>
          <w:p>
            <w:pPr>
              <w:spacing w:after="0"/>
              <w:rPr>
                <w:sz w:val="20"/>
                <w:szCs w:val="20"/>
                <w:color w:val="auto"/>
              </w:rPr>
            </w:pPr>
            <w:r>
              <w:rPr>
                <w:rFonts w:ascii="Arial" w:cs="Arial" w:eastAsia="Arial" w:hAnsi="Arial"/>
                <w:sz w:val="14"/>
                <w:szCs w:val="14"/>
                <w:color w:val="auto"/>
              </w:rPr>
              <w:t>Vology, Inc.</w:t>
            </w:r>
          </w:p>
        </w:tc>
        <w:tc>
          <w:tcPr>
            <w:tcW w:w="2220" w:type="dxa"/>
            <w:vAlign w:val="bottom"/>
          </w:tcPr>
          <w:p>
            <w:pPr>
              <w:ind w:left="160"/>
              <w:spacing w:after="0"/>
              <w:rPr>
                <w:sz w:val="20"/>
                <w:szCs w:val="20"/>
                <w:color w:val="auto"/>
              </w:rPr>
            </w:pPr>
            <w:r>
              <w:rPr>
                <w:rFonts w:ascii="Arial" w:cs="Arial" w:eastAsia="Arial" w:hAnsi="Arial"/>
                <w:sz w:val="14"/>
                <w:szCs w:val="14"/>
                <w:color w:val="auto"/>
              </w:rPr>
              <w:t>Information Technology</w:t>
            </w:r>
          </w:p>
        </w:tc>
        <w:tc>
          <w:tcPr>
            <w:tcW w:w="2180" w:type="dxa"/>
            <w:vAlign w:val="bottom"/>
          </w:tcPr>
          <w:p>
            <w:pPr>
              <w:ind w:left="120"/>
              <w:spacing w:after="0"/>
              <w:rPr>
                <w:sz w:val="20"/>
                <w:szCs w:val="20"/>
                <w:color w:val="auto"/>
              </w:rPr>
            </w:pPr>
            <w:r>
              <w:rPr>
                <w:rFonts w:ascii="Arial" w:cs="Arial" w:eastAsia="Arial" w:hAnsi="Arial"/>
                <w:sz w:val="14"/>
                <w:szCs w:val="14"/>
                <w:color w:val="auto"/>
                <w:w w:val="98"/>
              </w:rPr>
              <w:t>Subordinated Debt (15% Cash (3</w:t>
            </w:r>
          </w:p>
        </w:tc>
      </w:tr>
      <w:tr>
        <w:trPr>
          <w:trHeight w:val="149"/>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month LIBOR + 14%, 1% Floor),</w:t>
            </w:r>
          </w:p>
        </w:tc>
      </w:tr>
      <w:tr>
        <w:trPr>
          <w:trHeight w:val="182"/>
        </w:trPr>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2% PIK Due 1/24/21)</w:t>
            </w:r>
          </w:p>
        </w:tc>
      </w:tr>
      <w:tr>
        <w:trPr>
          <w:trHeight w:val="624"/>
        </w:trPr>
        <w:tc>
          <w:tcPr>
            <w:tcW w:w="248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2220" w:type="dxa"/>
            <w:vAlign w:val="bottom"/>
          </w:tcPr>
          <w:p>
            <w:pPr>
              <w:ind w:left="160"/>
              <w:spacing w:after="0"/>
              <w:rPr>
                <w:sz w:val="20"/>
                <w:szCs w:val="20"/>
                <w:color w:val="auto"/>
              </w:rPr>
            </w:pPr>
            <w:r>
              <w:rPr>
                <w:rFonts w:ascii="Arial" w:cs="Arial" w:eastAsia="Arial" w:hAnsi="Arial"/>
                <w:sz w:val="14"/>
                <w:szCs w:val="14"/>
                <w:color w:val="auto"/>
              </w:rPr>
              <w:t>Building Products</w:t>
            </w:r>
          </w:p>
        </w:tc>
        <w:tc>
          <w:tcPr>
            <w:tcW w:w="2180" w:type="dxa"/>
            <w:vAlign w:val="bottom"/>
          </w:tcPr>
          <w:p>
            <w:pPr>
              <w:ind w:left="120"/>
              <w:spacing w:after="0"/>
              <w:rPr>
                <w:sz w:val="20"/>
                <w:szCs w:val="20"/>
                <w:color w:val="auto"/>
              </w:rPr>
            </w:pPr>
            <w:r>
              <w:rPr>
                <w:rFonts w:ascii="Arial" w:cs="Arial" w:eastAsia="Arial" w:hAnsi="Arial"/>
                <w:sz w:val="14"/>
                <w:szCs w:val="14"/>
                <w:color w:val="auto"/>
                <w:w w:val="97"/>
              </w:rPr>
              <w:t>First Lien Debt (11.7% Cash, Due</w:t>
            </w:r>
          </w:p>
        </w:tc>
      </w:tr>
      <w:tr>
        <w:trPr>
          <w:trHeight w:val="313"/>
        </w:trPr>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 xml:space="preserve">7/31/20) </w:t>
            </w:r>
            <w:r>
              <w:rPr>
                <w:rFonts w:ascii="Arial" w:cs="Arial" w:eastAsia="Arial" w:hAnsi="Arial"/>
                <w:sz w:val="23"/>
                <w:szCs w:val="23"/>
                <w:color w:val="auto"/>
                <w:vertAlign w:val="superscript"/>
              </w:rPr>
              <w:t>(3)</w:t>
            </w:r>
          </w:p>
        </w:tc>
      </w:tr>
      <w:tr>
        <w:trPr>
          <w:trHeight w:val="197"/>
        </w:trPr>
        <w:tc>
          <w:tcPr>
            <w:tcW w:w="248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2220" w:type="dxa"/>
            <w:vAlign w:val="bottom"/>
          </w:tcPr>
          <w:p>
            <w:pPr>
              <w:ind w:left="160"/>
              <w:spacing w:after="0"/>
              <w:rPr>
                <w:sz w:val="20"/>
                <w:szCs w:val="20"/>
                <w:color w:val="auto"/>
              </w:rPr>
            </w:pPr>
            <w:r>
              <w:rPr>
                <w:rFonts w:ascii="Arial" w:cs="Arial" w:eastAsia="Arial" w:hAnsi="Arial"/>
                <w:sz w:val="14"/>
                <w:szCs w:val="14"/>
                <w:color w:val="auto"/>
              </w:rPr>
              <w:t>Building Products</w:t>
            </w:r>
          </w:p>
        </w:tc>
        <w:tc>
          <w:tcPr>
            <w:tcW w:w="2180" w:type="dxa"/>
            <w:vAlign w:val="bottom"/>
          </w:tcPr>
          <w:p>
            <w:pPr>
              <w:ind w:left="120"/>
              <w:spacing w:after="0"/>
              <w:rPr>
                <w:sz w:val="20"/>
                <w:szCs w:val="20"/>
                <w:color w:val="auto"/>
              </w:rPr>
            </w:pPr>
            <w:r>
              <w:rPr>
                <w:rFonts w:ascii="Arial" w:cs="Arial" w:eastAsia="Arial" w:hAnsi="Arial"/>
                <w:sz w:val="14"/>
                <w:szCs w:val="14"/>
                <w:color w:val="auto"/>
              </w:rPr>
              <w:t>Membership Units (39,860 units)</w:t>
            </w:r>
          </w:p>
        </w:tc>
      </w:tr>
      <w:tr>
        <w:trPr>
          <w:trHeight w:val="615"/>
        </w:trPr>
        <w:tc>
          <w:tcPr>
            <w:tcW w:w="2480" w:type="dxa"/>
            <w:vAlign w:val="bottom"/>
          </w:tcPr>
          <w:p>
            <w:pPr>
              <w:spacing w:after="0"/>
              <w:rPr>
                <w:sz w:val="20"/>
                <w:szCs w:val="20"/>
                <w:color w:val="auto"/>
              </w:rPr>
            </w:pPr>
            <w:r>
              <w:rPr>
                <w:rFonts w:ascii="Arial" w:cs="Arial" w:eastAsia="Arial" w:hAnsi="Arial"/>
                <w:sz w:val="14"/>
                <w:szCs w:val="14"/>
                <w:color w:val="auto"/>
              </w:rPr>
              <w:t>Xirgo Technologies, LLC</w:t>
            </w:r>
          </w:p>
        </w:tc>
        <w:tc>
          <w:tcPr>
            <w:tcW w:w="2220" w:type="dxa"/>
            <w:vAlign w:val="bottom"/>
          </w:tcPr>
          <w:p>
            <w:pPr>
              <w:ind w:left="160"/>
              <w:spacing w:after="0"/>
              <w:rPr>
                <w:sz w:val="20"/>
                <w:szCs w:val="20"/>
                <w:color w:val="auto"/>
              </w:rPr>
            </w:pPr>
            <w:r>
              <w:rPr>
                <w:rFonts w:ascii="Arial" w:cs="Arial" w:eastAsia="Arial" w:hAnsi="Arial"/>
                <w:sz w:val="14"/>
                <w:szCs w:val="14"/>
                <w:color w:val="auto"/>
              </w:rPr>
              <w:t>Information Technology</w:t>
            </w:r>
          </w:p>
        </w:tc>
        <w:tc>
          <w:tcPr>
            <w:tcW w:w="2180" w:type="dxa"/>
            <w:vAlign w:val="bottom"/>
          </w:tcPr>
          <w:p>
            <w:pPr>
              <w:ind w:left="120"/>
              <w:spacing w:after="0"/>
              <w:rPr>
                <w:sz w:val="20"/>
                <w:szCs w:val="20"/>
                <w:color w:val="auto"/>
              </w:rPr>
            </w:pPr>
            <w:r>
              <w:rPr>
                <w:rFonts w:ascii="Arial" w:cs="Arial" w:eastAsia="Arial" w:hAnsi="Arial"/>
                <w:sz w:val="14"/>
                <w:szCs w:val="14"/>
                <w:color w:val="auto"/>
                <w:w w:val="99"/>
              </w:rPr>
              <w:t>Subordinated Debt (11.5% Cash,</w:t>
            </w:r>
          </w:p>
        </w:tc>
      </w:tr>
      <w:tr>
        <w:trPr>
          <w:trHeight w:val="182"/>
        </w:trPr>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Due 3/1/22)</w:t>
            </w:r>
          </w:p>
        </w:tc>
      </w:tr>
      <w:tr>
        <w:trPr>
          <w:trHeight w:val="297"/>
        </w:trPr>
        <w:tc>
          <w:tcPr>
            <w:tcW w:w="2480" w:type="dxa"/>
            <w:vAlign w:val="bottom"/>
          </w:tcPr>
          <w:p>
            <w:pPr>
              <w:spacing w:after="0"/>
              <w:rPr>
                <w:sz w:val="20"/>
                <w:szCs w:val="20"/>
                <w:color w:val="auto"/>
              </w:rPr>
            </w:pPr>
            <w:r>
              <w:rPr>
                <w:rFonts w:ascii="Arial" w:cs="Arial" w:eastAsia="Arial" w:hAnsi="Arial"/>
                <w:sz w:val="14"/>
                <w:szCs w:val="14"/>
                <w:color w:val="auto"/>
              </w:rPr>
              <w:t>Xirgo Technologies, LLC</w:t>
            </w:r>
          </w:p>
        </w:tc>
        <w:tc>
          <w:tcPr>
            <w:tcW w:w="2220" w:type="dxa"/>
            <w:vAlign w:val="bottom"/>
          </w:tcPr>
          <w:p>
            <w:pPr>
              <w:ind w:left="160"/>
              <w:spacing w:after="0"/>
              <w:rPr>
                <w:sz w:val="20"/>
                <w:szCs w:val="20"/>
                <w:color w:val="auto"/>
              </w:rPr>
            </w:pPr>
            <w:r>
              <w:rPr>
                <w:rFonts w:ascii="Arial" w:cs="Arial" w:eastAsia="Arial" w:hAnsi="Arial"/>
                <w:sz w:val="14"/>
                <w:szCs w:val="14"/>
                <w:color w:val="auto"/>
              </w:rPr>
              <w:t>Information Technology</w:t>
            </w:r>
          </w:p>
        </w:tc>
        <w:tc>
          <w:tcPr>
            <w:tcW w:w="2180" w:type="dxa"/>
            <w:vAlign w:val="bottom"/>
          </w:tcPr>
          <w:p>
            <w:pPr>
              <w:ind w:left="120"/>
              <w:spacing w:after="0"/>
              <w:rPr>
                <w:sz w:val="20"/>
                <w:szCs w:val="20"/>
                <w:color w:val="auto"/>
              </w:rPr>
            </w:pPr>
            <w:r>
              <w:rPr>
                <w:rFonts w:ascii="Arial" w:cs="Arial" w:eastAsia="Arial" w:hAnsi="Arial"/>
                <w:sz w:val="14"/>
                <w:szCs w:val="14"/>
                <w:color w:val="auto"/>
                <w:w w:val="97"/>
              </w:rPr>
              <w:t>Membership Units (400,000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-4382770</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-4056380</wp:posOffset>
            </wp:positionV>
            <wp:extent cx="72466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-3850640</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-3550920</wp:posOffset>
            </wp:positionV>
            <wp:extent cx="72466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-3345180</wp:posOffset>
            </wp:positionV>
            <wp:extent cx="724662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-3044825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-2839085</wp:posOffset>
            </wp:positionV>
            <wp:extent cx="72466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-2513330</wp:posOffset>
            </wp:positionV>
            <wp:extent cx="724662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-2306955</wp:posOffset>
            </wp:positionV>
            <wp:extent cx="72466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-1912620</wp:posOffset>
            </wp:positionV>
            <wp:extent cx="72466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-1706880</wp:posOffset>
            </wp:positionV>
            <wp:extent cx="72466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-1312545</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-1106805</wp:posOffset>
            </wp:positionV>
            <wp:extent cx="724662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15,000</w:t>
            </w: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4,500</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16,214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5,714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15,000</w:t>
            </w: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10,954</w:t>
            </w:r>
          </w:p>
        </w:tc>
        <w:tc>
          <w:tcPr>
            <w:tcW w:w="900" w:type="dxa"/>
            <w:vAlign w:val="bottom"/>
          </w:tcPr>
          <w:p>
            <w:pPr>
              <w:jc w:val="right"/>
              <w:spacing w:after="0"/>
              <w:rPr>
                <w:sz w:val="20"/>
                <w:szCs w:val="20"/>
                <w:color w:val="auto"/>
              </w:rPr>
            </w:pPr>
            <w:r>
              <w:rPr>
                <w:rFonts w:ascii="Arial" w:cs="Arial" w:eastAsia="Arial" w:hAnsi="Arial"/>
                <w:sz w:val="14"/>
                <w:szCs w:val="14"/>
                <w:color w:val="auto"/>
              </w:rPr>
              <w:t>10,954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10,954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10,954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10,954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21,693</w:t>
            </w:r>
          </w:p>
        </w:tc>
        <w:tc>
          <w:tcPr>
            <w:tcW w:w="900" w:type="dxa"/>
            <w:vAlign w:val="bottom"/>
          </w:tcPr>
          <w:p>
            <w:pPr>
              <w:jc w:val="right"/>
              <w:spacing w:after="0"/>
              <w:rPr>
                <w:sz w:val="20"/>
                <w:szCs w:val="20"/>
                <w:color w:val="auto"/>
              </w:rPr>
            </w:pPr>
            <w:r>
              <w:rPr>
                <w:rFonts w:ascii="Arial" w:cs="Arial" w:eastAsia="Arial" w:hAnsi="Arial"/>
                <w:sz w:val="14"/>
                <w:szCs w:val="14"/>
                <w:color w:val="auto"/>
              </w:rPr>
              <w:t>21,693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21,693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21,693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21,693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8,123</w:t>
            </w:r>
          </w:p>
        </w:tc>
        <w:tc>
          <w:tcPr>
            <w:tcW w:w="900" w:type="dxa"/>
            <w:vAlign w:val="bottom"/>
          </w:tcPr>
          <w:p>
            <w:pPr>
              <w:jc w:val="right"/>
              <w:spacing w:after="0"/>
              <w:rPr>
                <w:sz w:val="20"/>
                <w:szCs w:val="20"/>
                <w:color w:val="auto"/>
              </w:rPr>
            </w:pPr>
            <w:r>
              <w:rPr>
                <w:rFonts w:ascii="Arial" w:cs="Arial" w:eastAsia="Arial" w:hAnsi="Arial"/>
                <w:sz w:val="14"/>
                <w:szCs w:val="14"/>
                <w:color w:val="auto"/>
              </w:rPr>
              <w:t>8,123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8,123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8,123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8,123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10,500</w:t>
            </w:r>
          </w:p>
        </w:tc>
        <w:tc>
          <w:tcPr>
            <w:tcW w:w="90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96"/>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7,767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18,267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15,750</w:t>
            </w:r>
          </w:p>
        </w:tc>
        <w:tc>
          <w:tcPr>
            <w:tcW w:w="90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6.4%</w:t>
            </w:r>
          </w:p>
        </w:tc>
      </w:tr>
      <w:tr>
        <w:trPr>
          <w:trHeight w:val="300"/>
        </w:trPr>
        <w:tc>
          <w:tcPr>
            <w:tcW w:w="6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-2540</wp:posOffset>
            </wp:positionV>
            <wp:extent cx="19983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880" w:space="660"/>
            <w:col w:w="388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2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368,836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364,260</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146.0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- 31.4%</w:t>
            </w:r>
          </w:p>
        </w:tc>
        <w:tc>
          <w:tcPr>
            <w:tcW w:w="24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40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Automobile Part Manufacturer</w:t>
            </w:r>
          </w:p>
        </w:tc>
        <w:tc>
          <w:tcPr>
            <w:tcW w:w="234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w w:val="94"/>
              </w:rPr>
              <w:t>Subordinated Debt (14% Cash, Due</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(10)</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40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Automobile Part Manufacturer</w:t>
            </w:r>
          </w:p>
        </w:tc>
        <w:tc>
          <w:tcPr>
            <w:tcW w:w="234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w w:val="94"/>
              </w:rPr>
              <w:t>Subordinated Debt (12% Cash, Due</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(10)</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Automobile Part Manufacturer</w:t>
            </w: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Common Stock (1,253,198 shares)</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10,135</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6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Footwear Retail</w:t>
            </w: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 (13% Cash, Due</w:t>
            </w: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52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9/28/17) </w:t>
            </w:r>
            <w:r>
              <w:rPr>
                <w:rFonts w:ascii="Arial" w:cs="Arial" w:eastAsia="Arial" w:hAnsi="Arial"/>
                <w:sz w:val="22"/>
                <w:szCs w:val="22"/>
                <w:color w:val="auto"/>
                <w:vertAlign w:val="superscript"/>
              </w:rPr>
              <w:t>(1)</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Footwear Retail</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25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(2.78% fully diluted, 9% Cash</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52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(6)</w:t>
            </w:r>
          </w:p>
        </w:tc>
        <w:tc>
          <w:tcPr>
            <w:tcW w:w="9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Footwear Retail</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(11.38% fully diluted)</w:t>
            </w:r>
          </w:p>
        </w:tc>
        <w:tc>
          <w:tcPr>
            <w:tcW w:w="9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6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color w:val="auto"/>
              </w:rPr>
              <w:t>Advertising &amp; Marketing Services</w:t>
            </w:r>
          </w:p>
        </w:tc>
        <w:tc>
          <w:tcPr>
            <w:tcW w:w="252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Series A-1 Preferred Stock (1,998</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52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9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Advertising &amp; Marketing Services</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 Stock</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 shares)</w:t>
            </w:r>
          </w:p>
        </w:tc>
        <w:tc>
          <w:tcPr>
            <w:tcW w:w="9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Produce Distribution</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Cash, Due</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7/16/18)</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6,182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6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Produce Distribution</w:t>
            </w:r>
          </w:p>
        </w:tc>
        <w:tc>
          <w:tcPr>
            <w:tcW w:w="2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9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818</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Produce Distribution</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(6,369</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6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QSR Franchisor</w:t>
            </w: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 (1,500,000 shares)</w:t>
            </w: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Specialty Clothing</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9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6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First Lien Debt (12% Cash, Due</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52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(1)</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6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Subordinated Debt (6% Cash, Due</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52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(1)</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6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Preferred Units (1,000 units, 6%</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52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9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62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 Units (45</w:t>
            </w: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9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4,295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MTI Holdings, LLC</w:t>
            </w:r>
          </w:p>
        </w:tc>
        <w:tc>
          <w:tcPr>
            <w:tcW w:w="26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color w:val="auto"/>
                <w:w w:val="98"/>
              </w:rPr>
              <w:t>Retail Display &amp; Security Services</w:t>
            </w:r>
          </w:p>
        </w:tc>
        <w:tc>
          <w:tcPr>
            <w:tcW w:w="252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Membership Units (2,000,000</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520" w:type="dxa"/>
            <w:vAlign w:val="bottom"/>
            <w:shd w:val="clear" w:color="auto" w:fill="CCEEFF"/>
          </w:tcPr>
          <w:p>
            <w:pPr>
              <w:ind w:left="8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(12)</w:t>
            </w:r>
          </w:p>
        </w:tc>
        <w:tc>
          <w:tcPr>
            <w:tcW w:w="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100" w:type="dxa"/>
            <w:vAlign w:val="bottom"/>
          </w:tcPr>
          <w:p>
            <w:pPr>
              <w:spacing w:after="0"/>
              <w:rPr>
                <w:sz w:val="14"/>
                <w:szCs w:val="14"/>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Type of Investment</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Automotive Chemicals &amp;</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(13% Cash,</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Lubricants</w:t>
            </w:r>
          </w:p>
        </w:tc>
        <w:tc>
          <w:tcPr>
            <w:tcW w:w="2260" w:type="dxa"/>
            <w:vAlign w:val="bottom"/>
            <w:gridSpan w:val="3"/>
            <w:shd w:val="clear" w:color="auto" w:fill="CCEEFF"/>
          </w:tcPr>
          <w:p>
            <w:pPr>
              <w:ind w:left="100"/>
              <w:spacing w:after="0" w:line="208" w:lineRule="exact"/>
              <w:rPr>
                <w:sz w:val="20"/>
                <w:szCs w:val="20"/>
                <w:color w:val="auto"/>
              </w:rPr>
            </w:pPr>
            <w:r>
              <w:rPr>
                <w:rFonts w:ascii="Arial" w:cs="Arial" w:eastAsia="Arial" w:hAnsi="Arial"/>
                <w:sz w:val="14"/>
                <w:szCs w:val="14"/>
                <w:color w:val="auto"/>
              </w:rPr>
              <w:t xml:space="preserve">Due 4/8/19) </w:t>
            </w:r>
            <w:r>
              <w:rPr>
                <w:rFonts w:ascii="Arial" w:cs="Arial" w:eastAsia="Arial" w:hAnsi="Arial"/>
                <w:sz w:val="23"/>
                <w:szCs w:val="23"/>
                <w:color w:val="auto"/>
                <w:vertAlign w:val="superscript"/>
              </w:rPr>
              <w:t>(1)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Automotive Chemicals &amp;</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(11.3%</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Lubricants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2,398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Dental Practice Management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8"/>
              </w:rPr>
              <w:t>Common Stock (1,200,000 shares)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900" w:orient="portrait"/>
          <w:cols w:equalWidth="0" w:num="1">
            <w:col w:w="11420"/>
          </w:cols>
          <w:pgMar w:left="240" w:top="904" w:right="239" w:bottom="0" w:gutter="0" w:footer="0" w:header="0"/>
        </w:sectPr>
      </w:pPr>
    </w:p>
    <w:p>
      <w:pPr>
        <w:spacing w:after="0" w:line="324"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U.S. Well Services, LLC</w:t>
      </w:r>
      <w:r>
        <w:rPr>
          <w:sz w:val="20"/>
          <w:szCs w:val="20"/>
          <w:color w:val="auto"/>
        </w:rPr>
        <w:tab/>
      </w:r>
      <w:r>
        <w:rPr>
          <w:rFonts w:ascii="Arial" w:cs="Arial" w:eastAsia="Arial" w:hAnsi="Arial"/>
          <w:sz w:val="13"/>
          <w:szCs w:val="13"/>
          <w:color w:val="auto"/>
        </w:rPr>
        <w:t>Oil &amp; Gas Services</w:t>
      </w:r>
    </w:p>
    <w:p>
      <w:pPr>
        <w:spacing w:after="0" w:line="200" w:lineRule="exact"/>
        <w:rPr>
          <w:sz w:val="20"/>
          <w:szCs w:val="20"/>
          <w:color w:val="auto"/>
        </w:rPr>
      </w:pPr>
    </w:p>
    <w:p>
      <w:pPr>
        <w:spacing w:after="0" w:line="274"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U.S. Well Services, LLC</w:t>
      </w:r>
      <w:r>
        <w:rPr>
          <w:sz w:val="20"/>
          <w:szCs w:val="20"/>
          <w:color w:val="auto"/>
        </w:rPr>
        <w:tab/>
      </w:r>
      <w:r>
        <w:rPr>
          <w:rFonts w:ascii="Arial" w:cs="Arial" w:eastAsia="Arial" w:hAnsi="Arial"/>
          <w:sz w:val="13"/>
          <w:szCs w:val="13"/>
          <w:color w:val="auto"/>
        </w:rPr>
        <w:t>Oil &amp; Gas Services</w:t>
      </w:r>
    </w:p>
    <w:p>
      <w:pPr>
        <w:spacing w:after="0" w:line="200" w:lineRule="exact"/>
        <w:rPr>
          <w:sz w:val="20"/>
          <w:szCs w:val="20"/>
          <w:color w:val="auto"/>
        </w:rPr>
      </w:pPr>
    </w:p>
    <w:p>
      <w:pPr>
        <w:spacing w:after="0" w:line="233"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U.S. Well Services, LLC</w:t>
      </w:r>
      <w:r>
        <w:rPr>
          <w:sz w:val="20"/>
          <w:szCs w:val="20"/>
          <w:color w:val="auto"/>
        </w:rPr>
        <w:tab/>
      </w:r>
      <w:r>
        <w:rPr>
          <w:rFonts w:ascii="Arial" w:cs="Arial" w:eastAsia="Arial" w:hAnsi="Arial"/>
          <w:sz w:val="13"/>
          <w:szCs w:val="13"/>
          <w:color w:val="auto"/>
        </w:rPr>
        <w:t>Oil &amp; Gas Services</w:t>
      </w:r>
    </w:p>
    <w:p>
      <w:pPr>
        <w:spacing w:after="0" w:line="136"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U.S. Well Services, LLC</w:t>
      </w:r>
      <w:r>
        <w:rPr>
          <w:sz w:val="20"/>
          <w:szCs w:val="20"/>
          <w:color w:val="auto"/>
        </w:rPr>
        <w:tab/>
      </w:r>
      <w:r>
        <w:rPr>
          <w:rFonts w:ascii="Arial" w:cs="Arial" w:eastAsia="Arial" w:hAnsi="Arial"/>
          <w:sz w:val="13"/>
          <w:szCs w:val="13"/>
          <w:color w:val="auto"/>
        </w:rPr>
        <w:t>Oil &amp; Gas Services</w:t>
      </w:r>
    </w:p>
    <w:p>
      <w:pPr>
        <w:spacing w:after="0" w:line="200" w:lineRule="exact"/>
        <w:rPr>
          <w:sz w:val="20"/>
          <w:szCs w:val="20"/>
          <w:color w:val="auto"/>
        </w:rPr>
      </w:pPr>
    </w:p>
    <w:p>
      <w:pPr>
        <w:spacing w:after="0" w:line="287"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V12 Holdings, Inc.</w:t>
      </w:r>
      <w:r>
        <w:rPr>
          <w:sz w:val="20"/>
          <w:szCs w:val="20"/>
          <w:color w:val="auto"/>
        </w:rPr>
        <w:tab/>
      </w:r>
      <w:r>
        <w:rPr>
          <w:rFonts w:ascii="Arial" w:cs="Arial" w:eastAsia="Arial" w:hAnsi="Arial"/>
          <w:sz w:val="13"/>
          <w:szCs w:val="13"/>
          <w:color w:val="auto"/>
        </w:rPr>
        <w:t>Data Processing &amp; Digital</w:t>
      </w:r>
    </w:p>
    <w:p>
      <w:pPr>
        <w:ind w:left="2620"/>
        <w:spacing w:after="0"/>
        <w:rPr>
          <w:sz w:val="20"/>
          <w:szCs w:val="20"/>
          <w:color w:val="auto"/>
        </w:rPr>
      </w:pPr>
      <w:r>
        <w:rPr>
          <w:rFonts w:ascii="Arial" w:cs="Arial" w:eastAsia="Arial" w:hAnsi="Arial"/>
          <w:sz w:val="14"/>
          <w:szCs w:val="14"/>
          <w:color w:val="auto"/>
        </w:rPr>
        <w:t>Marketing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2"/>
        </w:trPr>
        <w:tc>
          <w:tcPr>
            <w:tcW w:w="2400" w:type="dxa"/>
            <w:vAlign w:val="bottom"/>
          </w:tcPr>
          <w:p>
            <w:pPr>
              <w:spacing w:after="0"/>
              <w:rPr>
                <w:sz w:val="20"/>
                <w:szCs w:val="20"/>
                <w:color w:val="auto"/>
              </w:rPr>
            </w:pPr>
            <w:r>
              <w:rPr>
                <w:rFonts w:ascii="Arial" w:cs="Arial" w:eastAsia="Arial" w:hAnsi="Arial"/>
                <w:sz w:val="14"/>
                <w:szCs w:val="14"/>
                <w:color w:val="auto"/>
              </w:rPr>
              <w:t>First Lien Debt (7% Cash (1 month</w:t>
            </w:r>
          </w:p>
        </w:tc>
        <w:tc>
          <w:tcPr>
            <w:tcW w:w="9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line="159" w:lineRule="exact"/>
              <w:rPr>
                <w:sz w:val="20"/>
                <w:szCs w:val="20"/>
                <w:color w:val="auto"/>
              </w:rPr>
            </w:pPr>
            <w:r>
              <w:rPr>
                <w:rFonts w:ascii="Arial" w:cs="Arial" w:eastAsia="Arial" w:hAnsi="Arial"/>
                <w:sz w:val="14"/>
                <w:szCs w:val="14"/>
                <w:color w:val="auto"/>
              </w:rPr>
              <w:t>LIBOR + 6%, 1% floor), Due</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400" w:type="dxa"/>
            <w:vAlign w:val="bottom"/>
          </w:tcPr>
          <w:p>
            <w:pPr>
              <w:spacing w:after="0"/>
              <w:rPr>
                <w:sz w:val="20"/>
                <w:szCs w:val="20"/>
                <w:color w:val="auto"/>
              </w:rPr>
            </w:pPr>
            <w:r>
              <w:rPr>
                <w:rFonts w:ascii="Arial" w:cs="Arial" w:eastAsia="Arial" w:hAnsi="Arial"/>
                <w:sz w:val="14"/>
                <w:szCs w:val="14"/>
                <w:color w:val="auto"/>
              </w:rPr>
              <w:t xml:space="preserve">1/31/22) </w:t>
            </w:r>
            <w:r>
              <w:rPr>
                <w:rFonts w:ascii="Arial" w:cs="Arial" w:eastAsia="Arial" w:hAnsi="Arial"/>
                <w:sz w:val="23"/>
                <w:szCs w:val="23"/>
                <w:color w:val="auto"/>
                <w:vertAlign w:val="superscript"/>
              </w:rPr>
              <w:t>(14)</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1,311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1,311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1,311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20"/>
                <w:szCs w:val="20"/>
                <w:color w:val="auto"/>
              </w:rPr>
            </w:pPr>
            <w:r>
              <w:rPr>
                <w:rFonts w:ascii="Arial" w:cs="Arial" w:eastAsia="Arial" w:hAnsi="Arial"/>
                <w:sz w:val="14"/>
                <w:szCs w:val="14"/>
                <w:color w:val="auto"/>
              </w:rPr>
              <w:t>First Lien Debt (12% PIK (1</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month LIBOR + 11%, 1% floor),</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spacing w:after="0"/>
              <w:rPr>
                <w:sz w:val="20"/>
                <w:szCs w:val="20"/>
                <w:color w:val="auto"/>
              </w:rPr>
            </w:pPr>
            <w:r>
              <w:rPr>
                <w:rFonts w:ascii="Arial" w:cs="Arial" w:eastAsia="Arial" w:hAnsi="Arial"/>
                <w:sz w:val="14"/>
                <w:szCs w:val="14"/>
                <w:color w:val="auto"/>
              </w:rPr>
              <w:t>Due 1/31/22)</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8,681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8,681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8,681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Arial" w:cs="Arial" w:eastAsia="Arial" w:hAnsi="Arial"/>
                <w:sz w:val="14"/>
                <w:szCs w:val="14"/>
                <w:color w:val="auto"/>
              </w:rPr>
              <w:t>Class A Units (5,680,688 Units)</w:t>
            </w:r>
          </w:p>
        </w:tc>
        <w:tc>
          <w:tcPr>
            <w:tcW w:w="9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6,260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6,260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96"/>
        </w:trPr>
        <w:tc>
          <w:tcPr>
            <w:tcW w:w="2400" w:type="dxa"/>
            <w:vAlign w:val="bottom"/>
          </w:tcPr>
          <w:p>
            <w:pPr>
              <w:spacing w:after="0"/>
              <w:rPr>
                <w:sz w:val="20"/>
                <w:szCs w:val="20"/>
                <w:color w:val="auto"/>
              </w:rPr>
            </w:pPr>
            <w:r>
              <w:rPr>
                <w:rFonts w:ascii="Arial" w:cs="Arial" w:eastAsia="Arial" w:hAnsi="Arial"/>
                <w:sz w:val="14"/>
                <w:szCs w:val="14"/>
                <w:color w:val="auto"/>
              </w:rPr>
              <w:t>Class B Units (2,076,298 Units)</w:t>
            </w:r>
          </w:p>
        </w:tc>
        <w:tc>
          <w:tcPr>
            <w:tcW w:w="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16,693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16,693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(12)</w:t>
            </w: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813</w:t>
            </w:r>
          </w:p>
        </w:tc>
        <w:tc>
          <w:tcPr>
            <w:tcW w:w="220" w:type="dxa"/>
            <w:vAlign w:val="bottom"/>
            <w:vMerge w:val="restart"/>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1,016</w:t>
            </w:r>
          </w:p>
        </w:tc>
        <w:tc>
          <w:tcPr>
            <w:tcW w:w="220" w:type="dxa"/>
            <w:vAlign w:val="bottom"/>
            <w:vMerge w:val="restart"/>
          </w:tcPr>
          <w:p>
            <w:pPr>
              <w:spacing w:after="0"/>
              <w:rPr>
                <w:sz w:val="24"/>
                <w:szCs w:val="2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2"/>
        </w:trPr>
        <w:tc>
          <w:tcPr>
            <w:tcW w:w="2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-1786255</wp:posOffset>
            </wp:positionV>
            <wp:extent cx="724662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-1580515</wp:posOffset>
            </wp:positionV>
            <wp:extent cx="724662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-1177290</wp:posOffset>
            </wp:positionV>
            <wp:extent cx="7246620" cy="283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-800100</wp:posOffset>
            </wp:positionV>
            <wp:extent cx="72466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-611505</wp:posOffset>
            </wp:positionV>
            <wp:extent cx="724662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-405130</wp:posOffset>
            </wp:positionV>
            <wp:extent cx="724662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-199390</wp:posOffset>
            </wp:positionV>
            <wp:extent cx="724662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1" w:lineRule="exact"/>
        <w:rPr>
          <w:sz w:val="20"/>
          <w:szCs w:val="20"/>
          <w:color w:val="auto"/>
        </w:rPr>
      </w:pPr>
    </w:p>
    <w:p>
      <w:pPr>
        <w:sectPr>
          <w:pgSz w:w="11900" w:h="16900" w:orient="portrait"/>
          <w:cols w:equalWidth="0" w:num="2">
            <w:col w:w="4140" w:space="640"/>
            <w:col w:w="664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813</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3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56,043</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78,454</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color w:val="auto"/>
              </w:rPr>
              <w:t>31.4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investments- 36.0%</w:t>
            </w:r>
          </w:p>
        </w:tc>
        <w:tc>
          <w:tcPr>
            <w:tcW w:w="23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3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 Cash, 4%</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5/24/18)</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12,001</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3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(19.7% fully</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 ownership)</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1,394</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3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fully diluted ownership)</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13,395</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23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(14.1% Cash (3</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+ 13%, 0.5%</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Floor), Due 4/29/20)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14,169</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Eastport Holdings, LLC</w:t>
            </w:r>
          </w:p>
        </w:tc>
        <w:tc>
          <w:tcPr>
            <w:tcW w:w="236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Business Services</w:t>
            </w:r>
          </w:p>
        </w:tc>
        <w:tc>
          <w:tcPr>
            <w:tcW w:w="24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Membership Units (30.1% fully</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48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diluted) </w:t>
            </w:r>
            <w:r>
              <w:rPr>
                <w:rFonts w:ascii="Arial" w:cs="Arial" w:eastAsia="Arial" w:hAnsi="Arial"/>
                <w:sz w:val="23"/>
                <w:szCs w:val="23"/>
                <w:color w:val="auto"/>
                <w:vertAlign w:val="superscript"/>
              </w:rPr>
              <w:t>(11)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4,733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18,902</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34,648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36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Conglomerate</w:t>
            </w:r>
          </w:p>
        </w:tc>
        <w:tc>
          <w:tcPr>
            <w:tcW w:w="24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(10% Cash,</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9/15/18) </w:t>
            </w:r>
            <w:r>
              <w:rPr>
                <w:rFonts w:ascii="Arial" w:cs="Arial" w:eastAsia="Arial" w:hAnsi="Arial"/>
                <w:sz w:val="22"/>
                <w:szCs w:val="22"/>
                <w:color w:val="auto"/>
                <w:vertAlign w:val="superscript"/>
              </w:rPr>
              <w:t>(1)</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36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Conglomerate</w:t>
            </w:r>
          </w:p>
        </w:tc>
        <w:tc>
          <w:tcPr>
            <w:tcW w:w="24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4%</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Due 9/15/18) </w:t>
            </w:r>
            <w:r>
              <w:rPr>
                <w:rFonts w:ascii="Arial" w:cs="Arial" w:eastAsia="Arial" w:hAnsi="Arial"/>
                <w:sz w:val="22"/>
                <w:szCs w:val="22"/>
                <w:color w:val="auto"/>
                <w:vertAlign w:val="superscript"/>
              </w:rPr>
              <w:t>(1)</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4,029</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4,029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Conglomerate</w:t>
            </w: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Series A Preferred Units (47 units)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7,520</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8,457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36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Textile Equipment Manufacturer</w:t>
            </w:r>
          </w:p>
        </w:tc>
        <w:tc>
          <w:tcPr>
            <w:tcW w:w="24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(15% Cash, Due</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10/30/20) </w:t>
            </w:r>
            <w:r>
              <w:rPr>
                <w:rFonts w:ascii="Arial" w:cs="Arial" w:eastAsia="Arial" w:hAnsi="Arial"/>
                <w:sz w:val="22"/>
                <w:szCs w:val="22"/>
                <w:color w:val="auto"/>
                <w:vertAlign w:val="superscript"/>
              </w:rPr>
              <w:t>(1)</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36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Textile Equipment Manufacturer</w:t>
            </w:r>
          </w:p>
        </w:tc>
        <w:tc>
          <w:tcPr>
            <w:tcW w:w="24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Preferred Stock (1,000</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(6)</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Textile Equipment Manufacturer</w:t>
            </w: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(300,000 shares)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7,501</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12,986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236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Fuel Transportation Services</w:t>
            </w:r>
          </w:p>
        </w:tc>
        <w:tc>
          <w:tcPr>
            <w:tcW w:w="24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4%</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Due 12/19/17) </w:t>
            </w:r>
            <w:r>
              <w:rPr>
                <w:rFonts w:ascii="Arial" w:cs="Arial" w:eastAsia="Arial" w:hAnsi="Arial"/>
                <w:sz w:val="22"/>
                <w:szCs w:val="22"/>
                <w:color w:val="auto"/>
                <w:vertAlign w:val="superscript"/>
              </w:rPr>
              <w:t>(1) (2)</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11,485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3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Fuel Transportation Services</w:t>
            </w:r>
          </w:p>
        </w:tc>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 Preferred Stock (32,782</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3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Fuel Transportation Services</w:t>
            </w:r>
          </w:p>
        </w:tc>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 Preferred Stock (23,648</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Fuel Transportation Services</w:t>
            </w: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(33,107 shares)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16,696</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11,485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18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Printing Services</w:t>
            </w:r>
          </w:p>
        </w:tc>
        <w:tc>
          <w:tcPr>
            <w:tcW w:w="282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First Lien Debt (10% Cash, 2%</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PIK, Due 2/24/19)</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17,403</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17,403</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10,187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1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Printing Services</w:t>
            </w:r>
          </w:p>
        </w:tc>
        <w:tc>
          <w:tcPr>
            <w:tcW w:w="2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Common Stock (18,543 shares)</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2,990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18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Printing Services</w:t>
            </w:r>
          </w:p>
        </w:tc>
        <w:tc>
          <w:tcPr>
            <w:tcW w:w="282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Common Stock Warrants (820</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shares)</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20,393</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10,187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18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84,407</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89,764</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color w:val="auto"/>
              </w:rPr>
              <w:t>36.0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- 213.4%</w:t>
            </w:r>
          </w:p>
        </w:tc>
        <w:tc>
          <w:tcPr>
            <w:tcW w:w="18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509,286</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532,478</w:t>
            </w:r>
          </w:p>
        </w:tc>
        <w:tc>
          <w:tcPr>
            <w:tcW w:w="11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b w:val="1"/>
                <w:bCs w:val="1"/>
                <w:color w:val="auto"/>
              </w:rPr>
              <w:t>213.4</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(1.7)%</w:t>
            </w:r>
          </w:p>
        </w:tc>
        <w:tc>
          <w:tcPr>
            <w:tcW w:w="18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Business Services</w:t>
            </w:r>
          </w:p>
        </w:tc>
        <w:tc>
          <w:tcPr>
            <w:tcW w:w="2820" w:type="dxa"/>
            <w:vAlign w:val="bottom"/>
            <w:shd w:val="clear" w:color="auto" w:fill="CCEEFF"/>
          </w:tcPr>
          <w:p>
            <w:pPr>
              <w:ind w:left="56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(4,221)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DERIVATIVES- (1.7)%</w:t>
            </w:r>
          </w:p>
        </w:tc>
        <w:tc>
          <w:tcPr>
            <w:tcW w:w="18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(4,221</w:t>
            </w:r>
            <w:r>
              <w:rPr>
                <w:rFonts w:ascii="Arial" w:cs="Arial" w:eastAsia="Arial" w:hAnsi="Arial"/>
                <w:sz w:val="20"/>
                <w:szCs w:val="20"/>
                <w:b w:val="1"/>
                <w:bCs w:val="1"/>
                <w:color w:val="auto"/>
                <w:vertAlign w:val="superscript"/>
              </w:rPr>
              <w:t>)</w:t>
            </w:r>
          </w:p>
        </w:tc>
        <w:tc>
          <w:tcPr>
            <w:tcW w:w="11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b w:val="1"/>
                <w:bCs w:val="1"/>
                <w:color w:val="auto"/>
              </w:rPr>
              <w:t>(1.7</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Percentages are based on net assets of $249,479 as of March 31,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right="60" w:firstLine="8"/>
        <w:spacing w:after="0" w:line="25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March 31, 2017, 7.2%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 was amended to zero. The Company is entitled to receive earn-out payments of up to $2.4 million in satisfaction of the debt.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stated rate, the investment is paying 3% default interest.</w:t>
      </w:r>
    </w:p>
    <w:p>
      <w:pPr>
        <w:spacing w:after="0" w:line="9" w:lineRule="exact"/>
        <w:rPr>
          <w:rFonts w:ascii="Arial" w:cs="Arial" w:eastAsia="Arial" w:hAnsi="Arial"/>
          <w:sz w:val="18"/>
          <w:szCs w:val="18"/>
          <w:color w:val="auto"/>
        </w:rPr>
      </w:pPr>
    </w:p>
    <w:p>
      <w:pPr>
        <w:ind w:right="460" w:firstLine="8"/>
        <w:spacing w:after="0" w:line="250" w:lineRule="auto"/>
        <w:tabs>
          <w:tab w:leader="none" w:pos="33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March 31, 2017, the fair value of the written call option is approximately $4.2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has accrued 50% of contractual interest as the portfolio company is undergoing amendments to senior and subordinated loans outstanding.</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$0.8 million unfunded commitment.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120" w:type="dxa"/>
            <w:vAlign w:val="bottom"/>
            <w:vMerge w:val="restart"/>
          </w:tcPr>
          <w:p>
            <w:pPr>
              <w:spacing w:after="0"/>
              <w:rPr>
                <w:sz w:val="14"/>
                <w:szCs w:val="14"/>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14"/>
                <w:szCs w:val="14"/>
                <w:color w:val="auto"/>
              </w:rPr>
            </w:pPr>
          </w:p>
        </w:tc>
        <w:tc>
          <w:tcPr>
            <w:tcW w:w="20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Non-control/non-affiliated investments - 157.1%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58" w:orient="portrait"/>
          <w:cols w:equalWidth="0" w:num="1">
            <w:col w:w="11420"/>
          </w:cols>
          <w:pgMar w:left="240" w:top="904" w:right="239" w:bottom="0"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Arial" w:cs="Arial" w:eastAsia="Arial" w:hAnsi="Arial"/>
                <w:sz w:val="14"/>
                <w:szCs w:val="14"/>
                <w:color w:val="auto"/>
              </w:rPr>
              <w:t>AAE Acquisition, LLC</w:t>
            </w:r>
          </w:p>
        </w:tc>
        <w:tc>
          <w:tcPr>
            <w:tcW w:w="2020" w:type="dxa"/>
            <w:vAlign w:val="bottom"/>
          </w:tcPr>
          <w:p>
            <w:pPr>
              <w:ind w:left="100"/>
              <w:spacing w:after="0"/>
              <w:rPr>
                <w:sz w:val="20"/>
                <w:szCs w:val="20"/>
                <w:color w:val="auto"/>
              </w:rPr>
            </w:pPr>
            <w:r>
              <w:rPr>
                <w:rFonts w:ascii="Arial" w:cs="Arial" w:eastAsia="Arial" w:hAnsi="Arial"/>
                <w:sz w:val="14"/>
                <w:szCs w:val="14"/>
                <w:color w:val="auto"/>
              </w:rPr>
              <w:t>Industrial Equipment Rental</w:t>
            </w:r>
          </w:p>
        </w:tc>
        <w:tc>
          <w:tcPr>
            <w:tcW w:w="2400" w:type="dxa"/>
            <w:vAlign w:val="bottom"/>
          </w:tcPr>
          <w:p>
            <w:pPr>
              <w:ind w:left="260"/>
              <w:spacing w:after="0"/>
              <w:rPr>
                <w:sz w:val="20"/>
                <w:szCs w:val="20"/>
                <w:color w:val="auto"/>
              </w:rPr>
            </w:pPr>
            <w:r>
              <w:rPr>
                <w:rFonts w:ascii="Arial" w:cs="Arial" w:eastAsia="Arial" w:hAnsi="Arial"/>
                <w:sz w:val="14"/>
                <w:szCs w:val="14"/>
                <w:color w:val="auto"/>
                <w:w w:val="97"/>
              </w:rPr>
              <w:t>Second Lien Debt (12% Cash, Due</w:t>
            </w:r>
          </w:p>
        </w:tc>
        <w:tc>
          <w:tcPr>
            <w:tcW w:w="120" w:type="dxa"/>
            <w:vAlign w:val="bottom"/>
          </w:tcPr>
          <w:p>
            <w:pPr>
              <w:spacing w:after="0"/>
              <w:rPr>
                <w:sz w:val="14"/>
                <w:szCs w:val="14"/>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3/31/18)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2100" w:type="dxa"/>
            <w:vAlign w:val="bottom"/>
          </w:tcPr>
          <w:p>
            <w:pPr>
              <w:spacing w:after="0"/>
              <w:rPr>
                <w:sz w:val="20"/>
                <w:szCs w:val="20"/>
                <w:color w:val="auto"/>
              </w:rPr>
            </w:pPr>
            <w:r>
              <w:rPr>
                <w:rFonts w:ascii="Arial" w:cs="Arial" w:eastAsia="Arial" w:hAnsi="Arial"/>
                <w:sz w:val="14"/>
                <w:szCs w:val="14"/>
                <w:color w:val="auto"/>
              </w:rPr>
              <w:t>AAE Acquisition, LLC</w:t>
            </w:r>
          </w:p>
        </w:tc>
        <w:tc>
          <w:tcPr>
            <w:tcW w:w="2020" w:type="dxa"/>
            <w:vAlign w:val="bottom"/>
          </w:tcPr>
          <w:p>
            <w:pPr>
              <w:ind w:left="100"/>
              <w:spacing w:after="0"/>
              <w:rPr>
                <w:sz w:val="20"/>
                <w:szCs w:val="20"/>
                <w:color w:val="auto"/>
              </w:rPr>
            </w:pPr>
            <w:r>
              <w:rPr>
                <w:rFonts w:ascii="Arial" w:cs="Arial" w:eastAsia="Arial" w:hAnsi="Arial"/>
                <w:sz w:val="14"/>
                <w:szCs w:val="14"/>
                <w:color w:val="auto"/>
              </w:rPr>
              <w:t>Industrial Equipment Rental</w:t>
            </w:r>
          </w:p>
        </w:tc>
        <w:tc>
          <w:tcPr>
            <w:tcW w:w="2400" w:type="dxa"/>
            <w:vAlign w:val="bottom"/>
          </w:tcPr>
          <w:p>
            <w:pPr>
              <w:ind w:left="260"/>
              <w:spacing w:after="0"/>
              <w:rPr>
                <w:sz w:val="20"/>
                <w:szCs w:val="20"/>
                <w:color w:val="auto"/>
              </w:rPr>
            </w:pPr>
            <w:r>
              <w:rPr>
                <w:rFonts w:ascii="Arial" w:cs="Arial" w:eastAsia="Arial" w:hAnsi="Arial"/>
                <w:sz w:val="14"/>
                <w:szCs w:val="14"/>
                <w:color w:val="auto"/>
              </w:rPr>
              <w:t>Membership Units (14% fully</w:t>
            </w:r>
          </w:p>
        </w:tc>
        <w:tc>
          <w:tcPr>
            <w:tcW w:w="120" w:type="dxa"/>
            <w:vAlign w:val="bottom"/>
          </w:tcPr>
          <w:p>
            <w:pPr>
              <w:spacing w:after="0"/>
              <w:rPr>
                <w:sz w:val="22"/>
                <w:szCs w:val="22"/>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American Clinical Solutions, LLC</w:t>
            </w:r>
          </w:p>
        </w:tc>
        <w:tc>
          <w:tcPr>
            <w:tcW w:w="2020" w:type="dxa"/>
            <w:vAlign w:val="bottom"/>
          </w:tcPr>
          <w:p>
            <w:pPr>
              <w:ind w:left="100"/>
              <w:spacing w:after="0"/>
              <w:rPr>
                <w:sz w:val="20"/>
                <w:szCs w:val="20"/>
                <w:color w:val="auto"/>
              </w:rPr>
            </w:pPr>
            <w:r>
              <w:rPr>
                <w:rFonts w:ascii="Arial" w:cs="Arial" w:eastAsia="Arial" w:hAnsi="Arial"/>
                <w:sz w:val="14"/>
                <w:szCs w:val="14"/>
                <w:color w:val="auto"/>
              </w:rPr>
              <w:t>Healthcare</w:t>
            </w:r>
          </w:p>
        </w:tc>
        <w:tc>
          <w:tcPr>
            <w:tcW w:w="2400" w:type="dxa"/>
            <w:vAlign w:val="bottom"/>
          </w:tcPr>
          <w:p>
            <w:pPr>
              <w:ind w:left="260"/>
              <w:spacing w:after="0"/>
              <w:rPr>
                <w:sz w:val="20"/>
                <w:szCs w:val="20"/>
                <w:color w:val="auto"/>
              </w:rPr>
            </w:pPr>
            <w:r>
              <w:rPr>
                <w:rFonts w:ascii="Arial" w:cs="Arial" w:eastAsia="Arial" w:hAnsi="Arial"/>
                <w:sz w:val="14"/>
                <w:szCs w:val="14"/>
                <w:color w:val="auto"/>
              </w:rPr>
              <w:t>First Lien Debt (10.5% Cash (3</w:t>
            </w:r>
          </w:p>
        </w:tc>
        <w:tc>
          <w:tcPr>
            <w:tcW w:w="120" w:type="dxa"/>
            <w:vAlign w:val="bottom"/>
          </w:tcPr>
          <w:p>
            <w:pPr>
              <w:spacing w:after="0"/>
              <w:rPr>
                <w:sz w:val="24"/>
                <w:szCs w:val="24"/>
                <w:color w:val="auto"/>
              </w:rPr>
            </w:pPr>
          </w:p>
        </w:tc>
      </w:tr>
      <w:tr>
        <w:trPr>
          <w:trHeight w:val="158"/>
        </w:trPr>
        <w:tc>
          <w:tcPr>
            <w:tcW w:w="2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0" w:type="dxa"/>
            <w:vAlign w:val="bottom"/>
          </w:tcPr>
          <w:p>
            <w:pPr>
              <w:ind w:left="260"/>
              <w:spacing w:after="0" w:line="159" w:lineRule="exact"/>
              <w:rPr>
                <w:sz w:val="20"/>
                <w:szCs w:val="20"/>
                <w:color w:val="auto"/>
              </w:rPr>
            </w:pPr>
            <w:r>
              <w:rPr>
                <w:rFonts w:ascii="Arial" w:cs="Arial" w:eastAsia="Arial" w:hAnsi="Arial"/>
                <w:sz w:val="14"/>
                <w:szCs w:val="14"/>
                <w:color w:val="auto"/>
              </w:rPr>
              <w:t>month LIBOR + 9.5%, 1% Floor),</w:t>
            </w:r>
          </w:p>
        </w:tc>
        <w:tc>
          <w:tcPr>
            <w:tcW w:w="120" w:type="dxa"/>
            <w:vAlign w:val="bottom"/>
          </w:tcPr>
          <w:p>
            <w:pPr>
              <w:spacing w:after="0"/>
              <w:rPr>
                <w:sz w:val="13"/>
                <w:szCs w:val="13"/>
                <w:color w:val="auto"/>
              </w:rPr>
            </w:pPr>
          </w:p>
        </w:tc>
      </w:tr>
      <w:tr>
        <w:trPr>
          <w:trHeight w:val="313"/>
        </w:trPr>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 xml:space="preserve">Due 6/11/20) </w:t>
            </w:r>
            <w:r>
              <w:rPr>
                <w:rFonts w:ascii="Arial" w:cs="Arial" w:eastAsia="Arial" w:hAnsi="Arial"/>
                <w:sz w:val="23"/>
                <w:szCs w:val="23"/>
                <w:color w:val="auto"/>
                <w:vertAlign w:val="superscript"/>
              </w:rPr>
              <w:t>(13)</w:t>
            </w:r>
          </w:p>
        </w:tc>
        <w:tc>
          <w:tcPr>
            <w:tcW w:w="120" w:type="dxa"/>
            <w:vAlign w:val="bottom"/>
          </w:tcPr>
          <w:p>
            <w:pPr>
              <w:spacing w:after="0"/>
              <w:rPr>
                <w:sz w:val="24"/>
                <w:szCs w:val="24"/>
                <w:color w:val="auto"/>
              </w:rPr>
            </w:pPr>
          </w:p>
        </w:tc>
      </w:tr>
      <w:tr>
        <w:trPr>
          <w:trHeight w:val="514"/>
        </w:trPr>
        <w:tc>
          <w:tcPr>
            <w:tcW w:w="2100" w:type="dxa"/>
            <w:vAlign w:val="bottom"/>
          </w:tcPr>
          <w:p>
            <w:pPr>
              <w:spacing w:after="0"/>
              <w:rPr>
                <w:sz w:val="20"/>
                <w:szCs w:val="20"/>
                <w:color w:val="auto"/>
              </w:rPr>
            </w:pPr>
            <w:r>
              <w:rPr>
                <w:rFonts w:ascii="Arial" w:cs="Arial" w:eastAsia="Arial" w:hAnsi="Arial"/>
                <w:sz w:val="14"/>
                <w:szCs w:val="14"/>
                <w:color w:val="auto"/>
              </w:rPr>
              <w:t>American Exteriors, LLC</w:t>
            </w:r>
          </w:p>
        </w:tc>
        <w:tc>
          <w:tcPr>
            <w:tcW w:w="2020" w:type="dxa"/>
            <w:vAlign w:val="bottom"/>
          </w:tcPr>
          <w:p>
            <w:pPr>
              <w:ind w:left="100"/>
              <w:spacing w:after="0"/>
              <w:rPr>
                <w:sz w:val="20"/>
                <w:szCs w:val="20"/>
                <w:color w:val="auto"/>
              </w:rPr>
            </w:pPr>
            <w:r>
              <w:rPr>
                <w:rFonts w:ascii="Arial" w:cs="Arial" w:eastAsia="Arial" w:hAnsi="Arial"/>
                <w:sz w:val="14"/>
                <w:szCs w:val="14"/>
                <w:color w:val="auto"/>
              </w:rPr>
              <w:t>Replacement Window</w:t>
            </w:r>
          </w:p>
        </w:tc>
        <w:tc>
          <w:tcPr>
            <w:tcW w:w="2400" w:type="dxa"/>
            <w:vAlign w:val="bottom"/>
          </w:tcPr>
          <w:p>
            <w:pPr>
              <w:ind w:left="260"/>
              <w:spacing w:after="0"/>
              <w:rPr>
                <w:sz w:val="20"/>
                <w:szCs w:val="20"/>
                <w:color w:val="auto"/>
              </w:rPr>
            </w:pPr>
            <w:r>
              <w:rPr>
                <w:rFonts w:ascii="Arial" w:cs="Arial" w:eastAsia="Arial" w:hAnsi="Arial"/>
                <w:sz w:val="14"/>
                <w:szCs w:val="14"/>
                <w:color w:val="auto"/>
              </w:rPr>
              <w:t>First Lien Debt (10% PIK, Due</w:t>
            </w:r>
          </w:p>
        </w:tc>
        <w:tc>
          <w:tcPr>
            <w:tcW w:w="120" w:type="dxa"/>
            <w:vAlign w:val="bottom"/>
          </w:tcPr>
          <w:p>
            <w:pPr>
              <w:spacing w:after="0"/>
              <w:rPr>
                <w:sz w:val="24"/>
                <w:szCs w:val="24"/>
                <w:color w:val="auto"/>
              </w:rPr>
            </w:pPr>
          </w:p>
        </w:tc>
      </w:tr>
      <w:tr>
        <w:trPr>
          <w:trHeight w:val="323"/>
        </w:trPr>
        <w:tc>
          <w:tcPr>
            <w:tcW w:w="2100" w:type="dxa"/>
            <w:vAlign w:val="bottom"/>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Manufacturer</w:t>
            </w:r>
          </w:p>
        </w:tc>
        <w:tc>
          <w:tcPr>
            <w:tcW w:w="2400" w:type="dxa"/>
            <w:vAlign w:val="bottom"/>
          </w:tcPr>
          <w:p>
            <w:pPr>
              <w:ind w:left="260"/>
              <w:spacing w:after="0"/>
              <w:rPr>
                <w:sz w:val="20"/>
                <w:szCs w:val="20"/>
                <w:color w:val="auto"/>
              </w:rPr>
            </w:pPr>
            <w:r>
              <w:rPr>
                <w:rFonts w:ascii="Arial" w:cs="Arial" w:eastAsia="Arial" w:hAnsi="Arial"/>
                <w:sz w:val="14"/>
                <w:szCs w:val="14"/>
                <w:color w:val="auto"/>
              </w:rPr>
              <w:t xml:space="preserve">1/1/17) </w:t>
            </w:r>
            <w:r>
              <w:rPr>
                <w:rFonts w:ascii="Arial" w:cs="Arial" w:eastAsia="Arial" w:hAnsi="Arial"/>
                <w:sz w:val="23"/>
                <w:szCs w:val="23"/>
                <w:color w:val="auto"/>
                <w:vertAlign w:val="superscript"/>
              </w:rPr>
              <w:t>(1) (2)</w:t>
            </w:r>
          </w:p>
        </w:tc>
        <w:tc>
          <w:tcPr>
            <w:tcW w:w="120" w:type="dxa"/>
            <w:vAlign w:val="bottom"/>
          </w:tcPr>
          <w:p>
            <w:pPr>
              <w:spacing w:after="0"/>
              <w:rPr>
                <w:sz w:val="24"/>
                <w:szCs w:val="24"/>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4"/>
                <w:szCs w:val="14"/>
                <w:color w:val="auto"/>
              </w:rPr>
              <w:t>American Exteriors, LLC</w:t>
            </w:r>
          </w:p>
        </w:tc>
        <w:tc>
          <w:tcPr>
            <w:tcW w:w="2020" w:type="dxa"/>
            <w:vAlign w:val="bottom"/>
          </w:tcPr>
          <w:p>
            <w:pPr>
              <w:ind w:left="100"/>
              <w:spacing w:after="0"/>
              <w:rPr>
                <w:sz w:val="20"/>
                <w:szCs w:val="20"/>
                <w:color w:val="auto"/>
              </w:rPr>
            </w:pPr>
            <w:r>
              <w:rPr>
                <w:rFonts w:ascii="Arial" w:cs="Arial" w:eastAsia="Arial" w:hAnsi="Arial"/>
                <w:sz w:val="14"/>
                <w:szCs w:val="14"/>
                <w:color w:val="auto"/>
              </w:rPr>
              <w:t>Replacement Window</w:t>
            </w:r>
          </w:p>
        </w:tc>
        <w:tc>
          <w:tcPr>
            <w:tcW w:w="2400" w:type="dxa"/>
            <w:vAlign w:val="bottom"/>
          </w:tcPr>
          <w:p>
            <w:pPr>
              <w:ind w:left="260"/>
              <w:spacing w:after="0"/>
              <w:rPr>
                <w:sz w:val="20"/>
                <w:szCs w:val="20"/>
                <w:color w:val="auto"/>
              </w:rPr>
            </w:pPr>
            <w:r>
              <w:rPr>
                <w:rFonts w:ascii="Arial" w:cs="Arial" w:eastAsia="Arial" w:hAnsi="Arial"/>
                <w:sz w:val="14"/>
                <w:szCs w:val="14"/>
                <w:color w:val="auto"/>
              </w:rPr>
              <w:t>Common Stock Warrants (10%</w:t>
            </w:r>
          </w:p>
        </w:tc>
        <w:tc>
          <w:tcPr>
            <w:tcW w:w="120" w:type="dxa"/>
            <w:vAlign w:val="bottom"/>
          </w:tcPr>
          <w:p>
            <w:pPr>
              <w:spacing w:after="0"/>
              <w:rPr>
                <w:sz w:val="14"/>
                <w:szCs w:val="14"/>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Manufacturer</w:t>
            </w:r>
          </w:p>
        </w:tc>
        <w:tc>
          <w:tcPr>
            <w:tcW w:w="2400" w:type="dxa"/>
            <w:vAlign w:val="bottom"/>
          </w:tcPr>
          <w:p>
            <w:pPr>
              <w:ind w:left="260"/>
              <w:spacing w:after="0"/>
              <w:rPr>
                <w:sz w:val="20"/>
                <w:szCs w:val="20"/>
                <w:color w:val="auto"/>
              </w:rPr>
            </w:pPr>
            <w:r>
              <w:rPr>
                <w:rFonts w:ascii="Arial" w:cs="Arial" w:eastAsia="Arial" w:hAnsi="Arial"/>
                <w:sz w:val="14"/>
                <w:szCs w:val="14"/>
                <w:color w:val="auto"/>
              </w:rPr>
              <w:t>fully diluted)</w:t>
            </w:r>
          </w:p>
        </w:tc>
        <w:tc>
          <w:tcPr>
            <w:tcW w:w="120" w:type="dxa"/>
            <w:vAlign w:val="bottom"/>
          </w:tcPr>
          <w:p>
            <w:pPr>
              <w:spacing w:after="0"/>
              <w:rPr>
                <w:sz w:val="15"/>
                <w:szCs w:val="15"/>
                <w:color w:val="auto"/>
              </w:rPr>
            </w:pP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AmeriMark Direct, LLC</w:t>
            </w:r>
          </w:p>
        </w:tc>
        <w:tc>
          <w:tcPr>
            <w:tcW w:w="2020" w:type="dxa"/>
            <w:vAlign w:val="bottom"/>
          </w:tcPr>
          <w:p>
            <w:pPr>
              <w:ind w:left="100"/>
              <w:spacing w:after="0"/>
              <w:rPr>
                <w:sz w:val="20"/>
                <w:szCs w:val="20"/>
                <w:color w:val="auto"/>
              </w:rPr>
            </w:pPr>
            <w:r>
              <w:rPr>
                <w:rFonts w:ascii="Arial" w:cs="Arial" w:eastAsia="Arial" w:hAnsi="Arial"/>
                <w:sz w:val="14"/>
                <w:szCs w:val="14"/>
                <w:color w:val="auto"/>
              </w:rPr>
              <w:t>Consumer Products</w:t>
            </w:r>
          </w:p>
        </w:tc>
        <w:tc>
          <w:tcPr>
            <w:tcW w:w="2400" w:type="dxa"/>
            <w:vAlign w:val="bottom"/>
          </w:tcPr>
          <w:p>
            <w:pPr>
              <w:ind w:left="260"/>
              <w:spacing w:after="0"/>
              <w:rPr>
                <w:sz w:val="20"/>
                <w:szCs w:val="20"/>
                <w:color w:val="auto"/>
              </w:rPr>
            </w:pPr>
            <w:r>
              <w:rPr>
                <w:rFonts w:ascii="Arial" w:cs="Arial" w:eastAsia="Arial" w:hAnsi="Arial"/>
                <w:sz w:val="14"/>
                <w:szCs w:val="14"/>
                <w:color w:val="auto"/>
                <w:w w:val="97"/>
              </w:rPr>
              <w:t>First Lien Debt (12.75% Cash, Due</w:t>
            </w:r>
          </w:p>
        </w:tc>
        <w:tc>
          <w:tcPr>
            <w:tcW w:w="120" w:type="dxa"/>
            <w:vAlign w:val="bottom"/>
          </w:tcPr>
          <w:p>
            <w:pPr>
              <w:spacing w:after="0"/>
              <w:rPr>
                <w:sz w:val="24"/>
                <w:szCs w:val="24"/>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9/8/21)</w:t>
            </w:r>
          </w:p>
        </w:tc>
        <w:tc>
          <w:tcPr>
            <w:tcW w:w="120" w:type="dxa"/>
            <w:vAlign w:val="bottom"/>
          </w:tcPr>
          <w:p>
            <w:pPr>
              <w:spacing w:after="0"/>
              <w:rPr>
                <w:sz w:val="15"/>
                <w:szCs w:val="15"/>
                <w:color w:val="auto"/>
              </w:rPr>
            </w:pP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B&amp;W Quality Growers, LLC</w:t>
            </w:r>
          </w:p>
        </w:tc>
        <w:tc>
          <w:tcPr>
            <w:tcW w:w="2020" w:type="dxa"/>
            <w:vAlign w:val="bottom"/>
          </w:tcPr>
          <w:p>
            <w:pPr>
              <w:ind w:left="100"/>
              <w:spacing w:after="0"/>
              <w:rPr>
                <w:sz w:val="20"/>
                <w:szCs w:val="20"/>
                <w:color w:val="auto"/>
              </w:rPr>
            </w:pPr>
            <w:r>
              <w:rPr>
                <w:rFonts w:ascii="Arial" w:cs="Arial" w:eastAsia="Arial" w:hAnsi="Arial"/>
                <w:sz w:val="14"/>
                <w:szCs w:val="14"/>
                <w:color w:val="auto"/>
              </w:rPr>
              <w:t>Farming</w:t>
            </w:r>
          </w:p>
        </w:tc>
        <w:tc>
          <w:tcPr>
            <w:tcW w:w="2400" w:type="dxa"/>
            <w:vAlign w:val="bottom"/>
          </w:tcPr>
          <w:p>
            <w:pPr>
              <w:ind w:left="260"/>
              <w:spacing w:after="0"/>
              <w:rPr>
                <w:sz w:val="20"/>
                <w:szCs w:val="20"/>
                <w:color w:val="auto"/>
              </w:rPr>
            </w:pPr>
            <w:r>
              <w:rPr>
                <w:rFonts w:ascii="Arial" w:cs="Arial" w:eastAsia="Arial" w:hAnsi="Arial"/>
                <w:sz w:val="14"/>
                <w:szCs w:val="14"/>
                <w:color w:val="auto"/>
                <w:w w:val="94"/>
              </w:rPr>
              <w:t>Subordinated Debt (14% Cash, Due</w:t>
            </w:r>
          </w:p>
        </w:tc>
        <w:tc>
          <w:tcPr>
            <w:tcW w:w="120" w:type="dxa"/>
            <w:vAlign w:val="bottom"/>
          </w:tcPr>
          <w:p>
            <w:pPr>
              <w:spacing w:after="0"/>
              <w:rPr>
                <w:sz w:val="24"/>
                <w:szCs w:val="24"/>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7/23/20)</w:t>
            </w:r>
          </w:p>
        </w:tc>
        <w:tc>
          <w:tcPr>
            <w:tcW w:w="120" w:type="dxa"/>
            <w:vAlign w:val="bottom"/>
          </w:tcPr>
          <w:p>
            <w:pPr>
              <w:spacing w:after="0"/>
              <w:rPr>
                <w:sz w:val="15"/>
                <w:szCs w:val="15"/>
                <w:color w:val="auto"/>
              </w:rPr>
            </w:pPr>
          </w:p>
        </w:tc>
      </w:tr>
      <w:tr>
        <w:trPr>
          <w:trHeight w:val="263"/>
        </w:trPr>
        <w:tc>
          <w:tcPr>
            <w:tcW w:w="2100" w:type="dxa"/>
            <w:vAlign w:val="bottom"/>
          </w:tcPr>
          <w:p>
            <w:pPr>
              <w:spacing w:after="0"/>
              <w:rPr>
                <w:sz w:val="20"/>
                <w:szCs w:val="20"/>
                <w:color w:val="auto"/>
              </w:rPr>
            </w:pPr>
            <w:r>
              <w:rPr>
                <w:rFonts w:ascii="Arial" w:cs="Arial" w:eastAsia="Arial" w:hAnsi="Arial"/>
                <w:sz w:val="14"/>
                <w:szCs w:val="14"/>
                <w:color w:val="auto"/>
              </w:rPr>
              <w:t>B&amp;W Quality Growers, LLC</w:t>
            </w:r>
          </w:p>
        </w:tc>
        <w:tc>
          <w:tcPr>
            <w:tcW w:w="2020" w:type="dxa"/>
            <w:vAlign w:val="bottom"/>
          </w:tcPr>
          <w:p>
            <w:pPr>
              <w:ind w:left="100"/>
              <w:spacing w:after="0"/>
              <w:rPr>
                <w:sz w:val="20"/>
                <w:szCs w:val="20"/>
                <w:color w:val="auto"/>
              </w:rPr>
            </w:pPr>
            <w:r>
              <w:rPr>
                <w:rFonts w:ascii="Arial" w:cs="Arial" w:eastAsia="Arial" w:hAnsi="Arial"/>
                <w:sz w:val="14"/>
                <w:szCs w:val="14"/>
                <w:color w:val="auto"/>
              </w:rPr>
              <w:t>Farming</w:t>
            </w:r>
          </w:p>
        </w:tc>
        <w:tc>
          <w:tcPr>
            <w:tcW w:w="2400" w:type="dxa"/>
            <w:vAlign w:val="bottom"/>
          </w:tcPr>
          <w:p>
            <w:pPr>
              <w:ind w:left="260"/>
              <w:spacing w:after="0"/>
              <w:rPr>
                <w:sz w:val="20"/>
                <w:szCs w:val="20"/>
                <w:color w:val="auto"/>
              </w:rPr>
            </w:pPr>
            <w:r>
              <w:rPr>
                <w:rFonts w:ascii="Arial" w:cs="Arial" w:eastAsia="Arial" w:hAnsi="Arial"/>
                <w:sz w:val="14"/>
                <w:szCs w:val="14"/>
                <w:color w:val="auto"/>
                <w:w w:val="97"/>
              </w:rPr>
              <w:t>Membership Unit Warrants (91,739</w:t>
            </w:r>
          </w:p>
        </w:tc>
        <w:tc>
          <w:tcPr>
            <w:tcW w:w="120" w:type="dxa"/>
            <w:vAlign w:val="bottom"/>
          </w:tcPr>
          <w:p>
            <w:pPr>
              <w:spacing w:after="0"/>
              <w:rPr>
                <w:sz w:val="22"/>
                <w:szCs w:val="22"/>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5"/>
                <w:szCs w:val="15"/>
                <w:color w:val="auto"/>
              </w:rPr>
            </w:pPr>
          </w:p>
        </w:tc>
      </w:tr>
      <w:tr>
        <w:trPr>
          <w:trHeight w:val="624"/>
        </w:trPr>
        <w:tc>
          <w:tcPr>
            <w:tcW w:w="2100" w:type="dxa"/>
            <w:vAlign w:val="bottom"/>
          </w:tcPr>
          <w:p>
            <w:pPr>
              <w:spacing w:after="0"/>
              <w:rPr>
                <w:sz w:val="20"/>
                <w:szCs w:val="20"/>
                <w:color w:val="auto"/>
              </w:rPr>
            </w:pPr>
            <w:r>
              <w:rPr>
                <w:rFonts w:ascii="Arial" w:cs="Arial" w:eastAsia="Arial" w:hAnsi="Arial"/>
                <w:sz w:val="14"/>
                <w:szCs w:val="14"/>
                <w:color w:val="auto"/>
              </w:rPr>
              <w:t>BigMouth, Inc.</w:t>
            </w:r>
          </w:p>
        </w:tc>
        <w:tc>
          <w:tcPr>
            <w:tcW w:w="2020" w:type="dxa"/>
            <w:vAlign w:val="bottom"/>
          </w:tcPr>
          <w:p>
            <w:pPr>
              <w:ind w:left="100"/>
              <w:spacing w:after="0"/>
              <w:rPr>
                <w:sz w:val="20"/>
                <w:szCs w:val="20"/>
                <w:color w:val="auto"/>
              </w:rPr>
            </w:pPr>
            <w:r>
              <w:rPr>
                <w:rFonts w:ascii="Arial" w:cs="Arial" w:eastAsia="Arial" w:hAnsi="Arial"/>
                <w:sz w:val="14"/>
                <w:szCs w:val="14"/>
                <w:color w:val="auto"/>
              </w:rPr>
              <w:t>Consumer Products</w:t>
            </w:r>
          </w:p>
        </w:tc>
        <w:tc>
          <w:tcPr>
            <w:tcW w:w="2400" w:type="dxa"/>
            <w:vAlign w:val="bottom"/>
          </w:tcPr>
          <w:p>
            <w:pPr>
              <w:ind w:left="260"/>
              <w:spacing w:after="0"/>
              <w:rPr>
                <w:sz w:val="20"/>
                <w:szCs w:val="20"/>
                <w:color w:val="auto"/>
              </w:rPr>
            </w:pPr>
            <w:r>
              <w:rPr>
                <w:rFonts w:ascii="Arial" w:cs="Arial" w:eastAsia="Arial" w:hAnsi="Arial"/>
                <w:sz w:val="14"/>
                <w:szCs w:val="14"/>
                <w:color w:val="auto"/>
              </w:rPr>
              <w:t>First Lien Debt (12.6% Cash, Due</w:t>
            </w:r>
          </w:p>
        </w:tc>
        <w:tc>
          <w:tcPr>
            <w:tcW w:w="120" w:type="dxa"/>
            <w:vAlign w:val="bottom"/>
          </w:tcPr>
          <w:p>
            <w:pPr>
              <w:spacing w:after="0"/>
              <w:rPr>
                <w:sz w:val="24"/>
                <w:szCs w:val="24"/>
                <w:color w:val="auto"/>
              </w:rPr>
            </w:pPr>
          </w:p>
        </w:tc>
      </w:tr>
      <w:tr>
        <w:trPr>
          <w:trHeight w:val="313"/>
        </w:trPr>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 xml:space="preserve">11/14/21) </w:t>
            </w:r>
            <w:r>
              <w:rPr>
                <w:rFonts w:ascii="Arial" w:cs="Arial" w:eastAsia="Arial" w:hAnsi="Arial"/>
                <w:sz w:val="23"/>
                <w:szCs w:val="23"/>
                <w:color w:val="auto"/>
                <w:vertAlign w:val="superscript"/>
              </w:rPr>
              <w:t>(3)</w:t>
            </w:r>
          </w:p>
        </w:tc>
        <w:tc>
          <w:tcPr>
            <w:tcW w:w="120" w:type="dxa"/>
            <w:vAlign w:val="bottom"/>
          </w:tcPr>
          <w:p>
            <w:pPr>
              <w:spacing w:after="0"/>
              <w:rPr>
                <w:sz w:val="24"/>
                <w:szCs w:val="24"/>
                <w:color w:val="auto"/>
              </w:rPr>
            </w:pPr>
          </w:p>
        </w:tc>
      </w:tr>
      <w:tr>
        <w:trPr>
          <w:trHeight w:val="173"/>
        </w:trPr>
        <w:tc>
          <w:tcPr>
            <w:tcW w:w="2100" w:type="dxa"/>
            <w:vAlign w:val="bottom"/>
          </w:tcPr>
          <w:p>
            <w:pPr>
              <w:spacing w:after="0"/>
              <w:rPr>
                <w:sz w:val="20"/>
                <w:szCs w:val="20"/>
                <w:color w:val="auto"/>
              </w:rPr>
            </w:pPr>
            <w:r>
              <w:rPr>
                <w:rFonts w:ascii="Arial" w:cs="Arial" w:eastAsia="Arial" w:hAnsi="Arial"/>
                <w:sz w:val="14"/>
                <w:szCs w:val="14"/>
                <w:color w:val="auto"/>
              </w:rPr>
              <w:t>BigMouth, Inc.</w:t>
            </w:r>
          </w:p>
        </w:tc>
        <w:tc>
          <w:tcPr>
            <w:tcW w:w="2020" w:type="dxa"/>
            <w:vAlign w:val="bottom"/>
          </w:tcPr>
          <w:p>
            <w:pPr>
              <w:ind w:left="100"/>
              <w:spacing w:after="0"/>
              <w:rPr>
                <w:sz w:val="20"/>
                <w:szCs w:val="20"/>
                <w:color w:val="auto"/>
              </w:rPr>
            </w:pPr>
            <w:r>
              <w:rPr>
                <w:rFonts w:ascii="Arial" w:cs="Arial" w:eastAsia="Arial" w:hAnsi="Arial"/>
                <w:sz w:val="14"/>
                <w:szCs w:val="14"/>
                <w:color w:val="auto"/>
              </w:rPr>
              <w:t>Consumer Products</w:t>
            </w:r>
          </w:p>
        </w:tc>
        <w:tc>
          <w:tcPr>
            <w:tcW w:w="2400" w:type="dxa"/>
            <w:vAlign w:val="bottom"/>
          </w:tcPr>
          <w:p>
            <w:pPr>
              <w:ind w:left="260"/>
              <w:spacing w:after="0"/>
              <w:rPr>
                <w:sz w:val="20"/>
                <w:szCs w:val="20"/>
                <w:color w:val="auto"/>
              </w:rPr>
            </w:pPr>
            <w:r>
              <w:rPr>
                <w:rFonts w:ascii="Arial" w:cs="Arial" w:eastAsia="Arial" w:hAnsi="Arial"/>
                <w:sz w:val="14"/>
                <w:szCs w:val="14"/>
                <w:color w:val="auto"/>
                <w:w w:val="99"/>
              </w:rPr>
              <w:t>Series A Preferred Stock (350,000</w:t>
            </w:r>
          </w:p>
        </w:tc>
        <w:tc>
          <w:tcPr>
            <w:tcW w:w="120" w:type="dxa"/>
            <w:vAlign w:val="bottom"/>
          </w:tcPr>
          <w:p>
            <w:pPr>
              <w:spacing w:after="0"/>
              <w:rPr>
                <w:sz w:val="15"/>
                <w:szCs w:val="15"/>
                <w:color w:val="auto"/>
              </w:rPr>
            </w:pPr>
          </w:p>
        </w:tc>
      </w:tr>
      <w:tr>
        <w:trPr>
          <w:trHeight w:val="313"/>
        </w:trPr>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 xml:space="preserve">shares, 8% PIK) </w:t>
            </w:r>
            <w:r>
              <w:rPr>
                <w:rFonts w:ascii="Arial" w:cs="Arial" w:eastAsia="Arial" w:hAnsi="Arial"/>
                <w:sz w:val="23"/>
                <w:szCs w:val="23"/>
                <w:color w:val="auto"/>
                <w:vertAlign w:val="superscript"/>
              </w:rPr>
              <w:t>(6)</w:t>
            </w:r>
          </w:p>
        </w:tc>
        <w:tc>
          <w:tcPr>
            <w:tcW w:w="120" w:type="dxa"/>
            <w:vAlign w:val="bottom"/>
          </w:tcPr>
          <w:p>
            <w:pPr>
              <w:spacing w:after="0"/>
              <w:rPr>
                <w:sz w:val="24"/>
                <w:szCs w:val="24"/>
                <w:color w:val="auto"/>
              </w:rPr>
            </w:pPr>
          </w:p>
        </w:tc>
      </w:tr>
      <w:tr>
        <w:trPr>
          <w:trHeight w:val="514"/>
        </w:trPr>
        <w:tc>
          <w:tcPr>
            <w:tcW w:w="2100" w:type="dxa"/>
            <w:vAlign w:val="bottom"/>
          </w:tcPr>
          <w:p>
            <w:pPr>
              <w:spacing w:after="0"/>
              <w:rPr>
                <w:sz w:val="20"/>
                <w:szCs w:val="20"/>
                <w:color w:val="auto"/>
              </w:rPr>
            </w:pPr>
            <w:r>
              <w:rPr>
                <w:rFonts w:ascii="Arial" w:cs="Arial" w:eastAsia="Arial" w:hAnsi="Arial"/>
                <w:sz w:val="14"/>
                <w:szCs w:val="14"/>
                <w:color w:val="auto"/>
              </w:rPr>
              <w:t>Bluestem Brands, Inc.</w:t>
            </w:r>
          </w:p>
        </w:tc>
        <w:tc>
          <w:tcPr>
            <w:tcW w:w="2020" w:type="dxa"/>
            <w:vAlign w:val="bottom"/>
          </w:tcPr>
          <w:p>
            <w:pPr>
              <w:ind w:left="100"/>
              <w:spacing w:after="0"/>
              <w:rPr>
                <w:sz w:val="20"/>
                <w:szCs w:val="20"/>
                <w:color w:val="auto"/>
              </w:rPr>
            </w:pPr>
            <w:r>
              <w:rPr>
                <w:rFonts w:ascii="Arial" w:cs="Arial" w:eastAsia="Arial" w:hAnsi="Arial"/>
                <w:sz w:val="14"/>
                <w:szCs w:val="14"/>
                <w:color w:val="auto"/>
              </w:rPr>
              <w:t>Online Merchandise Retailer</w:t>
            </w:r>
          </w:p>
        </w:tc>
        <w:tc>
          <w:tcPr>
            <w:tcW w:w="2400" w:type="dxa"/>
            <w:vAlign w:val="bottom"/>
          </w:tcPr>
          <w:p>
            <w:pPr>
              <w:ind w:left="260"/>
              <w:spacing w:after="0"/>
              <w:rPr>
                <w:sz w:val="20"/>
                <w:szCs w:val="20"/>
                <w:color w:val="auto"/>
              </w:rPr>
            </w:pPr>
            <w:r>
              <w:rPr>
                <w:rFonts w:ascii="Arial" w:cs="Arial" w:eastAsia="Arial" w:hAnsi="Arial"/>
                <w:sz w:val="14"/>
                <w:szCs w:val="14"/>
                <w:color w:val="auto"/>
              </w:rPr>
              <w:t>First Lien Debt (8.5% Cash (1</w:t>
            </w:r>
          </w:p>
        </w:tc>
        <w:tc>
          <w:tcPr>
            <w:tcW w:w="120" w:type="dxa"/>
            <w:vAlign w:val="bottom"/>
          </w:tcPr>
          <w:p>
            <w:pPr>
              <w:spacing w:after="0"/>
              <w:rPr>
                <w:sz w:val="24"/>
                <w:szCs w:val="24"/>
                <w:color w:val="auto"/>
              </w:rPr>
            </w:pPr>
          </w:p>
        </w:tc>
      </w:tr>
      <w:tr>
        <w:trPr>
          <w:trHeight w:val="149"/>
        </w:trPr>
        <w:tc>
          <w:tcPr>
            <w:tcW w:w="2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0" w:type="dxa"/>
            <w:vAlign w:val="bottom"/>
          </w:tcPr>
          <w:p>
            <w:pPr>
              <w:ind w:left="260"/>
              <w:spacing w:after="0" w:line="149" w:lineRule="exact"/>
              <w:rPr>
                <w:sz w:val="20"/>
                <w:szCs w:val="20"/>
                <w:color w:val="auto"/>
              </w:rPr>
            </w:pPr>
            <w:r>
              <w:rPr>
                <w:rFonts w:ascii="Arial" w:cs="Arial" w:eastAsia="Arial" w:hAnsi="Arial"/>
                <w:sz w:val="14"/>
                <w:szCs w:val="14"/>
                <w:color w:val="auto"/>
              </w:rPr>
              <w:t>month LIBOR + 7.5%, 1% Floor),</w:t>
            </w:r>
          </w:p>
        </w:tc>
        <w:tc>
          <w:tcPr>
            <w:tcW w:w="120" w:type="dxa"/>
            <w:vAlign w:val="bottom"/>
          </w:tcPr>
          <w:p>
            <w:pPr>
              <w:spacing w:after="0"/>
              <w:rPr>
                <w:sz w:val="12"/>
                <w:szCs w:val="12"/>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Due 11/7/20)</w:t>
            </w:r>
          </w:p>
        </w:tc>
        <w:tc>
          <w:tcPr>
            <w:tcW w:w="120" w:type="dxa"/>
            <w:vAlign w:val="bottom"/>
          </w:tcPr>
          <w:p>
            <w:pPr>
              <w:spacing w:after="0"/>
              <w:rPr>
                <w:sz w:val="15"/>
                <w:szCs w:val="15"/>
                <w:color w:val="auto"/>
              </w:rPr>
            </w:pP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Brock Holdings III, Inc.</w:t>
            </w:r>
          </w:p>
        </w:tc>
        <w:tc>
          <w:tcPr>
            <w:tcW w:w="2020" w:type="dxa"/>
            <w:vAlign w:val="bottom"/>
          </w:tcPr>
          <w:p>
            <w:pPr>
              <w:ind w:left="100"/>
              <w:spacing w:after="0"/>
              <w:rPr>
                <w:sz w:val="20"/>
                <w:szCs w:val="20"/>
                <w:color w:val="auto"/>
              </w:rPr>
            </w:pPr>
            <w:r>
              <w:rPr>
                <w:rFonts w:ascii="Arial" w:cs="Arial" w:eastAsia="Arial" w:hAnsi="Arial"/>
                <w:sz w:val="14"/>
                <w:szCs w:val="14"/>
                <w:color w:val="auto"/>
              </w:rPr>
              <w:t>Industrial Specialty Services</w:t>
            </w:r>
          </w:p>
        </w:tc>
        <w:tc>
          <w:tcPr>
            <w:tcW w:w="2400" w:type="dxa"/>
            <w:vAlign w:val="bottom"/>
          </w:tcPr>
          <w:p>
            <w:pPr>
              <w:ind w:left="260"/>
              <w:spacing w:after="0"/>
              <w:rPr>
                <w:sz w:val="20"/>
                <w:szCs w:val="20"/>
                <w:color w:val="auto"/>
              </w:rPr>
            </w:pPr>
            <w:r>
              <w:rPr>
                <w:rFonts w:ascii="Arial" w:cs="Arial" w:eastAsia="Arial" w:hAnsi="Arial"/>
                <w:sz w:val="14"/>
                <w:szCs w:val="14"/>
                <w:color w:val="auto"/>
              </w:rPr>
              <w:t>Second Lien Debt (10% Cash (1</w:t>
            </w:r>
          </w:p>
        </w:tc>
        <w:tc>
          <w:tcPr>
            <w:tcW w:w="120" w:type="dxa"/>
            <w:vAlign w:val="bottom"/>
          </w:tcPr>
          <w:p>
            <w:pPr>
              <w:spacing w:after="0"/>
              <w:rPr>
                <w:sz w:val="24"/>
                <w:szCs w:val="24"/>
                <w:color w:val="auto"/>
              </w:rPr>
            </w:pPr>
          </w:p>
        </w:tc>
      </w:tr>
      <w:tr>
        <w:trPr>
          <w:trHeight w:val="149"/>
        </w:trPr>
        <w:tc>
          <w:tcPr>
            <w:tcW w:w="2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0" w:type="dxa"/>
            <w:vAlign w:val="bottom"/>
          </w:tcPr>
          <w:p>
            <w:pPr>
              <w:ind w:left="260"/>
              <w:spacing w:after="0" w:line="149" w:lineRule="exact"/>
              <w:rPr>
                <w:sz w:val="20"/>
                <w:szCs w:val="20"/>
                <w:color w:val="auto"/>
              </w:rPr>
            </w:pPr>
            <w:r>
              <w:rPr>
                <w:rFonts w:ascii="Arial" w:cs="Arial" w:eastAsia="Arial" w:hAnsi="Arial"/>
                <w:sz w:val="14"/>
                <w:szCs w:val="14"/>
                <w:color w:val="auto"/>
              </w:rPr>
              <w:t>month LIBOR + 8.25%, 1.75%</w:t>
            </w:r>
          </w:p>
        </w:tc>
        <w:tc>
          <w:tcPr>
            <w:tcW w:w="120" w:type="dxa"/>
            <w:vAlign w:val="bottom"/>
          </w:tcPr>
          <w:p>
            <w:pPr>
              <w:spacing w:after="0"/>
              <w:rPr>
                <w:sz w:val="12"/>
                <w:szCs w:val="12"/>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Floor), Due 3/16/18)</w:t>
            </w:r>
          </w:p>
        </w:tc>
        <w:tc>
          <w:tcPr>
            <w:tcW w:w="120" w:type="dxa"/>
            <w:vAlign w:val="bottom"/>
          </w:tcPr>
          <w:p>
            <w:pPr>
              <w:spacing w:after="0"/>
              <w:rPr>
                <w:sz w:val="15"/>
                <w:szCs w:val="15"/>
                <w:color w:val="auto"/>
              </w:rPr>
            </w:pP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Brunswick Bowling Products, Inc.</w:t>
            </w:r>
          </w:p>
        </w:tc>
        <w:tc>
          <w:tcPr>
            <w:tcW w:w="2020" w:type="dxa"/>
            <w:vAlign w:val="bottom"/>
          </w:tcPr>
          <w:p>
            <w:pPr>
              <w:ind w:left="100"/>
              <w:spacing w:after="0"/>
              <w:rPr>
                <w:sz w:val="20"/>
                <w:szCs w:val="20"/>
                <w:color w:val="auto"/>
              </w:rPr>
            </w:pPr>
            <w:r>
              <w:rPr>
                <w:rFonts w:ascii="Arial" w:cs="Arial" w:eastAsia="Arial" w:hAnsi="Arial"/>
                <w:sz w:val="14"/>
                <w:szCs w:val="14"/>
                <w:color w:val="auto"/>
              </w:rPr>
              <w:t>Bowling Products</w:t>
            </w:r>
          </w:p>
        </w:tc>
        <w:tc>
          <w:tcPr>
            <w:tcW w:w="2400" w:type="dxa"/>
            <w:vAlign w:val="bottom"/>
          </w:tcPr>
          <w:p>
            <w:pPr>
              <w:ind w:left="260"/>
              <w:spacing w:after="0"/>
              <w:rPr>
                <w:sz w:val="20"/>
                <w:szCs w:val="20"/>
                <w:color w:val="auto"/>
              </w:rPr>
            </w:pPr>
            <w:r>
              <w:rPr>
                <w:rFonts w:ascii="Arial" w:cs="Arial" w:eastAsia="Arial" w:hAnsi="Arial"/>
                <w:sz w:val="14"/>
                <w:szCs w:val="14"/>
                <w:color w:val="auto"/>
                <w:w w:val="98"/>
              </w:rPr>
              <w:t>First Lien Debt (8% Cash (1 month</w:t>
            </w:r>
          </w:p>
        </w:tc>
        <w:tc>
          <w:tcPr>
            <w:tcW w:w="120" w:type="dxa"/>
            <w:vAlign w:val="bottom"/>
          </w:tcPr>
          <w:p>
            <w:pPr>
              <w:spacing w:after="0"/>
              <w:rPr>
                <w:sz w:val="24"/>
                <w:szCs w:val="24"/>
                <w:color w:val="auto"/>
              </w:rPr>
            </w:pPr>
          </w:p>
        </w:tc>
      </w:tr>
      <w:tr>
        <w:trPr>
          <w:trHeight w:val="149"/>
        </w:trPr>
        <w:tc>
          <w:tcPr>
            <w:tcW w:w="2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0" w:type="dxa"/>
            <w:vAlign w:val="bottom"/>
          </w:tcPr>
          <w:p>
            <w:pPr>
              <w:ind w:left="260"/>
              <w:spacing w:after="0" w:line="149" w:lineRule="exact"/>
              <w:rPr>
                <w:sz w:val="20"/>
                <w:szCs w:val="20"/>
                <w:color w:val="auto"/>
              </w:rPr>
            </w:pPr>
            <w:r>
              <w:rPr>
                <w:rFonts w:ascii="Arial" w:cs="Arial" w:eastAsia="Arial" w:hAnsi="Arial"/>
                <w:sz w:val="14"/>
                <w:szCs w:val="14"/>
                <w:color w:val="auto"/>
              </w:rPr>
              <w:t>LIBOR + 6.0%, 2% Floor), Due</w:t>
            </w:r>
          </w:p>
        </w:tc>
        <w:tc>
          <w:tcPr>
            <w:tcW w:w="120" w:type="dxa"/>
            <w:vAlign w:val="bottom"/>
          </w:tcPr>
          <w:p>
            <w:pPr>
              <w:spacing w:after="0"/>
              <w:rPr>
                <w:sz w:val="12"/>
                <w:szCs w:val="12"/>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5/22/20)</w:t>
            </w:r>
          </w:p>
        </w:tc>
        <w:tc>
          <w:tcPr>
            <w:tcW w:w="120" w:type="dxa"/>
            <w:vAlign w:val="bottom"/>
          </w:tcPr>
          <w:p>
            <w:pPr>
              <w:spacing w:after="0"/>
              <w:rPr>
                <w:sz w:val="15"/>
                <w:szCs w:val="15"/>
                <w:color w:val="auto"/>
              </w:rPr>
            </w:pPr>
          </w:p>
        </w:tc>
      </w:tr>
      <w:tr>
        <w:trPr>
          <w:trHeight w:val="263"/>
        </w:trPr>
        <w:tc>
          <w:tcPr>
            <w:tcW w:w="2100" w:type="dxa"/>
            <w:vAlign w:val="bottom"/>
          </w:tcPr>
          <w:p>
            <w:pPr>
              <w:spacing w:after="0"/>
              <w:rPr>
                <w:sz w:val="20"/>
                <w:szCs w:val="20"/>
                <w:color w:val="auto"/>
              </w:rPr>
            </w:pPr>
            <w:r>
              <w:rPr>
                <w:rFonts w:ascii="Arial" w:cs="Arial" w:eastAsia="Arial" w:hAnsi="Arial"/>
                <w:sz w:val="14"/>
                <w:szCs w:val="14"/>
                <w:color w:val="auto"/>
              </w:rPr>
              <w:t>Brunswick Bowling Products, Inc.</w:t>
            </w:r>
          </w:p>
        </w:tc>
        <w:tc>
          <w:tcPr>
            <w:tcW w:w="2020" w:type="dxa"/>
            <w:vAlign w:val="bottom"/>
          </w:tcPr>
          <w:p>
            <w:pPr>
              <w:ind w:left="100"/>
              <w:spacing w:after="0"/>
              <w:rPr>
                <w:sz w:val="20"/>
                <w:szCs w:val="20"/>
                <w:color w:val="auto"/>
              </w:rPr>
            </w:pPr>
            <w:r>
              <w:rPr>
                <w:rFonts w:ascii="Arial" w:cs="Arial" w:eastAsia="Arial" w:hAnsi="Arial"/>
                <w:sz w:val="14"/>
                <w:szCs w:val="14"/>
                <w:color w:val="auto"/>
              </w:rPr>
              <w:t>Bowling Products</w:t>
            </w:r>
          </w:p>
        </w:tc>
        <w:tc>
          <w:tcPr>
            <w:tcW w:w="2400" w:type="dxa"/>
            <w:vAlign w:val="bottom"/>
          </w:tcPr>
          <w:p>
            <w:pPr>
              <w:ind w:left="260"/>
              <w:spacing w:after="0"/>
              <w:rPr>
                <w:sz w:val="20"/>
                <w:szCs w:val="20"/>
                <w:color w:val="auto"/>
              </w:rPr>
            </w:pPr>
            <w:r>
              <w:rPr>
                <w:rFonts w:ascii="Arial" w:cs="Arial" w:eastAsia="Arial" w:hAnsi="Arial"/>
                <w:sz w:val="14"/>
                <w:szCs w:val="14"/>
                <w:color w:val="auto"/>
              </w:rPr>
              <w:t>First Lien Debt (16.25% Cash (1</w:t>
            </w:r>
          </w:p>
        </w:tc>
        <w:tc>
          <w:tcPr>
            <w:tcW w:w="120" w:type="dxa"/>
            <w:vAlign w:val="bottom"/>
          </w:tcPr>
          <w:p>
            <w:pPr>
              <w:spacing w:after="0"/>
              <w:rPr>
                <w:sz w:val="22"/>
                <w:szCs w:val="22"/>
                <w:color w:val="auto"/>
              </w:rPr>
            </w:pPr>
          </w:p>
        </w:tc>
      </w:tr>
      <w:tr>
        <w:trPr>
          <w:trHeight w:val="149"/>
        </w:trPr>
        <w:tc>
          <w:tcPr>
            <w:tcW w:w="2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0" w:type="dxa"/>
            <w:vAlign w:val="bottom"/>
          </w:tcPr>
          <w:p>
            <w:pPr>
              <w:ind w:left="260"/>
              <w:spacing w:after="0" w:line="149" w:lineRule="exact"/>
              <w:rPr>
                <w:sz w:val="20"/>
                <w:szCs w:val="20"/>
                <w:color w:val="auto"/>
              </w:rPr>
            </w:pPr>
            <w:r>
              <w:rPr>
                <w:rFonts w:ascii="Arial" w:cs="Arial" w:eastAsia="Arial" w:hAnsi="Arial"/>
                <w:sz w:val="14"/>
                <w:szCs w:val="14"/>
                <w:color w:val="auto"/>
              </w:rPr>
              <w:t>month LIBOR + 14.25%, 2%</w:t>
            </w:r>
          </w:p>
        </w:tc>
        <w:tc>
          <w:tcPr>
            <w:tcW w:w="120" w:type="dxa"/>
            <w:vAlign w:val="bottom"/>
          </w:tcPr>
          <w:p>
            <w:pPr>
              <w:spacing w:after="0"/>
              <w:rPr>
                <w:sz w:val="12"/>
                <w:szCs w:val="12"/>
                <w:color w:val="auto"/>
              </w:rPr>
            </w:pPr>
          </w:p>
        </w:tc>
      </w:tr>
      <w:tr>
        <w:trPr>
          <w:trHeight w:val="182"/>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tcPr>
          <w:p>
            <w:pPr>
              <w:ind w:left="260"/>
              <w:spacing w:after="0"/>
              <w:rPr>
                <w:sz w:val="20"/>
                <w:szCs w:val="20"/>
                <w:color w:val="auto"/>
              </w:rPr>
            </w:pPr>
            <w:r>
              <w:rPr>
                <w:rFonts w:ascii="Arial" w:cs="Arial" w:eastAsia="Arial" w:hAnsi="Arial"/>
                <w:sz w:val="14"/>
                <w:szCs w:val="14"/>
                <w:color w:val="auto"/>
              </w:rPr>
              <w:t>Floor), Due 5/22/20)</w:t>
            </w:r>
          </w:p>
        </w:tc>
        <w:tc>
          <w:tcPr>
            <w:tcW w:w="120" w:type="dxa"/>
            <w:vAlign w:val="bottom"/>
          </w:tcPr>
          <w:p>
            <w:pPr>
              <w:spacing w:after="0"/>
              <w:rPr>
                <w:sz w:val="15"/>
                <w:szCs w:val="15"/>
                <w:color w:val="auto"/>
              </w:rPr>
            </w:pPr>
          </w:p>
        </w:tc>
      </w:tr>
      <w:tr>
        <w:trPr>
          <w:trHeight w:val="273"/>
        </w:trPr>
        <w:tc>
          <w:tcPr>
            <w:tcW w:w="2100" w:type="dxa"/>
            <w:vAlign w:val="bottom"/>
          </w:tcPr>
          <w:p>
            <w:pPr>
              <w:spacing w:after="0"/>
              <w:rPr>
                <w:sz w:val="20"/>
                <w:szCs w:val="20"/>
                <w:color w:val="auto"/>
              </w:rPr>
            </w:pPr>
            <w:r>
              <w:rPr>
                <w:rFonts w:ascii="Arial" w:cs="Arial" w:eastAsia="Arial" w:hAnsi="Arial"/>
                <w:sz w:val="14"/>
                <w:szCs w:val="14"/>
                <w:color w:val="auto"/>
              </w:rPr>
              <w:t>Brunswick Bowling Products, Inc.</w:t>
            </w:r>
          </w:p>
        </w:tc>
        <w:tc>
          <w:tcPr>
            <w:tcW w:w="2020" w:type="dxa"/>
            <w:vAlign w:val="bottom"/>
          </w:tcPr>
          <w:p>
            <w:pPr>
              <w:ind w:left="100"/>
              <w:spacing w:after="0"/>
              <w:rPr>
                <w:sz w:val="20"/>
                <w:szCs w:val="20"/>
                <w:color w:val="auto"/>
              </w:rPr>
            </w:pPr>
            <w:r>
              <w:rPr>
                <w:rFonts w:ascii="Arial" w:cs="Arial" w:eastAsia="Arial" w:hAnsi="Arial"/>
                <w:sz w:val="14"/>
                <w:szCs w:val="14"/>
                <w:color w:val="auto"/>
              </w:rPr>
              <w:t>Bowling Products</w:t>
            </w:r>
          </w:p>
        </w:tc>
        <w:tc>
          <w:tcPr>
            <w:tcW w:w="2400" w:type="dxa"/>
            <w:vAlign w:val="bottom"/>
          </w:tcPr>
          <w:p>
            <w:pPr>
              <w:ind w:left="260"/>
              <w:spacing w:after="0"/>
              <w:rPr>
                <w:sz w:val="20"/>
                <w:szCs w:val="20"/>
                <w:color w:val="auto"/>
              </w:rPr>
            </w:pPr>
            <w:r>
              <w:rPr>
                <w:rFonts w:ascii="Arial" w:cs="Arial" w:eastAsia="Arial" w:hAnsi="Arial"/>
                <w:sz w:val="14"/>
                <w:szCs w:val="14"/>
                <w:color w:val="auto"/>
                <w:w w:val="94"/>
              </w:rPr>
              <w:t>Preferred Shares (2,966 shares, 8%</w:t>
            </w:r>
          </w:p>
        </w:tc>
        <w:tc>
          <w:tcPr>
            <w:tcW w:w="120" w:type="dxa"/>
            <w:vAlign w:val="bottom"/>
          </w:tcPr>
          <w:p>
            <w:pPr>
              <w:spacing w:after="0"/>
              <w:rPr>
                <w:sz w:val="23"/>
                <w:szCs w:val="23"/>
                <w:color w:val="auto"/>
              </w:rPr>
            </w:pPr>
          </w:p>
        </w:tc>
      </w:tr>
      <w:tr>
        <w:trPr>
          <w:trHeight w:val="216"/>
        </w:trPr>
        <w:tc>
          <w:tcPr>
            <w:tcW w:w="2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0" w:type="dxa"/>
            <w:vAlign w:val="bottom"/>
          </w:tcPr>
          <w:p>
            <w:pPr>
              <w:ind w:left="260"/>
              <w:spacing w:after="0" w:line="216"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(6)</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-6545580</wp:posOffset>
            </wp:positionV>
            <wp:extent cx="72466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-6263005</wp:posOffset>
            </wp:positionV>
            <wp:extent cx="72466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-5962650</wp:posOffset>
            </wp:positionV>
            <wp:extent cx="724662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-5756910</wp:posOffset>
            </wp:positionV>
            <wp:extent cx="7246620"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-5336540</wp:posOffset>
            </wp:positionV>
            <wp:extent cx="72466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-5130800</wp:posOffset>
            </wp:positionV>
            <wp:extent cx="724662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-4822190</wp:posOffset>
            </wp:positionV>
            <wp:extent cx="724662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-4521835</wp:posOffset>
            </wp:positionV>
            <wp:extent cx="72466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-4316095</wp:posOffset>
            </wp:positionV>
            <wp:extent cx="724662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-4015740</wp:posOffset>
            </wp:positionV>
            <wp:extent cx="724662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-3810000</wp:posOffset>
            </wp:positionV>
            <wp:extent cx="724662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-3526790</wp:posOffset>
            </wp:positionV>
            <wp:extent cx="724662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-3227070</wp:posOffset>
            </wp:positionV>
            <wp:extent cx="724662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-3021330</wp:posOffset>
            </wp:positionV>
            <wp:extent cx="724662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-2712085</wp:posOffset>
            </wp:positionV>
            <wp:extent cx="724662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-2386330</wp:posOffset>
            </wp:positionV>
            <wp:extent cx="724662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-2180590</wp:posOffset>
            </wp:positionV>
            <wp:extent cx="724662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-1580515</wp:posOffset>
            </wp:positionV>
            <wp:extent cx="72466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-1185545</wp:posOffset>
            </wp:positionV>
            <wp:extent cx="72466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246620"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246620"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11,000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11,000</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10,755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44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11,017</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10,755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9,034</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9,034</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8,582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9,034</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8,582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6,456</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4,679</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2,571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44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4,679</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2,571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19,700</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19,192</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19,542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19,192</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19,542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6,000</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5,996</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2.4%</w:t>
            </w:r>
          </w:p>
        </w:tc>
      </w:tr>
      <w:tr>
        <w:trPr>
          <w:trHeight w:val="44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5,779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6,016</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11,779</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10,313</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10,313</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10,313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485"/>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354</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10,667</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10,667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4,279</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4,169</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4,169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4,169</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4,169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4,935</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4,750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4,935</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4,750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1,600</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1,600</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1,600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594"/>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5,586</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5,586</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5,586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489"/>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3,384</w:t>
            </w: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5,317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-2540</wp:posOffset>
            </wp:positionV>
            <wp:extent cx="22040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1" w:lineRule="exact"/>
        <w:rPr>
          <w:sz w:val="20"/>
          <w:szCs w:val="20"/>
          <w:color w:val="auto"/>
        </w:rPr>
      </w:pPr>
    </w:p>
    <w:p>
      <w:pPr>
        <w:sectPr>
          <w:pgSz w:w="11900" w:h="16858" w:orient="portrait"/>
          <w:cols w:equalWidth="0" w:num="2">
            <w:col w:w="6640" w:space="580"/>
            <w:col w:w="420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9"/>
              </w:rPr>
              <w:t>Burke America Parts Group, LLC</w:t>
            </w:r>
          </w:p>
        </w:tc>
        <w:tc>
          <w:tcPr>
            <w:tcW w:w="21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Home Repair Parts Manufacturer</w:t>
            </w:r>
          </w:p>
        </w:tc>
        <w:tc>
          <w:tcPr>
            <w:tcW w:w="3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Membership Units (14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58" w:orient="portrait"/>
          <w:cols w:equalWidth="0" w:num="1">
            <w:col w:w="1142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color w:val="auto"/>
              </w:rPr>
              <w:t>California Pizza Kitchen, Inc.</w:t>
            </w:r>
          </w:p>
        </w:tc>
        <w:tc>
          <w:tcPr>
            <w:tcW w:w="2100" w:type="dxa"/>
            <w:vAlign w:val="bottom"/>
          </w:tcPr>
          <w:p>
            <w:pPr>
              <w:ind w:left="160"/>
              <w:spacing w:after="0"/>
              <w:rPr>
                <w:sz w:val="20"/>
                <w:szCs w:val="20"/>
                <w:color w:val="auto"/>
              </w:rPr>
            </w:pPr>
            <w:r>
              <w:rPr>
                <w:rFonts w:ascii="Arial" w:cs="Arial" w:eastAsia="Arial" w:hAnsi="Arial"/>
                <w:sz w:val="14"/>
                <w:szCs w:val="14"/>
                <w:color w:val="auto"/>
              </w:rPr>
              <w:t>Restaurant</w:t>
            </w:r>
          </w:p>
        </w:tc>
        <w:tc>
          <w:tcPr>
            <w:tcW w:w="2320" w:type="dxa"/>
            <w:vAlign w:val="bottom"/>
          </w:tcPr>
          <w:p>
            <w:pPr>
              <w:ind w:left="240"/>
              <w:spacing w:after="0"/>
              <w:rPr>
                <w:sz w:val="20"/>
                <w:szCs w:val="20"/>
                <w:color w:val="auto"/>
              </w:rPr>
            </w:pPr>
            <w:r>
              <w:rPr>
                <w:rFonts w:ascii="Arial" w:cs="Arial" w:eastAsia="Arial" w:hAnsi="Arial"/>
                <w:sz w:val="14"/>
                <w:szCs w:val="14"/>
                <w:color w:val="auto"/>
              </w:rPr>
              <w:t>Second Lien Debt (11% Cash (1</w:t>
            </w:r>
          </w:p>
        </w:tc>
      </w:tr>
      <w:tr>
        <w:trPr>
          <w:trHeight w:val="149"/>
        </w:trPr>
        <w:tc>
          <w:tcPr>
            <w:tcW w:w="2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320" w:type="dxa"/>
            <w:vAlign w:val="bottom"/>
          </w:tcPr>
          <w:p>
            <w:pPr>
              <w:ind w:left="240"/>
              <w:spacing w:after="0" w:line="149" w:lineRule="exact"/>
              <w:rPr>
                <w:sz w:val="20"/>
                <w:szCs w:val="20"/>
                <w:color w:val="auto"/>
              </w:rPr>
            </w:pPr>
            <w:r>
              <w:rPr>
                <w:rFonts w:ascii="Arial" w:cs="Arial" w:eastAsia="Arial" w:hAnsi="Arial"/>
                <w:sz w:val="14"/>
                <w:szCs w:val="14"/>
                <w:color w:val="auto"/>
              </w:rPr>
              <w:t>month LIBOR + 10%, 1% Floor),</w:t>
            </w:r>
          </w:p>
        </w:tc>
      </w:tr>
      <w:tr>
        <w:trPr>
          <w:trHeight w:val="182"/>
        </w:trPr>
        <w:tc>
          <w:tcPr>
            <w:tcW w:w="2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20" w:type="dxa"/>
            <w:vAlign w:val="bottom"/>
          </w:tcPr>
          <w:p>
            <w:pPr>
              <w:ind w:left="240"/>
              <w:spacing w:after="0"/>
              <w:rPr>
                <w:sz w:val="20"/>
                <w:szCs w:val="20"/>
                <w:color w:val="auto"/>
              </w:rPr>
            </w:pPr>
            <w:r>
              <w:rPr>
                <w:rFonts w:ascii="Arial" w:cs="Arial" w:eastAsia="Arial" w:hAnsi="Arial"/>
                <w:sz w:val="14"/>
                <w:szCs w:val="14"/>
                <w:color w:val="auto"/>
              </w:rPr>
              <w:t>Due 8/23/23)</w:t>
            </w:r>
          </w:p>
        </w:tc>
      </w:tr>
      <w:tr>
        <w:trPr>
          <w:trHeight w:val="648"/>
        </w:trPr>
        <w:tc>
          <w:tcPr>
            <w:tcW w:w="204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100" w:type="dxa"/>
            <w:vAlign w:val="bottom"/>
          </w:tcPr>
          <w:p>
            <w:pPr>
              <w:ind w:left="160"/>
              <w:spacing w:after="0"/>
              <w:rPr>
                <w:sz w:val="20"/>
                <w:szCs w:val="20"/>
                <w:color w:val="auto"/>
              </w:rPr>
            </w:pPr>
            <w:r>
              <w:rPr>
                <w:rFonts w:ascii="Arial" w:cs="Arial" w:eastAsia="Arial" w:hAnsi="Arial"/>
                <w:sz w:val="14"/>
                <w:szCs w:val="14"/>
                <w:color w:val="auto"/>
              </w:rPr>
              <w:t>In-Home Healthcare Services</w:t>
            </w:r>
          </w:p>
        </w:tc>
        <w:tc>
          <w:tcPr>
            <w:tcW w:w="2320" w:type="dxa"/>
            <w:vAlign w:val="bottom"/>
          </w:tcPr>
          <w:p>
            <w:pPr>
              <w:ind w:left="240"/>
              <w:spacing w:after="0"/>
              <w:rPr>
                <w:sz w:val="20"/>
                <w:szCs w:val="20"/>
                <w:color w:val="auto"/>
              </w:rPr>
            </w:pPr>
            <w:r>
              <w:rPr>
                <w:rFonts w:ascii="Arial" w:cs="Arial" w:eastAsia="Arial" w:hAnsi="Arial"/>
                <w:sz w:val="14"/>
                <w:szCs w:val="14"/>
                <w:color w:val="auto"/>
              </w:rPr>
              <w:t>Common Stock (293,186 shares)</w:t>
            </w:r>
          </w:p>
        </w:tc>
      </w:tr>
      <w:tr>
        <w:trPr>
          <w:trHeight w:val="273"/>
        </w:trPr>
        <w:tc>
          <w:tcPr>
            <w:tcW w:w="204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100" w:type="dxa"/>
            <w:vAlign w:val="bottom"/>
          </w:tcPr>
          <w:p>
            <w:pPr>
              <w:ind w:left="160"/>
              <w:spacing w:after="0"/>
              <w:rPr>
                <w:sz w:val="20"/>
                <w:szCs w:val="20"/>
                <w:color w:val="auto"/>
              </w:rPr>
            </w:pPr>
            <w:r>
              <w:rPr>
                <w:rFonts w:ascii="Arial" w:cs="Arial" w:eastAsia="Arial" w:hAnsi="Arial"/>
                <w:sz w:val="14"/>
                <w:szCs w:val="14"/>
                <w:color w:val="auto"/>
              </w:rPr>
              <w:t>In-Home Healthcare Services</w:t>
            </w:r>
          </w:p>
        </w:tc>
        <w:tc>
          <w:tcPr>
            <w:tcW w:w="2320" w:type="dxa"/>
            <w:vAlign w:val="bottom"/>
          </w:tcPr>
          <w:p>
            <w:pPr>
              <w:ind w:left="240"/>
              <w:spacing w:after="0"/>
              <w:rPr>
                <w:sz w:val="20"/>
                <w:szCs w:val="20"/>
                <w:color w:val="auto"/>
              </w:rPr>
            </w:pPr>
            <w:r>
              <w:rPr>
                <w:rFonts w:ascii="Arial" w:cs="Arial" w:eastAsia="Arial" w:hAnsi="Arial"/>
                <w:sz w:val="14"/>
                <w:szCs w:val="14"/>
                <w:color w:val="auto"/>
                <w:w w:val="95"/>
              </w:rPr>
              <w:t>Common Stock Warrants (655,908</w:t>
            </w:r>
          </w:p>
        </w:tc>
      </w:tr>
      <w:tr>
        <w:trPr>
          <w:trHeight w:val="313"/>
        </w:trPr>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20" w:type="dxa"/>
            <w:vAlign w:val="bottom"/>
          </w:tcPr>
          <w:p>
            <w:pPr>
              <w:ind w:left="240"/>
              <w:spacing w:after="0"/>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r>
      <w:tr>
        <w:trPr>
          <w:trHeight w:val="548"/>
        </w:trPr>
        <w:tc>
          <w:tcPr>
            <w:tcW w:w="2040" w:type="dxa"/>
            <w:vAlign w:val="bottom"/>
          </w:tcPr>
          <w:p>
            <w:pPr>
              <w:spacing w:after="0"/>
              <w:rPr>
                <w:sz w:val="20"/>
                <w:szCs w:val="20"/>
                <w:color w:val="auto"/>
              </w:rPr>
            </w:pPr>
            <w:r>
              <w:rPr>
                <w:rFonts w:ascii="Arial" w:cs="Arial" w:eastAsia="Arial" w:hAnsi="Arial"/>
                <w:sz w:val="14"/>
                <w:szCs w:val="14"/>
                <w:color w:val="auto"/>
              </w:rPr>
              <w:t>Cedar Electronics Holding Corp.</w:t>
            </w:r>
          </w:p>
        </w:tc>
        <w:tc>
          <w:tcPr>
            <w:tcW w:w="2100" w:type="dxa"/>
            <w:vAlign w:val="bottom"/>
          </w:tcPr>
          <w:p>
            <w:pPr>
              <w:ind w:left="160"/>
              <w:spacing w:after="0"/>
              <w:rPr>
                <w:sz w:val="20"/>
                <w:szCs w:val="20"/>
                <w:color w:val="auto"/>
              </w:rPr>
            </w:pPr>
            <w:r>
              <w:rPr>
                <w:rFonts w:ascii="Arial" w:cs="Arial" w:eastAsia="Arial" w:hAnsi="Arial"/>
                <w:sz w:val="14"/>
                <w:szCs w:val="14"/>
                <w:color w:val="auto"/>
              </w:rPr>
              <w:t>Consumer Electronics</w:t>
            </w:r>
          </w:p>
        </w:tc>
        <w:tc>
          <w:tcPr>
            <w:tcW w:w="2320" w:type="dxa"/>
            <w:vAlign w:val="bottom"/>
          </w:tcPr>
          <w:p>
            <w:pPr>
              <w:ind w:left="240"/>
              <w:spacing w:after="0"/>
              <w:rPr>
                <w:sz w:val="20"/>
                <w:szCs w:val="20"/>
                <w:color w:val="auto"/>
              </w:rPr>
            </w:pPr>
            <w:r>
              <w:rPr>
                <w:rFonts w:ascii="Arial" w:cs="Arial" w:eastAsia="Arial" w:hAnsi="Arial"/>
                <w:sz w:val="14"/>
                <w:szCs w:val="14"/>
                <w:color w:val="auto"/>
                <w:w w:val="92"/>
              </w:rPr>
              <w:t>Subordinated Debt (12% Cash, Due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-1423670</wp:posOffset>
            </wp:positionV>
            <wp:extent cx="724662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724662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0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4,857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4,857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4,857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4,857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6"/>
        </w:trPr>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485"/>
        </w:trPr>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446</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6"/>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21,550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21,550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20,818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8.3%</w:t>
            </w:r>
          </w:p>
        </w:tc>
      </w:tr>
    </w:tbl>
    <w:p>
      <w:pPr>
        <w:sectPr>
          <w:pgSz w:w="11900" w:h="16858" w:orient="portrait"/>
          <w:cols w:equalWidth="0" w:num="2">
            <w:col w:w="6500" w:space="720"/>
            <w:col w:w="4200"/>
          </w:cols>
          <w:pgMar w:left="240" w:top="904" w:right="23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4"/>
                <w:szCs w:val="14"/>
                <w:color w:val="auto"/>
              </w:rPr>
              <w:t>12/26/20)</w:t>
            </w: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w w:val="99"/>
              </w:rPr>
              <w:t>Community Choice Financial, Inc.</w:t>
            </w:r>
          </w:p>
        </w:tc>
        <w:tc>
          <w:tcPr>
            <w:tcW w:w="2000" w:type="dxa"/>
            <w:vAlign w:val="bottom"/>
          </w:tcPr>
          <w:p>
            <w:pPr>
              <w:ind w:left="100"/>
              <w:spacing w:after="0"/>
              <w:rPr>
                <w:sz w:val="20"/>
                <w:szCs w:val="20"/>
                <w:color w:val="auto"/>
              </w:rPr>
            </w:pPr>
            <w:r>
              <w:rPr>
                <w:rFonts w:ascii="Arial" w:cs="Arial" w:eastAsia="Arial" w:hAnsi="Arial"/>
                <w:sz w:val="14"/>
                <w:szCs w:val="14"/>
                <w:color w:val="auto"/>
              </w:rPr>
              <w:t>Financial Services</w:t>
            </w:r>
          </w:p>
        </w:tc>
        <w:tc>
          <w:tcPr>
            <w:tcW w:w="2340" w:type="dxa"/>
            <w:vAlign w:val="bottom"/>
          </w:tcPr>
          <w:p>
            <w:pPr>
              <w:ind w:left="280"/>
              <w:spacing w:after="0"/>
              <w:rPr>
                <w:sz w:val="20"/>
                <w:szCs w:val="20"/>
                <w:color w:val="auto"/>
              </w:rPr>
            </w:pPr>
            <w:r>
              <w:rPr>
                <w:rFonts w:ascii="Arial" w:cs="Arial" w:eastAsia="Arial" w:hAnsi="Arial"/>
                <w:sz w:val="14"/>
                <w:szCs w:val="14"/>
                <w:color w:val="auto"/>
              </w:rPr>
              <w:t>First Lien Debt (18% Cash (1</w:t>
            </w:r>
          </w:p>
        </w:tc>
      </w:tr>
      <w:tr>
        <w:trPr>
          <w:trHeight w:val="158"/>
        </w:trPr>
        <w:tc>
          <w:tcPr>
            <w:tcW w:w="2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340" w:type="dxa"/>
            <w:vAlign w:val="bottom"/>
          </w:tcPr>
          <w:p>
            <w:pPr>
              <w:ind w:left="280"/>
              <w:spacing w:after="0" w:line="159" w:lineRule="exact"/>
              <w:rPr>
                <w:sz w:val="20"/>
                <w:szCs w:val="20"/>
                <w:color w:val="auto"/>
              </w:rPr>
            </w:pPr>
            <w:r>
              <w:rPr>
                <w:rFonts w:ascii="Arial" w:cs="Arial" w:eastAsia="Arial" w:hAnsi="Arial"/>
                <w:sz w:val="14"/>
                <w:szCs w:val="14"/>
                <w:color w:val="auto"/>
              </w:rPr>
              <w:t>month LIBOR + 17%, 1% Floor),</w:t>
            </w:r>
          </w:p>
        </w:tc>
      </w:tr>
      <w:tr>
        <w:trPr>
          <w:trHeight w:val="313"/>
        </w:trPr>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40" w:type="dxa"/>
            <w:vAlign w:val="bottom"/>
          </w:tcPr>
          <w:p>
            <w:pPr>
              <w:ind w:left="280"/>
              <w:spacing w:after="0"/>
              <w:rPr>
                <w:sz w:val="20"/>
                <w:szCs w:val="20"/>
                <w:color w:val="auto"/>
              </w:rPr>
            </w:pPr>
            <w:r>
              <w:rPr>
                <w:rFonts w:ascii="Arial" w:cs="Arial" w:eastAsia="Arial" w:hAnsi="Arial"/>
                <w:sz w:val="14"/>
                <w:szCs w:val="14"/>
                <w:color w:val="auto"/>
              </w:rPr>
              <w:t xml:space="preserve">Due 3/30/18) </w:t>
            </w:r>
            <w:r>
              <w:rPr>
                <w:rFonts w:ascii="Arial" w:cs="Arial" w:eastAsia="Arial" w:hAnsi="Arial"/>
                <w:sz w:val="23"/>
                <w:szCs w:val="23"/>
                <w:color w:val="auto"/>
                <w:vertAlign w:val="superscript"/>
              </w:rPr>
              <w:t>(1)(8)</w:t>
            </w:r>
          </w:p>
        </w:tc>
      </w:tr>
      <w:tr>
        <w:trPr>
          <w:trHeight w:val="514"/>
        </w:trPr>
        <w:tc>
          <w:tcPr>
            <w:tcW w:w="2100" w:type="dxa"/>
            <w:vAlign w:val="bottom"/>
          </w:tcPr>
          <w:p>
            <w:pPr>
              <w:spacing w:after="0"/>
              <w:rPr>
                <w:sz w:val="20"/>
                <w:szCs w:val="20"/>
                <w:color w:val="auto"/>
              </w:rPr>
            </w:pPr>
            <w:r>
              <w:rPr>
                <w:rFonts w:ascii="Arial" w:cs="Arial" w:eastAsia="Arial" w:hAnsi="Arial"/>
                <w:sz w:val="14"/>
                <w:szCs w:val="14"/>
                <w:color w:val="auto"/>
              </w:rPr>
              <w:t>Construction Partners, Inc.</w:t>
            </w:r>
          </w:p>
        </w:tc>
        <w:tc>
          <w:tcPr>
            <w:tcW w:w="2000" w:type="dxa"/>
            <w:vAlign w:val="bottom"/>
          </w:tcPr>
          <w:p>
            <w:pPr>
              <w:ind w:left="100"/>
              <w:spacing w:after="0"/>
              <w:rPr>
                <w:sz w:val="20"/>
                <w:szCs w:val="20"/>
                <w:color w:val="auto"/>
              </w:rPr>
            </w:pPr>
            <w:r>
              <w:rPr>
                <w:rFonts w:ascii="Arial" w:cs="Arial" w:eastAsia="Arial" w:hAnsi="Arial"/>
                <w:sz w:val="14"/>
                <w:szCs w:val="14"/>
                <w:color w:val="auto"/>
              </w:rPr>
              <w:t>Construction Services</w:t>
            </w:r>
          </w:p>
        </w:tc>
        <w:tc>
          <w:tcPr>
            <w:tcW w:w="2340" w:type="dxa"/>
            <w:vAlign w:val="bottom"/>
          </w:tcPr>
          <w:p>
            <w:pPr>
              <w:ind w:left="280"/>
              <w:spacing w:after="0"/>
              <w:rPr>
                <w:sz w:val="20"/>
                <w:szCs w:val="20"/>
                <w:color w:val="auto"/>
              </w:rPr>
            </w:pPr>
            <w:r>
              <w:rPr>
                <w:rFonts w:ascii="Arial" w:cs="Arial" w:eastAsia="Arial" w:hAnsi="Arial"/>
                <w:sz w:val="14"/>
                <w:szCs w:val="14"/>
                <w:color w:val="auto"/>
              </w:rPr>
              <w:t>Second Lien Debt (11.5% Cash,</w:t>
            </w:r>
          </w:p>
        </w:tc>
      </w:tr>
      <w:tr>
        <w:trPr>
          <w:trHeight w:val="182"/>
        </w:trPr>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4"/>
                <w:szCs w:val="14"/>
                <w:color w:val="auto"/>
              </w:rPr>
              <w:t>Due 6/12/20)</w:t>
            </w: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Corporate Visions, Inc.</w:t>
            </w:r>
          </w:p>
        </w:tc>
        <w:tc>
          <w:tcPr>
            <w:tcW w:w="200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340" w:type="dxa"/>
            <w:vAlign w:val="bottom"/>
          </w:tcPr>
          <w:p>
            <w:pPr>
              <w:ind w:left="280"/>
              <w:spacing w:after="0"/>
              <w:rPr>
                <w:sz w:val="20"/>
                <w:szCs w:val="20"/>
                <w:color w:val="auto"/>
              </w:rPr>
            </w:pPr>
            <w:r>
              <w:rPr>
                <w:rFonts w:ascii="Arial" w:cs="Arial" w:eastAsia="Arial" w:hAnsi="Arial"/>
                <w:sz w:val="14"/>
                <w:szCs w:val="14"/>
                <w:color w:val="auto"/>
                <w:w w:val="97"/>
              </w:rPr>
              <w:t>Subordinated Debt (9% Cash, 2%</w:t>
            </w:r>
          </w:p>
        </w:tc>
      </w:tr>
      <w:tr>
        <w:trPr>
          <w:trHeight w:val="182"/>
        </w:trPr>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4"/>
                <w:szCs w:val="14"/>
                <w:color w:val="auto"/>
              </w:rPr>
              <w:t>PIK, Due 11/29/21)</w:t>
            </w:r>
          </w:p>
        </w:tc>
      </w:tr>
      <w:tr>
        <w:trPr>
          <w:trHeight w:val="297"/>
        </w:trPr>
        <w:tc>
          <w:tcPr>
            <w:tcW w:w="2100" w:type="dxa"/>
            <w:vAlign w:val="bottom"/>
          </w:tcPr>
          <w:p>
            <w:pPr>
              <w:spacing w:after="0"/>
              <w:rPr>
                <w:sz w:val="20"/>
                <w:szCs w:val="20"/>
                <w:color w:val="auto"/>
              </w:rPr>
            </w:pPr>
            <w:r>
              <w:rPr>
                <w:rFonts w:ascii="Arial" w:cs="Arial" w:eastAsia="Arial" w:hAnsi="Arial"/>
                <w:sz w:val="14"/>
                <w:szCs w:val="14"/>
                <w:color w:val="auto"/>
              </w:rPr>
              <w:t>Corporate Visions, Inc.</w:t>
            </w:r>
          </w:p>
        </w:tc>
        <w:tc>
          <w:tcPr>
            <w:tcW w:w="200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340" w:type="dxa"/>
            <w:vAlign w:val="bottom"/>
          </w:tcPr>
          <w:p>
            <w:pPr>
              <w:ind w:left="280"/>
              <w:spacing w:after="0"/>
              <w:rPr>
                <w:sz w:val="20"/>
                <w:szCs w:val="20"/>
                <w:color w:val="auto"/>
              </w:rPr>
            </w:pPr>
            <w:r>
              <w:rPr>
                <w:rFonts w:ascii="Arial" w:cs="Arial" w:eastAsia="Arial" w:hAnsi="Arial"/>
                <w:sz w:val="14"/>
                <w:szCs w:val="14"/>
                <w:color w:val="auto"/>
              </w:rPr>
              <w:t>Common Stock (15,750 shares)</w:t>
            </w:r>
          </w:p>
        </w:tc>
      </w:tr>
      <w:tr>
        <w:trPr>
          <w:trHeight w:val="615"/>
        </w:trPr>
        <w:tc>
          <w:tcPr>
            <w:tcW w:w="210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00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340" w:type="dxa"/>
            <w:vAlign w:val="bottom"/>
          </w:tcPr>
          <w:p>
            <w:pPr>
              <w:ind w:left="280"/>
              <w:spacing w:after="0"/>
              <w:rPr>
                <w:sz w:val="20"/>
                <w:szCs w:val="20"/>
                <w:color w:val="auto"/>
              </w:rPr>
            </w:pPr>
            <w:r>
              <w:rPr>
                <w:rFonts w:ascii="Arial" w:cs="Arial" w:eastAsia="Arial" w:hAnsi="Arial"/>
                <w:sz w:val="14"/>
                <w:szCs w:val="14"/>
                <w:color w:val="auto"/>
                <w:w w:val="96"/>
              </w:rPr>
              <w:t>Second Lien Debt (8.75% Cash (1</w:t>
            </w:r>
          </w:p>
        </w:tc>
      </w:tr>
      <w:tr>
        <w:trPr>
          <w:trHeight w:val="149"/>
        </w:trPr>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Arial" w:cs="Arial" w:eastAsia="Arial" w:hAnsi="Arial"/>
                <w:sz w:val="14"/>
                <w:szCs w:val="14"/>
                <w:color w:val="auto"/>
                <w:w w:val="95"/>
              </w:rPr>
              <w:t>month LIBOR + 7.75%, 1% Floor),</w:t>
            </w:r>
          </w:p>
        </w:tc>
      </w:tr>
      <w:tr>
        <w:trPr>
          <w:trHeight w:val="182"/>
        </w:trPr>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4"/>
                <w:szCs w:val="14"/>
                <w:color w:val="auto"/>
              </w:rPr>
              <w:t>Due 8/7/22)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-2530475</wp:posOffset>
            </wp:positionV>
            <wp:extent cx="72466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-2324100</wp:posOffset>
            </wp:positionV>
            <wp:extent cx="724662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-2118360</wp:posOffset>
            </wp:positionV>
            <wp:extent cx="7246620"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-1698625</wp:posOffset>
            </wp:positionV>
            <wp:extent cx="724662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-1492250</wp:posOffset>
            </wp:positionV>
            <wp:extent cx="7246620"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-1192530</wp:posOffset>
            </wp:positionV>
            <wp:extent cx="72466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-986790</wp:posOffset>
            </wp:positionV>
            <wp:extent cx="72466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21,550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20,818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15,000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9,500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9,500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9,500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16,267</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16,267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15,648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296"/>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1,575</w:t>
            </w:r>
          </w:p>
        </w:tc>
        <w:tc>
          <w:tcPr>
            <w:tcW w:w="1000" w:type="dxa"/>
            <w:vAlign w:val="bottom"/>
          </w:tcPr>
          <w:p>
            <w:pPr>
              <w:jc w:val="right"/>
              <w:spacing w:after="0"/>
              <w:rPr>
                <w:sz w:val="20"/>
                <w:szCs w:val="20"/>
                <w:color w:val="auto"/>
              </w:rPr>
            </w:pPr>
            <w:r>
              <w:rPr>
                <w:rFonts w:ascii="Arial" w:cs="Arial" w:eastAsia="Arial" w:hAnsi="Arial"/>
                <w:sz w:val="14"/>
                <w:szCs w:val="14"/>
                <w:color w:val="auto"/>
              </w:rPr>
              <w:t>728</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17,842</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16,376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12,000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11,813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10,776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11,813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10,776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-2640965</wp:posOffset>
            </wp:positionV>
            <wp:extent cx="22040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6500" w:space="720"/>
            <w:col w:w="420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Emerging Markets</w:t>
            </w:r>
          </w:p>
        </w:tc>
        <w:tc>
          <w:tcPr>
            <w:tcW w:w="2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Satellite Communications</w:t>
            </w:r>
          </w:p>
        </w:tc>
        <w:tc>
          <w:tcPr>
            <w:tcW w:w="2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Second Lien Debt (10.625% Cash</w:t>
            </w: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 LLC</w:t>
            </w:r>
          </w:p>
        </w:tc>
        <w:tc>
          <w:tcPr>
            <w:tcW w:w="2280" w:type="dxa"/>
            <w:vAlign w:val="bottom"/>
            <w:shd w:val="clear" w:color="auto" w:fill="CCEEFF"/>
          </w:tcPr>
          <w:p>
            <w:pPr>
              <w:spacing w:after="0"/>
              <w:rPr>
                <w:sz w:val="12"/>
                <w:szCs w:val="12"/>
                <w:color w:val="auto"/>
              </w:rPr>
            </w:pPr>
          </w:p>
        </w:tc>
        <w:tc>
          <w:tcPr>
            <w:tcW w:w="2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(1 month LIBOR + 9.625%, 1%</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1"/>
        </w:trPr>
        <w:tc>
          <w:tcPr>
            <w:tcW w:w="1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Floor), Due 7/1/22)</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42"/>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ectPr>
          <w:pgSz w:w="11900" w:h="16838" w:orient="portrait"/>
          <w:cols w:equalWidth="0" w:num="1">
            <w:col w:w="11420"/>
          </w:cols>
          <w:pgMar w:left="240" w:top="904" w:right="239" w:bottom="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120" w:type="dxa"/>
            <w:vAlign w:val="bottom"/>
          </w:tcPr>
          <w:p>
            <w:pPr>
              <w:spacing w:after="0"/>
              <w:rPr>
                <w:sz w:val="22"/>
                <w:szCs w:val="22"/>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22"/>
                <w:szCs w:val="22"/>
                <w:color w:val="auto"/>
              </w:rPr>
            </w:pPr>
          </w:p>
        </w:tc>
        <w:tc>
          <w:tcPr>
            <w:tcW w:w="20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Type of Investment</w:t>
            </w:r>
          </w:p>
        </w:tc>
      </w:tr>
      <w:tr>
        <w:trPr>
          <w:trHeight w:val="272"/>
        </w:trPr>
        <w:tc>
          <w:tcPr>
            <w:tcW w:w="2080" w:type="dxa"/>
            <w:vAlign w:val="bottom"/>
          </w:tcPr>
          <w:p>
            <w:pPr>
              <w:spacing w:after="0"/>
              <w:rPr>
                <w:sz w:val="20"/>
                <w:szCs w:val="20"/>
                <w:color w:val="auto"/>
              </w:rPr>
            </w:pPr>
            <w:r>
              <w:rPr>
                <w:rFonts w:ascii="Arial" w:cs="Arial" w:eastAsia="Arial" w:hAnsi="Arial"/>
                <w:sz w:val="14"/>
                <w:szCs w:val="14"/>
                <w:color w:val="auto"/>
              </w:rPr>
              <w:t>Flavors Holdings,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Food Product Manufacturer</w:t>
            </w:r>
          </w:p>
        </w:tc>
        <w:tc>
          <w:tcPr>
            <w:tcW w:w="2080" w:type="dxa"/>
            <w:vAlign w:val="bottom"/>
          </w:tcPr>
          <w:p>
            <w:pPr>
              <w:spacing w:after="0"/>
              <w:rPr>
                <w:sz w:val="20"/>
                <w:szCs w:val="20"/>
                <w:color w:val="auto"/>
              </w:rPr>
            </w:pPr>
            <w:r>
              <w:rPr>
                <w:rFonts w:ascii="Arial" w:cs="Arial" w:eastAsia="Arial" w:hAnsi="Arial"/>
                <w:sz w:val="14"/>
                <w:szCs w:val="14"/>
                <w:color w:val="auto"/>
              </w:rPr>
              <w:t>First Lien Debt (6.75% Cash (1</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6"/>
              </w:rPr>
              <w:t>month LIBOR + 5.75%, 1% Floor),</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Due 4/3/20)</w:t>
            </w:r>
          </w:p>
        </w:tc>
      </w:tr>
      <w:tr>
        <w:trPr>
          <w:trHeight w:val="263"/>
        </w:trPr>
        <w:tc>
          <w:tcPr>
            <w:tcW w:w="2080" w:type="dxa"/>
            <w:vAlign w:val="bottom"/>
          </w:tcPr>
          <w:p>
            <w:pPr>
              <w:spacing w:after="0"/>
              <w:rPr>
                <w:sz w:val="20"/>
                <w:szCs w:val="20"/>
                <w:color w:val="auto"/>
              </w:rPr>
            </w:pPr>
            <w:r>
              <w:rPr>
                <w:rFonts w:ascii="Arial" w:cs="Arial" w:eastAsia="Arial" w:hAnsi="Arial"/>
                <w:sz w:val="14"/>
                <w:szCs w:val="14"/>
                <w:color w:val="auto"/>
              </w:rPr>
              <w:t>Flavors Holdings,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Food Product Manufacturer</w:t>
            </w:r>
          </w:p>
        </w:tc>
        <w:tc>
          <w:tcPr>
            <w:tcW w:w="2080" w:type="dxa"/>
            <w:vAlign w:val="bottom"/>
          </w:tcPr>
          <w:p>
            <w:pPr>
              <w:spacing w:after="0"/>
              <w:rPr>
                <w:sz w:val="20"/>
                <w:szCs w:val="20"/>
                <w:color w:val="auto"/>
              </w:rPr>
            </w:pPr>
            <w:r>
              <w:rPr>
                <w:rFonts w:ascii="Arial" w:cs="Arial" w:eastAsia="Arial" w:hAnsi="Arial"/>
                <w:sz w:val="14"/>
                <w:szCs w:val="14"/>
                <w:color w:val="auto"/>
              </w:rPr>
              <w:t>Second Lien Debt (11% Cash (1</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month LIBOR + 10%, 1% Floor),</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Due 10/3/21)</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Group Cirque du Soleil,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Entertainment</w:t>
            </w:r>
          </w:p>
        </w:tc>
        <w:tc>
          <w:tcPr>
            <w:tcW w:w="2080" w:type="dxa"/>
            <w:vAlign w:val="bottom"/>
          </w:tcPr>
          <w:p>
            <w:pPr>
              <w:spacing w:after="0"/>
              <w:rPr>
                <w:sz w:val="20"/>
                <w:szCs w:val="20"/>
                <w:color w:val="auto"/>
              </w:rPr>
            </w:pPr>
            <w:r>
              <w:rPr>
                <w:rFonts w:ascii="Arial" w:cs="Arial" w:eastAsia="Arial" w:hAnsi="Arial"/>
                <w:sz w:val="14"/>
                <w:szCs w:val="14"/>
                <w:color w:val="auto"/>
                <w:w w:val="96"/>
              </w:rPr>
              <w:t>Second Lien Debt (9.25% Cash (3</w:t>
            </w:r>
          </w:p>
        </w:tc>
      </w:tr>
      <w:tr>
        <w:trPr>
          <w:trHeight w:val="158"/>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line="159" w:lineRule="exact"/>
              <w:rPr>
                <w:sz w:val="20"/>
                <w:szCs w:val="20"/>
                <w:color w:val="auto"/>
              </w:rPr>
            </w:pPr>
            <w:r>
              <w:rPr>
                <w:rFonts w:ascii="Arial" w:cs="Arial" w:eastAsia="Arial" w:hAnsi="Arial"/>
                <w:sz w:val="14"/>
                <w:szCs w:val="14"/>
                <w:color w:val="auto"/>
                <w:w w:val="96"/>
              </w:rPr>
              <w:t>month LIBOR + 8.25%, 1% Floor),</w:t>
            </w:r>
          </w:p>
        </w:tc>
      </w:tr>
      <w:tr>
        <w:trPr>
          <w:trHeight w:val="313"/>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 xml:space="preserve">Due 7/8/23) </w:t>
            </w:r>
            <w:r>
              <w:rPr>
                <w:rFonts w:ascii="Arial" w:cs="Arial" w:eastAsia="Arial" w:hAnsi="Arial"/>
                <w:sz w:val="23"/>
                <w:szCs w:val="23"/>
                <w:color w:val="auto"/>
                <w:vertAlign w:val="superscript"/>
              </w:rPr>
              <w:t>(8)</w:t>
            </w:r>
          </w:p>
        </w:tc>
      </w:tr>
      <w:tr>
        <w:trPr>
          <w:trHeight w:val="514"/>
        </w:trPr>
        <w:tc>
          <w:tcPr>
            <w:tcW w:w="2080" w:type="dxa"/>
            <w:vAlign w:val="bottom"/>
          </w:tcPr>
          <w:p>
            <w:pPr>
              <w:spacing w:after="0"/>
              <w:rPr>
                <w:sz w:val="20"/>
                <w:szCs w:val="20"/>
                <w:color w:val="auto"/>
              </w:rPr>
            </w:pPr>
            <w:r>
              <w:rPr>
                <w:rFonts w:ascii="Arial" w:cs="Arial" w:eastAsia="Arial" w:hAnsi="Arial"/>
                <w:sz w:val="14"/>
                <w:szCs w:val="14"/>
                <w:color w:val="auto"/>
              </w:rPr>
              <w:t>Immersive Media Tactical</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Specialty Defense Contractor</w:t>
            </w:r>
          </w:p>
        </w:tc>
        <w:tc>
          <w:tcPr>
            <w:tcW w:w="2080" w:type="dxa"/>
            <w:vAlign w:val="bottom"/>
          </w:tcPr>
          <w:p>
            <w:pPr>
              <w:spacing w:after="0"/>
              <w:rPr>
                <w:sz w:val="20"/>
                <w:szCs w:val="20"/>
                <w:color w:val="auto"/>
              </w:rPr>
            </w:pPr>
            <w:r>
              <w:rPr>
                <w:rFonts w:ascii="Arial" w:cs="Arial" w:eastAsia="Arial" w:hAnsi="Arial"/>
                <w:sz w:val="14"/>
                <w:szCs w:val="14"/>
                <w:color w:val="auto"/>
                <w:w w:val="99"/>
              </w:rPr>
              <w:t>Subordinated Debt (Due 12/9/19)</w:t>
            </w:r>
          </w:p>
        </w:tc>
      </w:t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Solutions, LLC</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2"/>
                <w:szCs w:val="12"/>
                <w:color w:val="auto"/>
              </w:rPr>
              <w:t>(9)</w:t>
            </w:r>
          </w:p>
        </w:tc>
      </w:tr>
      <w:tr>
        <w:trPr>
          <w:trHeight w:val="628"/>
        </w:trPr>
        <w:tc>
          <w:tcPr>
            <w:tcW w:w="208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Transportation</w:t>
            </w:r>
          </w:p>
        </w:tc>
        <w:tc>
          <w:tcPr>
            <w:tcW w:w="2080" w:type="dxa"/>
            <w:vAlign w:val="bottom"/>
          </w:tcPr>
          <w:p>
            <w:pPr>
              <w:spacing w:after="0"/>
              <w:rPr>
                <w:sz w:val="20"/>
                <w:szCs w:val="20"/>
                <w:color w:val="auto"/>
              </w:rPr>
            </w:pPr>
            <w:r>
              <w:rPr>
                <w:rFonts w:ascii="Arial" w:cs="Arial" w:eastAsia="Arial" w:hAnsi="Arial"/>
                <w:sz w:val="14"/>
                <w:szCs w:val="14"/>
                <w:color w:val="auto"/>
              </w:rPr>
              <w:t>First Lien Debt (14% Cash, Due</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3/31/19)</w:t>
            </w: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Transportation</w:t>
            </w:r>
          </w:p>
        </w:tc>
        <w:tc>
          <w:tcPr>
            <w:tcW w:w="2080" w:type="dxa"/>
            <w:vAlign w:val="bottom"/>
          </w:tcPr>
          <w:p>
            <w:pPr>
              <w:spacing w:after="0"/>
              <w:rPr>
                <w:sz w:val="20"/>
                <w:szCs w:val="20"/>
                <w:color w:val="auto"/>
              </w:rPr>
            </w:pPr>
            <w:r>
              <w:rPr>
                <w:rFonts w:ascii="Arial" w:cs="Arial" w:eastAsia="Arial" w:hAnsi="Arial"/>
                <w:sz w:val="14"/>
                <w:szCs w:val="14"/>
                <w:color w:val="auto"/>
                <w:w w:val="99"/>
              </w:rPr>
              <w:t>Preferred Units (1,000 units, 10%</w:t>
            </w:r>
          </w:p>
        </w:tc>
      </w:tr>
      <w:tr>
        <w:trPr>
          <w:trHeight w:val="313"/>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(6)</w:t>
            </w:r>
          </w:p>
        </w:tc>
      </w:tr>
      <w:tr>
        <w:trPr>
          <w:trHeight w:val="163"/>
        </w:trPr>
        <w:tc>
          <w:tcPr>
            <w:tcW w:w="208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Transportation</w:t>
            </w:r>
          </w:p>
        </w:tc>
        <w:tc>
          <w:tcPr>
            <w:tcW w:w="2080" w:type="dxa"/>
            <w:vAlign w:val="bottom"/>
          </w:tcPr>
          <w:p>
            <w:pPr>
              <w:spacing w:after="0"/>
              <w:rPr>
                <w:sz w:val="20"/>
                <w:szCs w:val="20"/>
                <w:color w:val="auto"/>
              </w:rPr>
            </w:pPr>
            <w:r>
              <w:rPr>
                <w:rFonts w:ascii="Arial" w:cs="Arial" w:eastAsia="Arial" w:hAnsi="Arial"/>
                <w:sz w:val="14"/>
                <w:szCs w:val="14"/>
                <w:color w:val="auto"/>
              </w:rPr>
              <w:t>Common Stock Warrants (15%</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fully diluted)</w:t>
            </w:r>
          </w:p>
        </w:tc>
      </w:tr>
      <w:tr>
        <w:trPr>
          <w:trHeight w:val="624"/>
        </w:trPr>
        <w:tc>
          <w:tcPr>
            <w:tcW w:w="2080" w:type="dxa"/>
            <w:vAlign w:val="bottom"/>
          </w:tcPr>
          <w:p>
            <w:pPr>
              <w:spacing w:after="0"/>
              <w:rPr>
                <w:sz w:val="20"/>
                <w:szCs w:val="20"/>
                <w:color w:val="auto"/>
              </w:rPr>
            </w:pPr>
            <w:r>
              <w:rPr>
                <w:rFonts w:ascii="Arial" w:cs="Arial" w:eastAsia="Arial" w:hAnsi="Arial"/>
                <w:sz w:val="14"/>
                <w:szCs w:val="14"/>
                <w:color w:val="auto"/>
              </w:rPr>
              <w:t>Medical Depot,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Medical Device Distributor</w:t>
            </w:r>
          </w:p>
        </w:tc>
        <w:tc>
          <w:tcPr>
            <w:tcW w:w="2080" w:type="dxa"/>
            <w:vAlign w:val="bottom"/>
          </w:tcPr>
          <w:p>
            <w:pPr>
              <w:spacing w:after="0"/>
              <w:rPr>
                <w:sz w:val="20"/>
                <w:szCs w:val="20"/>
                <w:color w:val="auto"/>
              </w:rPr>
            </w:pPr>
            <w:r>
              <w:rPr>
                <w:rFonts w:ascii="Arial" w:cs="Arial" w:eastAsia="Arial" w:hAnsi="Arial"/>
                <w:sz w:val="14"/>
                <w:szCs w:val="14"/>
                <w:color w:val="auto"/>
                <w:w w:val="92"/>
              </w:rPr>
              <w:t>Subordinated Debt (14% Cash, Due</w:t>
            </w:r>
          </w:p>
        </w:tc>
      </w:tr>
      <w:tr>
        <w:trPr>
          <w:trHeight w:val="313"/>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 xml:space="preserve">9/27/20) </w:t>
            </w:r>
            <w:r>
              <w:rPr>
                <w:rFonts w:ascii="Arial" w:cs="Arial" w:eastAsia="Arial" w:hAnsi="Arial"/>
                <w:sz w:val="23"/>
                <w:szCs w:val="23"/>
                <w:color w:val="auto"/>
                <w:vertAlign w:val="superscript"/>
              </w:rPr>
              <w:t>(1)</w:t>
            </w:r>
          </w:p>
        </w:tc>
      </w:tr>
      <w:tr>
        <w:trPr>
          <w:trHeight w:val="163"/>
        </w:trPr>
        <w:tc>
          <w:tcPr>
            <w:tcW w:w="2080" w:type="dxa"/>
            <w:vAlign w:val="bottom"/>
          </w:tcPr>
          <w:p>
            <w:pPr>
              <w:spacing w:after="0"/>
              <w:rPr>
                <w:sz w:val="20"/>
                <w:szCs w:val="20"/>
                <w:color w:val="auto"/>
              </w:rPr>
            </w:pPr>
            <w:r>
              <w:rPr>
                <w:rFonts w:ascii="Arial" w:cs="Arial" w:eastAsia="Arial" w:hAnsi="Arial"/>
                <w:sz w:val="14"/>
                <w:szCs w:val="14"/>
                <w:color w:val="auto"/>
              </w:rPr>
              <w:t>Medical Depot,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Medical Device Distributor</w:t>
            </w:r>
          </w:p>
        </w:tc>
        <w:tc>
          <w:tcPr>
            <w:tcW w:w="2080" w:type="dxa"/>
            <w:vAlign w:val="bottom"/>
          </w:tcPr>
          <w:p>
            <w:pPr>
              <w:spacing w:after="0"/>
              <w:rPr>
                <w:sz w:val="20"/>
                <w:szCs w:val="20"/>
                <w:color w:val="auto"/>
              </w:rPr>
            </w:pPr>
            <w:r>
              <w:rPr>
                <w:rFonts w:ascii="Arial" w:cs="Arial" w:eastAsia="Arial" w:hAnsi="Arial"/>
                <w:sz w:val="14"/>
                <w:szCs w:val="14"/>
                <w:color w:val="auto"/>
              </w:rPr>
              <w:t>Series C Convertible Preferred</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Stock (740 shares)</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Nielsen &amp; Bainbridge, LLC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Home Décor Manufacturer</w:t>
            </w:r>
          </w:p>
        </w:tc>
        <w:tc>
          <w:tcPr>
            <w:tcW w:w="2080" w:type="dxa"/>
            <w:vAlign w:val="bottom"/>
          </w:tcPr>
          <w:p>
            <w:pPr>
              <w:spacing w:after="0"/>
              <w:rPr>
                <w:sz w:val="20"/>
                <w:szCs w:val="20"/>
                <w:color w:val="auto"/>
              </w:rPr>
            </w:pPr>
            <w:r>
              <w:rPr>
                <w:rFonts w:ascii="Arial" w:cs="Arial" w:eastAsia="Arial" w:hAnsi="Arial"/>
                <w:sz w:val="14"/>
                <w:szCs w:val="14"/>
                <w:color w:val="auto"/>
                <w:w w:val="96"/>
              </w:rPr>
              <w:t>Second Lien Debt (10.5% Cash (6</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6"/>
              </w:rPr>
              <w:t>month LIBOR + 9.25%, 1% Floor),</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Due 8/15/21)</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Nth Degree,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Business Services</w:t>
            </w:r>
          </w:p>
        </w:tc>
        <w:tc>
          <w:tcPr>
            <w:tcW w:w="2080" w:type="dxa"/>
            <w:vAlign w:val="bottom"/>
          </w:tcPr>
          <w:p>
            <w:pPr>
              <w:spacing w:after="0"/>
              <w:rPr>
                <w:sz w:val="20"/>
                <w:szCs w:val="20"/>
                <w:color w:val="auto"/>
              </w:rPr>
            </w:pPr>
            <w:r>
              <w:rPr>
                <w:rFonts w:ascii="Arial" w:cs="Arial" w:eastAsia="Arial" w:hAnsi="Arial"/>
                <w:sz w:val="14"/>
                <w:szCs w:val="14"/>
                <w:color w:val="auto"/>
              </w:rPr>
              <w:t>First Lien Debt (8.0% Cash (1</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month LIBOR + 7%, 1% Floor),</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1% PIK, Due 12/14/20)</w:t>
            </w:r>
          </w:p>
        </w:tc>
      </w:tr>
      <w:tr>
        <w:trPr>
          <w:trHeight w:val="263"/>
        </w:trPr>
        <w:tc>
          <w:tcPr>
            <w:tcW w:w="2080" w:type="dxa"/>
            <w:vAlign w:val="bottom"/>
          </w:tcPr>
          <w:p>
            <w:pPr>
              <w:spacing w:after="0"/>
              <w:rPr>
                <w:sz w:val="20"/>
                <w:szCs w:val="20"/>
                <w:color w:val="auto"/>
              </w:rPr>
            </w:pPr>
            <w:r>
              <w:rPr>
                <w:rFonts w:ascii="Arial" w:cs="Arial" w:eastAsia="Arial" w:hAnsi="Arial"/>
                <w:sz w:val="14"/>
                <w:szCs w:val="14"/>
                <w:color w:val="auto"/>
              </w:rPr>
              <w:t>Nth Degree,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Business Services</w:t>
            </w:r>
          </w:p>
        </w:tc>
        <w:tc>
          <w:tcPr>
            <w:tcW w:w="2080" w:type="dxa"/>
            <w:vAlign w:val="bottom"/>
          </w:tcPr>
          <w:p>
            <w:pPr>
              <w:spacing w:after="0"/>
              <w:rPr>
                <w:sz w:val="20"/>
                <w:szCs w:val="20"/>
                <w:color w:val="auto"/>
              </w:rPr>
            </w:pPr>
            <w:r>
              <w:rPr>
                <w:rFonts w:ascii="Arial" w:cs="Arial" w:eastAsia="Arial" w:hAnsi="Arial"/>
                <w:sz w:val="14"/>
                <w:szCs w:val="14"/>
                <w:color w:val="auto"/>
              </w:rPr>
              <w:t>First Lien Debt (12.5% Cash (1</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6"/>
              </w:rPr>
              <w:t>month LIBOR + 11.5%, 1% Floor),</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2% PIK, Due 12/14/20)</w:t>
            </w: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Nth Degree,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Business Services</w:t>
            </w:r>
          </w:p>
        </w:tc>
        <w:tc>
          <w:tcPr>
            <w:tcW w:w="2080" w:type="dxa"/>
            <w:vAlign w:val="bottom"/>
          </w:tcPr>
          <w:p>
            <w:pPr>
              <w:spacing w:after="0"/>
              <w:rPr>
                <w:sz w:val="20"/>
                <w:szCs w:val="20"/>
                <w:color w:val="auto"/>
              </w:rPr>
            </w:pPr>
            <w:r>
              <w:rPr>
                <w:rFonts w:ascii="Arial" w:cs="Arial" w:eastAsia="Arial" w:hAnsi="Arial"/>
                <w:sz w:val="14"/>
                <w:szCs w:val="14"/>
                <w:color w:val="auto"/>
              </w:rPr>
              <w:t>Preferred Stock (10% PIK</w:t>
            </w:r>
          </w:p>
        </w:tc>
      </w:tr>
      <w:tr>
        <w:trPr>
          <w:trHeight w:val="313"/>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r>
      <w:tr>
        <w:trPr>
          <w:trHeight w:val="514"/>
        </w:trPr>
        <w:tc>
          <w:tcPr>
            <w:tcW w:w="2080" w:type="dxa"/>
            <w:vAlign w:val="bottom"/>
          </w:tcPr>
          <w:p>
            <w:pPr>
              <w:spacing w:after="0"/>
              <w:rPr>
                <w:sz w:val="20"/>
                <w:szCs w:val="20"/>
                <w:color w:val="auto"/>
              </w:rPr>
            </w:pPr>
            <w:r>
              <w:rPr>
                <w:rFonts w:ascii="Arial" w:cs="Arial" w:eastAsia="Arial" w:hAnsi="Arial"/>
                <w:sz w:val="14"/>
                <w:szCs w:val="14"/>
                <w:color w:val="auto"/>
              </w:rPr>
              <w:t>Portrait Innovations,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Professional and Personal Digital</w:t>
            </w:r>
          </w:p>
        </w:tc>
        <w:tc>
          <w:tcPr>
            <w:tcW w:w="2080" w:type="dxa"/>
            <w:vAlign w:val="bottom"/>
          </w:tcPr>
          <w:p>
            <w:pPr>
              <w:spacing w:after="0"/>
              <w:rPr>
                <w:sz w:val="20"/>
                <w:szCs w:val="20"/>
                <w:color w:val="auto"/>
              </w:rPr>
            </w:pPr>
            <w:r>
              <w:rPr>
                <w:rFonts w:ascii="Arial" w:cs="Arial" w:eastAsia="Arial" w:hAnsi="Arial"/>
                <w:sz w:val="14"/>
                <w:szCs w:val="14"/>
                <w:color w:val="auto"/>
                <w:w w:val="92"/>
              </w:rPr>
              <w:t>Subordinated Debt (12% Cash, Due</w:t>
            </w:r>
          </w:p>
        </w:tc>
      </w:tr>
      <w:tr>
        <w:trPr>
          <w:trHeight w:val="182"/>
        </w:trPr>
        <w:tc>
          <w:tcPr>
            <w:tcW w:w="2080" w:type="dxa"/>
            <w:vAlign w:val="bottom"/>
          </w:tcPr>
          <w:p>
            <w:pPr>
              <w:spacing w:after="0"/>
              <w:rPr>
                <w:sz w:val="15"/>
                <w:szCs w:val="15"/>
                <w:color w:val="auto"/>
              </w:rPr>
            </w:pP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Imaging</w:t>
            </w:r>
          </w:p>
        </w:tc>
        <w:tc>
          <w:tcPr>
            <w:tcW w:w="2080" w:type="dxa"/>
            <w:vAlign w:val="bottom"/>
          </w:tcPr>
          <w:p>
            <w:pPr>
              <w:spacing w:after="0"/>
              <w:rPr>
                <w:sz w:val="20"/>
                <w:szCs w:val="20"/>
                <w:color w:val="auto"/>
              </w:rPr>
            </w:pPr>
            <w:r>
              <w:rPr>
                <w:rFonts w:ascii="Arial" w:cs="Arial" w:eastAsia="Arial" w:hAnsi="Arial"/>
                <w:sz w:val="14"/>
                <w:szCs w:val="14"/>
                <w:color w:val="auto"/>
              </w:rPr>
              <w:t>2/26/20)</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w w:val="96"/>
              </w:rPr>
              <w:t>Sequoia Healthcare Management,</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Healthcare Management</w:t>
            </w:r>
          </w:p>
        </w:tc>
        <w:tc>
          <w:tcPr>
            <w:tcW w:w="2080" w:type="dxa"/>
            <w:vAlign w:val="bottom"/>
          </w:tcPr>
          <w:p>
            <w:pPr>
              <w:spacing w:after="0"/>
              <w:rPr>
                <w:sz w:val="20"/>
                <w:szCs w:val="20"/>
                <w:color w:val="auto"/>
              </w:rPr>
            </w:pPr>
            <w:r>
              <w:rPr>
                <w:rFonts w:ascii="Arial" w:cs="Arial" w:eastAsia="Arial" w:hAnsi="Arial"/>
                <w:sz w:val="14"/>
                <w:szCs w:val="14"/>
                <w:color w:val="auto"/>
              </w:rPr>
              <w:t>First Lien Debt (12% Cash, 4%</w:t>
            </w:r>
          </w:p>
        </w:tc>
      </w:t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LLC</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PIK, Due 7/17/19)</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Sierra Hamilton, LLC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Oil &amp; Gas Engineering and</w:t>
            </w:r>
          </w:p>
        </w:tc>
        <w:tc>
          <w:tcPr>
            <w:tcW w:w="2080" w:type="dxa"/>
            <w:vAlign w:val="bottom"/>
          </w:tcPr>
          <w:p>
            <w:pPr>
              <w:spacing w:after="0"/>
              <w:rPr>
                <w:sz w:val="20"/>
                <w:szCs w:val="20"/>
                <w:color w:val="auto"/>
              </w:rPr>
            </w:pPr>
            <w:r>
              <w:rPr>
                <w:rFonts w:ascii="Arial" w:cs="Arial" w:eastAsia="Arial" w:hAnsi="Arial"/>
                <w:sz w:val="14"/>
                <w:szCs w:val="14"/>
                <w:color w:val="auto"/>
                <w:w w:val="94"/>
              </w:rPr>
              <w:t>First Lien Debt (12.25% Cash, Due</w:t>
            </w:r>
          </w:p>
        </w:tc>
      </w:tr>
      <w:tr>
        <w:trPr>
          <w:trHeight w:val="323"/>
        </w:trPr>
        <w:tc>
          <w:tcPr>
            <w:tcW w:w="2080" w:type="dxa"/>
            <w:vAlign w:val="bottom"/>
          </w:tcPr>
          <w:p>
            <w:pPr>
              <w:spacing w:after="0"/>
              <w:rPr>
                <w:sz w:val="24"/>
                <w:szCs w:val="24"/>
                <w:color w:val="auto"/>
              </w:rPr>
            </w:pP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Consulting Services</w:t>
            </w:r>
          </w:p>
        </w:tc>
        <w:tc>
          <w:tcPr>
            <w:tcW w:w="2080" w:type="dxa"/>
            <w:vAlign w:val="bottom"/>
          </w:tcPr>
          <w:p>
            <w:pPr>
              <w:spacing w:after="0"/>
              <w:rPr>
                <w:sz w:val="20"/>
                <w:szCs w:val="20"/>
                <w:color w:val="auto"/>
              </w:rPr>
            </w:pPr>
            <w:r>
              <w:rPr>
                <w:rFonts w:ascii="Arial" w:cs="Arial" w:eastAsia="Arial" w:hAnsi="Arial"/>
                <w:sz w:val="14"/>
                <w:szCs w:val="14"/>
                <w:color w:val="auto"/>
              </w:rPr>
              <w:t xml:space="preserve">12/15/18) </w:t>
            </w:r>
            <w:r>
              <w:rPr>
                <w:rFonts w:ascii="Arial" w:cs="Arial" w:eastAsia="Arial" w:hAnsi="Arial"/>
                <w:sz w:val="23"/>
                <w:szCs w:val="23"/>
                <w:color w:val="auto"/>
                <w:vertAlign w:val="superscript"/>
              </w:rPr>
              <w:t>(2)</w:t>
            </w:r>
          </w:p>
        </w:tc>
      </w:tr>
      <w:tr>
        <w:trPr>
          <w:trHeight w:val="514"/>
        </w:trPr>
        <w:tc>
          <w:tcPr>
            <w:tcW w:w="2080" w:type="dxa"/>
            <w:vAlign w:val="bottom"/>
          </w:tcPr>
          <w:p>
            <w:pPr>
              <w:spacing w:after="0"/>
              <w:rPr>
                <w:sz w:val="20"/>
                <w:szCs w:val="20"/>
                <w:color w:val="auto"/>
              </w:rPr>
            </w:pPr>
            <w:r>
              <w:rPr>
                <w:rFonts w:ascii="Arial" w:cs="Arial" w:eastAsia="Arial" w:hAnsi="Arial"/>
                <w:sz w:val="14"/>
                <w:szCs w:val="14"/>
                <w:color w:val="auto"/>
              </w:rPr>
              <w:t>Sur La Table,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Retail</w:t>
            </w:r>
          </w:p>
        </w:tc>
        <w:tc>
          <w:tcPr>
            <w:tcW w:w="2080" w:type="dxa"/>
            <w:vAlign w:val="bottom"/>
          </w:tcPr>
          <w:p>
            <w:pPr>
              <w:spacing w:after="0"/>
              <w:rPr>
                <w:sz w:val="20"/>
                <w:szCs w:val="20"/>
                <w:color w:val="auto"/>
              </w:rPr>
            </w:pPr>
            <w:r>
              <w:rPr>
                <w:rFonts w:ascii="Arial" w:cs="Arial" w:eastAsia="Arial" w:hAnsi="Arial"/>
                <w:sz w:val="14"/>
                <w:szCs w:val="14"/>
                <w:color w:val="auto"/>
              </w:rPr>
              <w:t>First Lien Debt (12% Cash, Due</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7/28/20)</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Taylor Precision Products, Inc.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Household Product Manufacturer</w:t>
            </w:r>
          </w:p>
        </w:tc>
        <w:tc>
          <w:tcPr>
            <w:tcW w:w="2080" w:type="dxa"/>
            <w:vAlign w:val="bottom"/>
          </w:tcPr>
          <w:p>
            <w:pPr>
              <w:spacing w:after="0"/>
              <w:rPr>
                <w:sz w:val="20"/>
                <w:szCs w:val="20"/>
                <w:color w:val="auto"/>
              </w:rPr>
            </w:pPr>
            <w:r>
              <w:rPr>
                <w:rFonts w:ascii="Arial" w:cs="Arial" w:eastAsia="Arial" w:hAnsi="Arial"/>
                <w:sz w:val="14"/>
                <w:szCs w:val="14"/>
                <w:color w:val="auto"/>
              </w:rPr>
              <w:t>Series C Preferred Stock (379</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shares)</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U.S. Well Services, LLC</w:t>
            </w:r>
          </w:p>
        </w:tc>
        <w:tc>
          <w:tcPr>
            <w:tcW w:w="2300" w:type="dxa"/>
            <w:vAlign w:val="bottom"/>
            <w:gridSpan w:val="3"/>
          </w:tcPr>
          <w:p>
            <w:pPr>
              <w:ind w:left="120"/>
              <w:spacing w:after="0"/>
              <w:rPr>
                <w:sz w:val="20"/>
                <w:szCs w:val="20"/>
                <w:color w:val="auto"/>
              </w:rPr>
            </w:pPr>
            <w:r>
              <w:rPr>
                <w:rFonts w:ascii="Arial" w:cs="Arial" w:eastAsia="Arial" w:hAnsi="Arial"/>
                <w:sz w:val="14"/>
                <w:szCs w:val="14"/>
                <w:color w:val="auto"/>
              </w:rPr>
              <w:t>Oil &amp; Gas Services</w:t>
            </w:r>
          </w:p>
        </w:tc>
        <w:tc>
          <w:tcPr>
            <w:tcW w:w="2080" w:type="dxa"/>
            <w:vAlign w:val="bottom"/>
          </w:tcPr>
          <w:p>
            <w:pPr>
              <w:spacing w:after="0"/>
              <w:rPr>
                <w:sz w:val="20"/>
                <w:szCs w:val="20"/>
                <w:color w:val="auto"/>
              </w:rPr>
            </w:pPr>
            <w:r>
              <w:rPr>
                <w:rFonts w:ascii="Arial" w:cs="Arial" w:eastAsia="Arial" w:hAnsi="Arial"/>
                <w:sz w:val="14"/>
                <w:szCs w:val="14"/>
                <w:color w:val="auto"/>
              </w:rPr>
              <w:t>First Lien Debt (14.1% PIK (1</w:t>
            </w: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month LIBOR + 13.5%, 0.5%</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floor), Due 5/2/19)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-8764905</wp:posOffset>
            </wp:positionV>
            <wp:extent cx="7246620" cy="283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-8387715</wp:posOffset>
            </wp:positionV>
            <wp:extent cx="724662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-7992745</wp:posOffset>
            </wp:positionV>
            <wp:extent cx="724662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-7787005</wp:posOffset>
            </wp:positionV>
            <wp:extent cx="7246620" cy="317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-7366635</wp:posOffset>
            </wp:positionV>
            <wp:extent cx="724662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-7160895</wp:posOffset>
            </wp:positionV>
            <wp:extent cx="724662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-6852285</wp:posOffset>
            </wp:positionV>
            <wp:extent cx="724662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-6646545</wp:posOffset>
            </wp:positionV>
            <wp:extent cx="724662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-6363335</wp:posOffset>
            </wp:positionV>
            <wp:extent cx="724662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-6054725</wp:posOffset>
            </wp:positionV>
            <wp:extent cx="7246620"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-5754370</wp:posOffset>
            </wp:positionV>
            <wp:extent cx="724662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-5548630</wp:posOffset>
            </wp:positionV>
            <wp:extent cx="724662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-5240020</wp:posOffset>
            </wp:positionV>
            <wp:extent cx="724662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-4939665</wp:posOffset>
            </wp:positionV>
            <wp:extent cx="724662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-4733925</wp:posOffset>
            </wp:positionV>
            <wp:extent cx="7246620" cy="291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-4339590</wp:posOffset>
            </wp:positionV>
            <wp:extent cx="724662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-4133850</wp:posOffset>
            </wp:positionV>
            <wp:extent cx="7246620" cy="283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-3756660</wp:posOffset>
            </wp:positionV>
            <wp:extent cx="7246620" cy="283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-3379470</wp:posOffset>
            </wp:positionV>
            <wp:extent cx="724662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-3053080</wp:posOffset>
            </wp:positionV>
            <wp:extent cx="724662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-2847340</wp:posOffset>
            </wp:positionV>
            <wp:extent cx="7246620" cy="197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-2547620</wp:posOffset>
            </wp:positionV>
            <wp:extent cx="724662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-2341245</wp:posOffset>
            </wp:positionV>
            <wp:extent cx="7246620" cy="197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-2041525</wp:posOffset>
            </wp:positionV>
            <wp:extent cx="7246620"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-1835785</wp:posOffset>
            </wp:positionV>
            <wp:extent cx="7246620" cy="222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-1509395</wp:posOffset>
            </wp:positionV>
            <wp:extent cx="724662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-1303655</wp:posOffset>
            </wp:positionV>
            <wp:extent cx="7246620" cy="1974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-1003935</wp:posOffset>
            </wp:positionV>
            <wp:extent cx="724662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1974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02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36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7,100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6,930</w:t>
            </w:r>
          </w:p>
        </w:tc>
        <w:tc>
          <w:tcPr>
            <w:tcW w:w="1000" w:type="dxa"/>
            <w:vAlign w:val="bottom"/>
          </w:tcPr>
          <w:p>
            <w:pPr>
              <w:jc w:val="right"/>
              <w:spacing w:after="0"/>
              <w:rPr>
                <w:sz w:val="20"/>
                <w:szCs w:val="20"/>
                <w:color w:val="auto"/>
              </w:rPr>
            </w:pPr>
            <w:r>
              <w:rPr>
                <w:rFonts w:ascii="Arial" w:cs="Arial" w:eastAsia="Arial" w:hAnsi="Arial"/>
                <w:sz w:val="14"/>
                <w:szCs w:val="14"/>
                <w:color w:val="auto"/>
              </w:rPr>
              <w:t>6,411</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59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12,000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11,671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10,188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18,601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16,599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1,000</w:t>
            </w:r>
          </w:p>
        </w:tc>
        <w:tc>
          <w:tcPr>
            <w:tcW w:w="1020" w:type="dxa"/>
            <w:vAlign w:val="bottom"/>
          </w:tcPr>
          <w:p>
            <w:pPr>
              <w:jc w:val="right"/>
              <w:spacing w:after="0"/>
              <w:rPr>
                <w:sz w:val="20"/>
                <w:szCs w:val="20"/>
                <w:color w:val="auto"/>
              </w:rPr>
            </w:pPr>
            <w:r>
              <w:rPr>
                <w:rFonts w:ascii="Arial" w:cs="Arial" w:eastAsia="Arial" w:hAnsi="Arial"/>
                <w:sz w:val="14"/>
                <w:szCs w:val="14"/>
                <w:color w:val="auto"/>
              </w:rPr>
              <w:t>988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987</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987</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1,532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1,532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13,674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13,668</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13,252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486"/>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3,433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3,433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4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17,123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16,856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14,667</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14,667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14,667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44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1,333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6,440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21,107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14,849</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14,670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14,849</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14,670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9,904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9,904</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9,904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94"/>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7,351</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7,351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7,351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485"/>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2,662</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4,581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19,917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21,836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9,000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10,851</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10,750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10,851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10,750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10,851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1,001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1,001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15,083</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15,054</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15,083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460" w:space="120"/>
            <w:col w:w="4840"/>
          </w:cols>
          <w:pgMar w:left="240" w:top="904" w:right="239" w:bottom="0" w:gutter="0" w:footer="0" w:header="0"/>
          <w:type w:val="continuous"/>
        </w:sectPr>
      </w:pPr>
    </w:p>
    <w:bookmarkStart w:id="15" w:name="page16"/>
    <w:bookmarkEnd w:id="1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02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auto"/>
                <w:w w:val="97"/>
              </w:rPr>
              <w:t>Velum Global Credit Management,</w:t>
            </w:r>
          </w:p>
        </w:tc>
        <w:tc>
          <w:tcPr>
            <w:tcW w:w="18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2380" w:type="dxa"/>
            <w:vAlign w:val="bottom"/>
          </w:tcPr>
          <w:p>
            <w:pPr>
              <w:ind w:left="380"/>
              <w:spacing w:after="0"/>
              <w:rPr>
                <w:sz w:val="20"/>
                <w:szCs w:val="20"/>
                <w:color w:val="auto"/>
              </w:rPr>
            </w:pPr>
            <w:r>
              <w:rPr>
                <w:rFonts w:ascii="Arial" w:cs="Arial" w:eastAsia="Arial" w:hAnsi="Arial"/>
                <w:sz w:val="14"/>
                <w:szCs w:val="14"/>
                <w:color w:val="auto"/>
              </w:rPr>
              <w:t>First Lien Debt (15% PIK, Due</w:t>
            </w:r>
          </w:p>
        </w:tc>
      </w:tr>
      <w:tr>
        <w:trPr>
          <w:trHeight w:val="323"/>
        </w:trPr>
        <w:tc>
          <w:tcPr>
            <w:tcW w:w="2120" w:type="dxa"/>
            <w:vAlign w:val="bottom"/>
          </w:tcPr>
          <w:p>
            <w:pPr>
              <w:spacing w:after="0"/>
              <w:rPr>
                <w:sz w:val="20"/>
                <w:szCs w:val="20"/>
                <w:color w:val="auto"/>
              </w:rPr>
            </w:pPr>
            <w:r>
              <w:rPr>
                <w:rFonts w:ascii="Arial" w:cs="Arial" w:eastAsia="Arial" w:hAnsi="Arial"/>
                <w:sz w:val="14"/>
                <w:szCs w:val="14"/>
                <w:color w:val="auto"/>
              </w:rPr>
              <w:t>LLC</w:t>
            </w:r>
          </w:p>
        </w:tc>
        <w:tc>
          <w:tcPr>
            <w:tcW w:w="1880" w:type="dxa"/>
            <w:vAlign w:val="bottom"/>
          </w:tcPr>
          <w:p>
            <w:pPr>
              <w:spacing w:after="0"/>
              <w:rPr>
                <w:sz w:val="24"/>
                <w:szCs w:val="24"/>
                <w:color w:val="auto"/>
              </w:rPr>
            </w:pPr>
          </w:p>
        </w:tc>
        <w:tc>
          <w:tcPr>
            <w:tcW w:w="2380" w:type="dxa"/>
            <w:vAlign w:val="bottom"/>
          </w:tcPr>
          <w:p>
            <w:pPr>
              <w:ind w:left="380"/>
              <w:spacing w:after="0"/>
              <w:rPr>
                <w:sz w:val="20"/>
                <w:szCs w:val="20"/>
                <w:color w:val="auto"/>
              </w:rPr>
            </w:pPr>
            <w:r>
              <w:rPr>
                <w:rFonts w:ascii="Arial" w:cs="Arial" w:eastAsia="Arial" w:hAnsi="Arial"/>
                <w:sz w:val="14"/>
                <w:szCs w:val="14"/>
                <w:color w:val="auto"/>
              </w:rPr>
              <w:t xml:space="preserve">12/31/17) </w:t>
            </w:r>
            <w:r>
              <w:rPr>
                <w:rFonts w:ascii="Arial" w:cs="Arial" w:eastAsia="Arial" w:hAnsi="Arial"/>
                <w:sz w:val="23"/>
                <w:szCs w:val="23"/>
                <w:color w:val="auto"/>
                <w:vertAlign w:val="superscript"/>
              </w:rPr>
              <w:t>(1) (8)</w:t>
            </w:r>
          </w:p>
        </w:tc>
      </w:tr>
      <w:tr>
        <w:trPr>
          <w:trHeight w:val="514"/>
        </w:trPr>
        <w:tc>
          <w:tcPr>
            <w:tcW w:w="2120" w:type="dxa"/>
            <w:vAlign w:val="bottom"/>
          </w:tcPr>
          <w:p>
            <w:pPr>
              <w:spacing w:after="0"/>
              <w:rPr>
                <w:sz w:val="20"/>
                <w:szCs w:val="20"/>
                <w:color w:val="auto"/>
              </w:rPr>
            </w:pPr>
            <w:r>
              <w:rPr>
                <w:rFonts w:ascii="Arial" w:cs="Arial" w:eastAsia="Arial" w:hAnsi="Arial"/>
                <w:sz w:val="14"/>
                <w:szCs w:val="14"/>
                <w:color w:val="auto"/>
              </w:rPr>
              <w:t>Vintage Stock, Inc.</w:t>
            </w:r>
          </w:p>
        </w:tc>
        <w:tc>
          <w:tcPr>
            <w:tcW w:w="1880" w:type="dxa"/>
            <w:vAlign w:val="bottom"/>
          </w:tcPr>
          <w:p>
            <w:pPr>
              <w:ind w:left="80"/>
              <w:spacing w:after="0"/>
              <w:rPr>
                <w:sz w:val="20"/>
                <w:szCs w:val="20"/>
                <w:color w:val="auto"/>
              </w:rPr>
            </w:pPr>
            <w:r>
              <w:rPr>
                <w:rFonts w:ascii="Arial" w:cs="Arial" w:eastAsia="Arial" w:hAnsi="Arial"/>
                <w:sz w:val="14"/>
                <w:szCs w:val="14"/>
                <w:color w:val="auto"/>
              </w:rPr>
              <w:t>Specialty Retail</w:t>
            </w:r>
          </w:p>
        </w:tc>
        <w:tc>
          <w:tcPr>
            <w:tcW w:w="2380" w:type="dxa"/>
            <w:vAlign w:val="bottom"/>
          </w:tcPr>
          <w:p>
            <w:pPr>
              <w:ind w:left="380"/>
              <w:spacing w:after="0"/>
              <w:rPr>
                <w:sz w:val="20"/>
                <w:szCs w:val="20"/>
                <w:color w:val="auto"/>
              </w:rPr>
            </w:pPr>
            <w:r>
              <w:rPr>
                <w:rFonts w:ascii="Arial" w:cs="Arial" w:eastAsia="Arial" w:hAnsi="Arial"/>
                <w:sz w:val="14"/>
                <w:szCs w:val="14"/>
                <w:color w:val="auto"/>
              </w:rPr>
              <w:t>First Lien Debt (13.1% Cash (1</w:t>
            </w:r>
          </w:p>
        </w:tc>
      </w:tr>
      <w:tr>
        <w:trPr>
          <w:trHeight w:val="149"/>
        </w:trPr>
        <w:tc>
          <w:tcPr>
            <w:tcW w:w="2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380" w:type="dxa"/>
            <w:vAlign w:val="bottom"/>
          </w:tcPr>
          <w:p>
            <w:pPr>
              <w:ind w:left="380"/>
              <w:spacing w:after="0" w:line="149" w:lineRule="exact"/>
              <w:rPr>
                <w:sz w:val="20"/>
                <w:szCs w:val="20"/>
                <w:color w:val="auto"/>
              </w:rPr>
            </w:pPr>
            <w:r>
              <w:rPr>
                <w:rFonts w:ascii="Arial" w:cs="Arial" w:eastAsia="Arial" w:hAnsi="Arial"/>
                <w:sz w:val="14"/>
                <w:szCs w:val="14"/>
                <w:color w:val="auto"/>
              </w:rPr>
              <w:t>month LIBOR + 12.5%, 0.5%</w:t>
            </w:r>
          </w:p>
        </w:tc>
      </w:tr>
      <w:tr>
        <w:trPr>
          <w:trHeight w:val="182"/>
        </w:trPr>
        <w:tc>
          <w:tcPr>
            <w:tcW w:w="2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80" w:type="dxa"/>
            <w:vAlign w:val="bottom"/>
          </w:tcPr>
          <w:p>
            <w:pPr>
              <w:ind w:left="380"/>
              <w:spacing w:after="0"/>
              <w:rPr>
                <w:sz w:val="20"/>
                <w:szCs w:val="20"/>
                <w:color w:val="auto"/>
              </w:rPr>
            </w:pPr>
            <w:r>
              <w:rPr>
                <w:rFonts w:ascii="Arial" w:cs="Arial" w:eastAsia="Arial" w:hAnsi="Arial"/>
                <w:sz w:val="14"/>
                <w:szCs w:val="14"/>
                <w:color w:val="auto"/>
              </w:rPr>
              <w:t>floor), 3% PIK, Due 11/3/21)</w:t>
            </w:r>
          </w:p>
        </w:tc>
      </w:tr>
      <w:tr>
        <w:trPr>
          <w:trHeight w:val="615"/>
        </w:trPr>
        <w:tc>
          <w:tcPr>
            <w:tcW w:w="2120" w:type="dxa"/>
            <w:vAlign w:val="bottom"/>
          </w:tcPr>
          <w:p>
            <w:pPr>
              <w:spacing w:after="0"/>
              <w:rPr>
                <w:sz w:val="20"/>
                <w:szCs w:val="20"/>
                <w:color w:val="auto"/>
              </w:rPr>
            </w:pPr>
            <w:r>
              <w:rPr>
                <w:rFonts w:ascii="Arial" w:cs="Arial" w:eastAsia="Arial" w:hAnsi="Arial"/>
                <w:sz w:val="14"/>
                <w:szCs w:val="14"/>
                <w:color w:val="auto"/>
              </w:rPr>
              <w:t>Vology, Inc.</w:t>
            </w:r>
          </w:p>
        </w:tc>
        <w:tc>
          <w:tcPr>
            <w:tcW w:w="18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2380" w:type="dxa"/>
            <w:vAlign w:val="bottom"/>
          </w:tcPr>
          <w:p>
            <w:pPr>
              <w:ind w:left="380"/>
              <w:spacing w:after="0"/>
              <w:rPr>
                <w:sz w:val="20"/>
                <w:szCs w:val="20"/>
                <w:color w:val="auto"/>
              </w:rPr>
            </w:pPr>
            <w:r>
              <w:rPr>
                <w:rFonts w:ascii="Arial" w:cs="Arial" w:eastAsia="Arial" w:hAnsi="Arial"/>
                <w:sz w:val="14"/>
                <w:szCs w:val="14"/>
                <w:color w:val="auto"/>
                <w:w w:val="95"/>
              </w:rPr>
              <w:t>Subordinated Debt (15% Cash (3</w:t>
            </w:r>
          </w:p>
        </w:tc>
      </w:tr>
      <w:tr>
        <w:trPr>
          <w:trHeight w:val="149"/>
        </w:trPr>
        <w:tc>
          <w:tcPr>
            <w:tcW w:w="2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380" w:type="dxa"/>
            <w:vAlign w:val="bottom"/>
          </w:tcPr>
          <w:p>
            <w:pPr>
              <w:ind w:left="380"/>
              <w:spacing w:after="0" w:line="149" w:lineRule="exact"/>
              <w:rPr>
                <w:sz w:val="20"/>
                <w:szCs w:val="20"/>
                <w:color w:val="auto"/>
              </w:rPr>
            </w:pPr>
            <w:r>
              <w:rPr>
                <w:rFonts w:ascii="Arial" w:cs="Arial" w:eastAsia="Arial" w:hAnsi="Arial"/>
                <w:sz w:val="14"/>
                <w:szCs w:val="14"/>
                <w:color w:val="auto"/>
              </w:rPr>
              <w:t>month LIBOR + 14%, 1% Floor,</w:t>
            </w:r>
          </w:p>
        </w:tc>
      </w:tr>
      <w:tr>
        <w:trPr>
          <w:trHeight w:val="182"/>
        </w:trPr>
        <w:tc>
          <w:tcPr>
            <w:tcW w:w="2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80" w:type="dxa"/>
            <w:vAlign w:val="bottom"/>
          </w:tcPr>
          <w:p>
            <w:pPr>
              <w:ind w:left="380"/>
              <w:spacing w:after="0"/>
              <w:rPr>
                <w:sz w:val="20"/>
                <w:szCs w:val="20"/>
                <w:color w:val="auto"/>
              </w:rPr>
            </w:pPr>
            <w:r>
              <w:rPr>
                <w:rFonts w:ascii="Arial" w:cs="Arial" w:eastAsia="Arial" w:hAnsi="Arial"/>
                <w:sz w:val="14"/>
                <w:szCs w:val="14"/>
                <w:color w:val="auto"/>
              </w:rPr>
              <w:t>2% PIK), Due 1/24/21)</w:t>
            </w:r>
          </w:p>
        </w:tc>
      </w:tr>
      <w:tr>
        <w:trPr>
          <w:trHeight w:val="624"/>
        </w:trPr>
        <w:tc>
          <w:tcPr>
            <w:tcW w:w="212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18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2380" w:type="dxa"/>
            <w:vAlign w:val="bottom"/>
          </w:tcPr>
          <w:p>
            <w:pPr>
              <w:ind w:left="380"/>
              <w:spacing w:after="0"/>
              <w:rPr>
                <w:sz w:val="20"/>
                <w:szCs w:val="20"/>
                <w:color w:val="auto"/>
              </w:rPr>
            </w:pPr>
            <w:r>
              <w:rPr>
                <w:rFonts w:ascii="Arial" w:cs="Arial" w:eastAsia="Arial" w:hAnsi="Arial"/>
                <w:sz w:val="14"/>
                <w:szCs w:val="14"/>
                <w:color w:val="auto"/>
                <w:w w:val="94"/>
              </w:rPr>
              <w:t>First Lien Debt (11.7% Cash, Due</w:t>
            </w:r>
          </w:p>
        </w:tc>
      </w:tr>
      <w:tr>
        <w:trPr>
          <w:trHeight w:val="313"/>
        </w:trPr>
        <w:tc>
          <w:tcPr>
            <w:tcW w:w="2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80" w:type="dxa"/>
            <w:vAlign w:val="bottom"/>
          </w:tcPr>
          <w:p>
            <w:pPr>
              <w:ind w:left="380"/>
              <w:spacing w:after="0"/>
              <w:rPr>
                <w:sz w:val="20"/>
                <w:szCs w:val="20"/>
                <w:color w:val="auto"/>
              </w:rPr>
            </w:pPr>
            <w:r>
              <w:rPr>
                <w:rFonts w:ascii="Arial" w:cs="Arial" w:eastAsia="Arial" w:hAnsi="Arial"/>
                <w:sz w:val="14"/>
                <w:szCs w:val="14"/>
                <w:color w:val="auto"/>
              </w:rPr>
              <w:t xml:space="preserve">7/31/20) </w:t>
            </w:r>
            <w:r>
              <w:rPr>
                <w:rFonts w:ascii="Arial" w:cs="Arial" w:eastAsia="Arial" w:hAnsi="Arial"/>
                <w:sz w:val="23"/>
                <w:szCs w:val="23"/>
                <w:color w:val="auto"/>
                <w:vertAlign w:val="superscript"/>
              </w:rPr>
              <w:t>(3)</w:t>
            </w:r>
          </w:p>
        </w:tc>
      </w:tr>
      <w:tr>
        <w:trPr>
          <w:trHeight w:val="197"/>
        </w:trPr>
        <w:tc>
          <w:tcPr>
            <w:tcW w:w="212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18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2380" w:type="dxa"/>
            <w:vAlign w:val="bottom"/>
          </w:tcPr>
          <w:p>
            <w:pPr>
              <w:ind w:left="380"/>
              <w:spacing w:after="0"/>
              <w:rPr>
                <w:sz w:val="20"/>
                <w:szCs w:val="20"/>
                <w:color w:val="auto"/>
              </w:rPr>
            </w:pPr>
            <w:r>
              <w:rPr>
                <w:rFonts w:ascii="Arial" w:cs="Arial" w:eastAsia="Arial" w:hAnsi="Arial"/>
                <w:sz w:val="14"/>
                <w:szCs w:val="14"/>
                <w:color w:val="auto"/>
                <w:w w:val="97"/>
              </w:rPr>
              <w:t>Membership Units (39,860 units)</w:t>
            </w:r>
          </w:p>
        </w:tc>
      </w:tr>
      <w:tr>
        <w:trPr>
          <w:trHeight w:val="615"/>
        </w:trPr>
        <w:tc>
          <w:tcPr>
            <w:tcW w:w="2120" w:type="dxa"/>
            <w:vAlign w:val="bottom"/>
          </w:tcPr>
          <w:p>
            <w:pPr>
              <w:spacing w:after="0"/>
              <w:rPr>
                <w:sz w:val="20"/>
                <w:szCs w:val="20"/>
                <w:color w:val="auto"/>
              </w:rPr>
            </w:pPr>
            <w:r>
              <w:rPr>
                <w:rFonts w:ascii="Arial" w:cs="Arial" w:eastAsia="Arial" w:hAnsi="Arial"/>
                <w:sz w:val="14"/>
                <w:szCs w:val="14"/>
                <w:color w:val="auto"/>
              </w:rPr>
              <w:t>Xirgo Technologies, LLC</w:t>
            </w:r>
          </w:p>
        </w:tc>
        <w:tc>
          <w:tcPr>
            <w:tcW w:w="18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2380" w:type="dxa"/>
            <w:vAlign w:val="bottom"/>
          </w:tcPr>
          <w:p>
            <w:pPr>
              <w:ind w:left="380"/>
              <w:spacing w:after="0"/>
              <w:rPr>
                <w:sz w:val="20"/>
                <w:szCs w:val="20"/>
                <w:color w:val="auto"/>
              </w:rPr>
            </w:pPr>
            <w:r>
              <w:rPr>
                <w:rFonts w:ascii="Arial" w:cs="Arial" w:eastAsia="Arial" w:hAnsi="Arial"/>
                <w:sz w:val="14"/>
                <w:szCs w:val="14"/>
                <w:color w:val="auto"/>
                <w:w w:val="96"/>
              </w:rPr>
              <w:t>Subordinated Debt (11.5% Cash,</w:t>
            </w:r>
          </w:p>
        </w:tc>
      </w:tr>
      <w:tr>
        <w:trPr>
          <w:trHeight w:val="182"/>
        </w:trPr>
        <w:tc>
          <w:tcPr>
            <w:tcW w:w="2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80" w:type="dxa"/>
            <w:vAlign w:val="bottom"/>
          </w:tcPr>
          <w:p>
            <w:pPr>
              <w:ind w:left="380"/>
              <w:spacing w:after="0"/>
              <w:rPr>
                <w:sz w:val="20"/>
                <w:szCs w:val="20"/>
                <w:color w:val="auto"/>
              </w:rPr>
            </w:pPr>
            <w:r>
              <w:rPr>
                <w:rFonts w:ascii="Arial" w:cs="Arial" w:eastAsia="Arial" w:hAnsi="Arial"/>
                <w:sz w:val="14"/>
                <w:szCs w:val="14"/>
                <w:color w:val="auto"/>
              </w:rPr>
              <w:t>Due 3/1/22)</w:t>
            </w:r>
          </w:p>
        </w:tc>
      </w:tr>
      <w:tr>
        <w:trPr>
          <w:trHeight w:val="297"/>
        </w:trPr>
        <w:tc>
          <w:tcPr>
            <w:tcW w:w="2120" w:type="dxa"/>
            <w:vAlign w:val="bottom"/>
          </w:tcPr>
          <w:p>
            <w:pPr>
              <w:spacing w:after="0"/>
              <w:rPr>
                <w:sz w:val="20"/>
                <w:szCs w:val="20"/>
                <w:color w:val="auto"/>
              </w:rPr>
            </w:pPr>
            <w:r>
              <w:rPr>
                <w:rFonts w:ascii="Arial" w:cs="Arial" w:eastAsia="Arial" w:hAnsi="Arial"/>
                <w:sz w:val="14"/>
                <w:szCs w:val="14"/>
                <w:color w:val="auto"/>
              </w:rPr>
              <w:t>Xirgo Technologies, LLC</w:t>
            </w:r>
          </w:p>
        </w:tc>
        <w:tc>
          <w:tcPr>
            <w:tcW w:w="18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2380" w:type="dxa"/>
            <w:vAlign w:val="bottom"/>
          </w:tcPr>
          <w:p>
            <w:pPr>
              <w:ind w:left="380"/>
              <w:spacing w:after="0"/>
              <w:rPr>
                <w:sz w:val="20"/>
                <w:szCs w:val="20"/>
                <w:color w:val="auto"/>
              </w:rPr>
            </w:pPr>
            <w:r>
              <w:rPr>
                <w:rFonts w:ascii="Arial" w:cs="Arial" w:eastAsia="Arial" w:hAnsi="Arial"/>
                <w:sz w:val="14"/>
                <w:szCs w:val="14"/>
                <w:color w:val="auto"/>
                <w:w w:val="94"/>
              </w:rPr>
              <w:t>Membership Units (400,000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-2839085</wp:posOffset>
            </wp:positionV>
            <wp:extent cx="7246620"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-2513330</wp:posOffset>
            </wp:positionV>
            <wp:extent cx="724662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-2306955</wp:posOffset>
            </wp:positionV>
            <wp:extent cx="7246620"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-1912620</wp:posOffset>
            </wp:positionV>
            <wp:extent cx="724662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-1706880</wp:posOffset>
            </wp:positionV>
            <wp:extent cx="724662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-1312545</wp:posOffset>
            </wp:positionV>
            <wp:extent cx="7246620" cy="102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-1106805</wp:posOffset>
            </wp:positionV>
            <wp:extent cx="724662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15,054</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15,083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10,553</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10,553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10,553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10,553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10,553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22,067</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22,067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22,067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22,067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22,067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8,082</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8,082</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8,082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8,082</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8,082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10,500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96"/>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7,652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13,500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18,152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15,750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15,750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15,750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300"/>
        </w:trPr>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-2540</wp:posOffset>
            </wp:positionV>
            <wp:extent cx="22040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500" w:space="720"/>
            <w:col w:w="420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16,150</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391,706</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393,525</w:t>
            </w:r>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157.1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120" w:type="dxa"/>
            <w:vAlign w:val="bottom"/>
          </w:tcPr>
          <w:p>
            <w:pPr>
              <w:spacing w:after="0"/>
              <w:rPr>
                <w:sz w:val="14"/>
                <w:szCs w:val="14"/>
                <w:color w:val="auto"/>
              </w:rPr>
            </w:pPr>
          </w:p>
        </w:tc>
        <w:tc>
          <w:tcPr>
            <w:tcW w:w="218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22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- 24.5%</w:t>
            </w: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Automobile Part Manufacturer</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7"/>
              </w:rPr>
              <w:t>Subordinated Debt (14% Cash, Due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Automobile Part Manufacturer</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7"/>
              </w:rPr>
              <w:t>Subordinated Debt (12% Cash, Due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Automobile Part Manufacturer</w:t>
            </w: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(1,253,198 shares)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10,332</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Footwear Retail</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7"/>
              </w:rPr>
              <w:t>Subordinated Debt (13% Cash, Due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9/28/17)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Footwear Retail</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Preferred Membership Units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(2.78% fully diluted, 9% Cash</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Footwear Retail</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 Warrants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(11.38% fully diluted)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Advertising &amp; Marketing Services</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Series A-1 Preferred Stock (1,998</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 Marketing Services</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B-1 Common Stock</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(200,000 shares)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2,650</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Produce Distribution</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Subordinated Debt (13% Cash, Due</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7/16/18)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6,182</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6,182</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3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Produce Distribution</w:t>
            </w:r>
          </w:p>
        </w:tc>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(8,182 shares)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Produce Distribution</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Warrants (6,369</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QSR Franchisor</w:t>
            </w: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(1,500,000 shares)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1,525</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1,525</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Specialty Clothing</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 Preferred Units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(2,000,000 units)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(12% Cash, Due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(6% Cash, Due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Preferred Units (1,000 units, 6%</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Membership Units (45</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4,284</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MTI Holdings, LLC</w:t>
            </w: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Retail Display &amp; Security Services</w:t>
            </w:r>
          </w:p>
        </w:tc>
        <w:tc>
          <w:tcPr>
            <w:tcW w:w="2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Membership Units (2,000,000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Subordinated Debt (13% Cash, Due</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Lubricants</w:t>
            </w:r>
          </w:p>
        </w:tc>
        <w:tc>
          <w:tcPr>
            <w:tcW w:w="208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4/8/19)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(11.3%</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Lubricants</w:t>
            </w: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ownership)</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2,175</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Dental Practice Management</w:t>
            </w:r>
          </w:p>
        </w:tc>
        <w:tc>
          <w:tcPr>
            <w:tcW w:w="2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(1,200,000 shares)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Services, Inc.</w:t>
            </w: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Data Processing &amp; Digital</w:t>
            </w:r>
          </w:p>
        </w:tc>
        <w:tc>
          <w:tcPr>
            <w:tcW w:w="220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8"/>
                <w:szCs w:val="18"/>
                <w:color w:val="auto"/>
                <w:vertAlign w:val="superscript"/>
              </w:rPr>
              <w:t>(12)</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1,015</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Marketing</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9"/>
              </w:rPr>
              <w:t>Sub Total Affiliate investments</w:t>
            </w:r>
          </w:p>
        </w:tc>
        <w:tc>
          <w:tcPr>
            <w:tcW w:w="21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39,279</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investments- 34.6%</w:t>
            </w:r>
          </w:p>
        </w:tc>
        <w:tc>
          <w:tcPr>
            <w:tcW w:w="21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 Retail</w:t>
            </w:r>
          </w:p>
        </w:tc>
        <w:tc>
          <w:tcPr>
            <w:tcW w:w="22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Debt (12% Cash, 4%</w:t>
            </w: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Due 5/24/18)</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11,882</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11,882</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 Retail</w:t>
            </w:r>
          </w:p>
        </w:tc>
        <w:tc>
          <w:tcPr>
            <w:tcW w:w="22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(19.7% fully</w:t>
            </w: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ownership)</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1,394</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 Retail</w:t>
            </w:r>
          </w:p>
        </w:tc>
        <w:tc>
          <w:tcPr>
            <w:tcW w:w="22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(10%</w:t>
            </w: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fully diluted ownership)</w:t>
            </w: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13,276</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21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2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7"/>
              </w:rPr>
              <w:t>Subordinated Debt (13.9% Cash (3</w:t>
            </w: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month LIBOR + 13%, 0.5% Floor),</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4/29/20)</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16,500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13,982</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Eastport Holdings, LLC</w:t>
            </w:r>
          </w:p>
        </w:tc>
        <w:tc>
          <w:tcPr>
            <w:tcW w:w="216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Business Services</w:t>
            </w:r>
          </w:p>
        </w:tc>
        <w:tc>
          <w:tcPr>
            <w:tcW w:w="22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Membership Units (30.1% fully</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80" w:type="dxa"/>
            <w:vAlign w:val="bottom"/>
            <w:shd w:val="clear" w:color="auto" w:fill="CCEEFF"/>
          </w:tcPr>
          <w:p>
            <w:pPr>
              <w:ind w:left="140"/>
              <w:spacing w:after="0" w:line="211" w:lineRule="exact"/>
              <w:rPr>
                <w:sz w:val="20"/>
                <w:szCs w:val="20"/>
                <w:color w:val="auto"/>
              </w:rPr>
            </w:pPr>
            <w:r>
              <w:rPr>
                <w:rFonts w:ascii="Arial" w:cs="Arial" w:eastAsia="Arial" w:hAnsi="Arial"/>
                <w:sz w:val="14"/>
                <w:szCs w:val="14"/>
                <w:color w:val="auto"/>
              </w:rPr>
              <w:t xml:space="preserve">diluted) </w:t>
            </w:r>
            <w:r>
              <w:rPr>
                <w:rFonts w:ascii="Arial" w:cs="Arial" w:eastAsia="Arial" w:hAnsi="Arial"/>
                <w:sz w:val="23"/>
                <w:szCs w:val="23"/>
                <w:color w:val="auto"/>
                <w:vertAlign w:val="superscript"/>
              </w:rPr>
              <w:t>(11)</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4,733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18,715</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16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4"/>
              </w:rPr>
              <w:t>Subordinated Debt (10% Cash, Due</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9/15/18)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1,862</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16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7"/>
              </w:rPr>
              <w:t>Subordinated Debt (14% Cash, 4%</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PIK, Due 9/15/18)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3,989</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3,989</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Series A Preferred Units (47 units)</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7,480</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16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Textile Equipment Manufacturer</w:t>
            </w:r>
          </w:p>
        </w:tc>
        <w:tc>
          <w:tcPr>
            <w:tcW w:w="22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First Lien Debt (15% Cash, Due</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10/30/20)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6,500</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ectPr>
          <w:pgSz w:w="11900" w:h="16838" w:orient="portrait"/>
          <w:cols w:equalWidth="0" w:num="1">
            <w:col w:w="11420"/>
          </w:cols>
          <w:pgMar w:left="240" w:top="904" w:right="2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2080" w:type="dxa"/>
            <w:vAlign w:val="bottom"/>
            <w:tcBorders>
              <w:bottom w:val="single" w:sz="8" w:color="auto"/>
            </w:tcBorders>
          </w:tcPr>
          <w:p>
            <w:pPr>
              <w:ind w:left="54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(4) , (5)</w:t>
            </w:r>
          </w:p>
        </w:tc>
        <w:tc>
          <w:tcPr>
            <w:tcW w:w="120" w:type="dxa"/>
            <w:vAlign w:val="bottom"/>
          </w:tcPr>
          <w:p>
            <w:pPr>
              <w:spacing w:after="0"/>
              <w:rPr>
                <w:sz w:val="24"/>
                <w:szCs w:val="24"/>
                <w:color w:val="auto"/>
              </w:rPr>
            </w:pPr>
          </w:p>
        </w:tc>
        <w:tc>
          <w:tcPr>
            <w:tcW w:w="20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24"/>
                <w:szCs w:val="24"/>
                <w:color w:val="auto"/>
              </w:rPr>
            </w:pPr>
          </w:p>
        </w:tc>
        <w:tc>
          <w:tcPr>
            <w:tcW w:w="20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Type of Investment</w:t>
            </w:r>
          </w:p>
        </w:tc>
      </w:tr>
      <w:tr>
        <w:trPr>
          <w:trHeight w:val="272"/>
        </w:trPr>
        <w:tc>
          <w:tcPr>
            <w:tcW w:w="2080" w:type="dxa"/>
            <w:vAlign w:val="bottom"/>
          </w:tcPr>
          <w:p>
            <w:pPr>
              <w:spacing w:after="0"/>
              <w:rPr>
                <w:sz w:val="20"/>
                <w:szCs w:val="20"/>
                <w:color w:val="auto"/>
              </w:rPr>
            </w:pPr>
            <w:r>
              <w:rPr>
                <w:rFonts w:ascii="Arial" w:cs="Arial" w:eastAsia="Arial" w:hAnsi="Arial"/>
                <w:sz w:val="14"/>
                <w:szCs w:val="14"/>
                <w:color w:val="auto"/>
              </w:rPr>
              <w:t>Navis Holdings,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Textile Equipment Manufacturer</w:t>
            </w:r>
          </w:p>
        </w:tc>
        <w:tc>
          <w:tcPr>
            <w:tcW w:w="2040" w:type="dxa"/>
            <w:vAlign w:val="bottom"/>
          </w:tcPr>
          <w:p>
            <w:pPr>
              <w:spacing w:after="0"/>
              <w:rPr>
                <w:sz w:val="20"/>
                <w:szCs w:val="20"/>
                <w:color w:val="auto"/>
              </w:rPr>
            </w:pPr>
            <w:r>
              <w:rPr>
                <w:rFonts w:ascii="Arial" w:cs="Arial" w:eastAsia="Arial" w:hAnsi="Arial"/>
                <w:sz w:val="14"/>
                <w:szCs w:val="14"/>
                <w:color w:val="auto"/>
              </w:rPr>
              <w:t>Class A Preferred Stock (1,000</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shares, 10% Cash Dividend)</w:t>
            </w:r>
          </w:p>
        </w:tc>
      </w:tr>
      <w:tr>
        <w:trPr>
          <w:trHeight w:val="297"/>
        </w:trPr>
        <w:tc>
          <w:tcPr>
            <w:tcW w:w="2080" w:type="dxa"/>
            <w:vAlign w:val="bottom"/>
          </w:tcPr>
          <w:p>
            <w:pPr>
              <w:spacing w:after="0"/>
              <w:rPr>
                <w:sz w:val="20"/>
                <w:szCs w:val="20"/>
                <w:color w:val="auto"/>
              </w:rPr>
            </w:pPr>
            <w:r>
              <w:rPr>
                <w:rFonts w:ascii="Arial" w:cs="Arial" w:eastAsia="Arial" w:hAnsi="Arial"/>
                <w:sz w:val="14"/>
                <w:szCs w:val="14"/>
                <w:color w:val="auto"/>
              </w:rPr>
              <w:t>Navis Holdings,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Textile Equipment Manufacturer</w:t>
            </w:r>
          </w:p>
        </w:tc>
        <w:tc>
          <w:tcPr>
            <w:tcW w:w="2040" w:type="dxa"/>
            <w:vAlign w:val="bottom"/>
          </w:tcPr>
          <w:p>
            <w:pPr>
              <w:spacing w:after="0"/>
              <w:rPr>
                <w:sz w:val="20"/>
                <w:szCs w:val="20"/>
                <w:color w:val="auto"/>
              </w:rPr>
            </w:pPr>
            <w:r>
              <w:rPr>
                <w:rFonts w:ascii="Arial" w:cs="Arial" w:eastAsia="Arial" w:hAnsi="Arial"/>
                <w:sz w:val="14"/>
                <w:szCs w:val="14"/>
                <w:color w:val="auto"/>
                <w:w w:val="98"/>
              </w:rPr>
              <w:t>Common Stock (300,000 shares)</w:t>
            </w:r>
          </w:p>
        </w:tc>
      </w:tr>
      <w:tr>
        <w:trPr>
          <w:trHeight w:val="624"/>
        </w:trPr>
        <w:tc>
          <w:tcPr>
            <w:tcW w:w="208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Fuel Transportation Services</w:t>
            </w:r>
          </w:p>
        </w:tc>
        <w:tc>
          <w:tcPr>
            <w:tcW w:w="2040" w:type="dxa"/>
            <w:vAlign w:val="bottom"/>
          </w:tcPr>
          <w:p>
            <w:pPr>
              <w:spacing w:after="0"/>
              <w:rPr>
                <w:sz w:val="20"/>
                <w:szCs w:val="20"/>
                <w:color w:val="auto"/>
              </w:rPr>
            </w:pPr>
            <w:r>
              <w:rPr>
                <w:rFonts w:ascii="Arial" w:cs="Arial" w:eastAsia="Arial" w:hAnsi="Arial"/>
                <w:sz w:val="14"/>
                <w:szCs w:val="14"/>
                <w:color w:val="auto"/>
                <w:w w:val="92"/>
              </w:rPr>
              <w:t>Subordinated Debt (14% Cash, 4%</w:t>
            </w:r>
          </w:p>
        </w:tc>
      </w:tr>
      <w:tr>
        <w:trPr>
          <w:trHeight w:val="313"/>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 xml:space="preserve">PIK, Due 12/19/17) </w:t>
            </w:r>
            <w:r>
              <w:rPr>
                <w:rFonts w:ascii="Arial" w:cs="Arial" w:eastAsia="Arial" w:hAnsi="Arial"/>
                <w:sz w:val="23"/>
                <w:szCs w:val="23"/>
                <w:color w:val="auto"/>
                <w:vertAlign w:val="superscript"/>
              </w:rPr>
              <w:t>(1) (2)</w:t>
            </w:r>
          </w:p>
        </w:tc>
      </w:tr>
      <w:tr>
        <w:trPr>
          <w:trHeight w:val="163"/>
        </w:trPr>
        <w:tc>
          <w:tcPr>
            <w:tcW w:w="208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Fuel Transportation Services</w:t>
            </w:r>
          </w:p>
        </w:tc>
        <w:tc>
          <w:tcPr>
            <w:tcW w:w="2040" w:type="dxa"/>
            <w:vAlign w:val="bottom"/>
          </w:tcPr>
          <w:p>
            <w:pPr>
              <w:spacing w:after="0"/>
              <w:rPr>
                <w:sz w:val="20"/>
                <w:szCs w:val="20"/>
                <w:color w:val="auto"/>
              </w:rPr>
            </w:pPr>
            <w:r>
              <w:rPr>
                <w:rFonts w:ascii="Arial" w:cs="Arial" w:eastAsia="Arial" w:hAnsi="Arial"/>
                <w:sz w:val="14"/>
                <w:szCs w:val="14"/>
                <w:color w:val="auto"/>
                <w:w w:val="98"/>
              </w:rPr>
              <w:t>Series A Preferred Stock (32,782</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shares)</w:t>
            </w:r>
          </w:p>
        </w:tc>
      </w:tr>
      <w:tr>
        <w:trPr>
          <w:trHeight w:val="263"/>
        </w:trPr>
        <w:tc>
          <w:tcPr>
            <w:tcW w:w="208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Fuel Transportation Services</w:t>
            </w:r>
          </w:p>
        </w:tc>
        <w:tc>
          <w:tcPr>
            <w:tcW w:w="2040" w:type="dxa"/>
            <w:vAlign w:val="bottom"/>
          </w:tcPr>
          <w:p>
            <w:pPr>
              <w:spacing w:after="0"/>
              <w:rPr>
                <w:sz w:val="20"/>
                <w:szCs w:val="20"/>
                <w:color w:val="auto"/>
              </w:rPr>
            </w:pPr>
            <w:r>
              <w:rPr>
                <w:rFonts w:ascii="Arial" w:cs="Arial" w:eastAsia="Arial" w:hAnsi="Arial"/>
                <w:sz w:val="14"/>
                <w:szCs w:val="14"/>
                <w:color w:val="auto"/>
                <w:w w:val="98"/>
              </w:rPr>
              <w:t>Series B Preferred Stock (23,648</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shares)</w:t>
            </w:r>
          </w:p>
        </w:tc>
      </w:tr>
      <w:tr>
        <w:trPr>
          <w:trHeight w:val="297"/>
        </w:trPr>
        <w:tc>
          <w:tcPr>
            <w:tcW w:w="208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Fuel Transportation Services</w:t>
            </w:r>
          </w:p>
        </w:tc>
        <w:tc>
          <w:tcPr>
            <w:tcW w:w="2040" w:type="dxa"/>
            <w:vAlign w:val="bottom"/>
          </w:tcPr>
          <w:p>
            <w:pPr>
              <w:spacing w:after="0"/>
              <w:rPr>
                <w:sz w:val="20"/>
                <w:szCs w:val="20"/>
                <w:color w:val="auto"/>
              </w:rPr>
            </w:pPr>
            <w:r>
              <w:rPr>
                <w:rFonts w:ascii="Arial" w:cs="Arial" w:eastAsia="Arial" w:hAnsi="Arial"/>
                <w:sz w:val="14"/>
                <w:szCs w:val="14"/>
                <w:color w:val="auto"/>
              </w:rPr>
              <w:t>Common Stock (33,107 shares)</w:t>
            </w:r>
          </w:p>
        </w:tc>
      </w:tr>
      <w:tr>
        <w:trPr>
          <w:trHeight w:val="615"/>
        </w:trPr>
        <w:tc>
          <w:tcPr>
            <w:tcW w:w="2080" w:type="dxa"/>
            <w:vAlign w:val="bottom"/>
          </w:tcPr>
          <w:p>
            <w:pPr>
              <w:spacing w:after="0"/>
              <w:rPr>
                <w:sz w:val="20"/>
                <w:szCs w:val="20"/>
                <w:color w:val="auto"/>
              </w:rPr>
            </w:pPr>
            <w:r>
              <w:rPr>
                <w:rFonts w:ascii="Arial" w:cs="Arial" w:eastAsia="Arial" w:hAnsi="Arial"/>
                <w:sz w:val="14"/>
                <w:szCs w:val="14"/>
                <w:color w:val="auto"/>
              </w:rPr>
              <w:t>Print Direction,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Printing Services</w:t>
            </w:r>
          </w:p>
        </w:tc>
        <w:tc>
          <w:tcPr>
            <w:tcW w:w="2040" w:type="dxa"/>
            <w:vAlign w:val="bottom"/>
          </w:tcPr>
          <w:p>
            <w:pPr>
              <w:spacing w:after="0"/>
              <w:rPr>
                <w:sz w:val="20"/>
                <w:szCs w:val="20"/>
                <w:color w:val="auto"/>
              </w:rPr>
            </w:pPr>
            <w:r>
              <w:rPr>
                <w:rFonts w:ascii="Arial" w:cs="Arial" w:eastAsia="Arial" w:hAnsi="Arial"/>
                <w:sz w:val="14"/>
                <w:szCs w:val="14"/>
                <w:color w:val="auto"/>
              </w:rPr>
              <w:t>First Lien Debt (10% Cash, 2%</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PIK, Due 2/24/19)</w:t>
            </w:r>
          </w:p>
        </w:tc>
      </w:tr>
      <w:tr>
        <w:trPr>
          <w:trHeight w:val="297"/>
        </w:trPr>
        <w:tc>
          <w:tcPr>
            <w:tcW w:w="2080" w:type="dxa"/>
            <w:vAlign w:val="bottom"/>
          </w:tcPr>
          <w:p>
            <w:pPr>
              <w:spacing w:after="0"/>
              <w:rPr>
                <w:sz w:val="20"/>
                <w:szCs w:val="20"/>
                <w:color w:val="auto"/>
              </w:rPr>
            </w:pPr>
            <w:r>
              <w:rPr>
                <w:rFonts w:ascii="Arial" w:cs="Arial" w:eastAsia="Arial" w:hAnsi="Arial"/>
                <w:sz w:val="14"/>
                <w:szCs w:val="14"/>
                <w:color w:val="auto"/>
              </w:rPr>
              <w:t>Print Direction,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Printing Services</w:t>
            </w:r>
          </w:p>
        </w:tc>
        <w:tc>
          <w:tcPr>
            <w:tcW w:w="2040" w:type="dxa"/>
            <w:vAlign w:val="bottom"/>
          </w:tcPr>
          <w:p>
            <w:pPr>
              <w:spacing w:after="0"/>
              <w:rPr>
                <w:sz w:val="20"/>
                <w:szCs w:val="20"/>
                <w:color w:val="auto"/>
              </w:rPr>
            </w:pPr>
            <w:r>
              <w:rPr>
                <w:rFonts w:ascii="Arial" w:cs="Arial" w:eastAsia="Arial" w:hAnsi="Arial"/>
                <w:sz w:val="14"/>
                <w:szCs w:val="14"/>
                <w:color w:val="auto"/>
              </w:rPr>
              <w:t>Common Stock (18,543 shares)</w:t>
            </w:r>
          </w:p>
        </w:tc>
      </w:tr>
      <w:tr>
        <w:trPr>
          <w:trHeight w:val="263"/>
        </w:trPr>
        <w:tc>
          <w:tcPr>
            <w:tcW w:w="2080" w:type="dxa"/>
            <w:vAlign w:val="bottom"/>
          </w:tcPr>
          <w:p>
            <w:pPr>
              <w:spacing w:after="0"/>
              <w:rPr>
                <w:sz w:val="20"/>
                <w:szCs w:val="20"/>
                <w:color w:val="auto"/>
              </w:rPr>
            </w:pPr>
            <w:r>
              <w:rPr>
                <w:rFonts w:ascii="Arial" w:cs="Arial" w:eastAsia="Arial" w:hAnsi="Arial"/>
                <w:sz w:val="14"/>
                <w:szCs w:val="14"/>
                <w:color w:val="auto"/>
              </w:rPr>
              <w:t>Print Direction, Inc.</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Printing Services</w:t>
            </w:r>
          </w:p>
        </w:tc>
        <w:tc>
          <w:tcPr>
            <w:tcW w:w="2040" w:type="dxa"/>
            <w:vAlign w:val="bottom"/>
          </w:tcPr>
          <w:p>
            <w:pPr>
              <w:spacing w:after="0"/>
              <w:rPr>
                <w:sz w:val="20"/>
                <w:szCs w:val="20"/>
                <w:color w:val="auto"/>
              </w:rPr>
            </w:pPr>
            <w:r>
              <w:rPr>
                <w:rFonts w:ascii="Arial" w:cs="Arial" w:eastAsia="Arial" w:hAnsi="Arial"/>
                <w:sz w:val="14"/>
                <w:szCs w:val="14"/>
                <w:color w:val="auto"/>
              </w:rPr>
              <w:t>Common Stock Warrants (820</w:t>
            </w:r>
          </w:p>
        </w:tc>
      </w:t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-2650490</wp:posOffset>
            </wp:positionV>
            <wp:extent cx="724662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-2367280</wp:posOffset>
            </wp:positionV>
            <wp:extent cx="724662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-2161540</wp:posOffset>
            </wp:positionV>
            <wp:extent cx="724662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-1955800</wp:posOffset>
            </wp:positionV>
            <wp:extent cx="724662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-1646555</wp:posOffset>
            </wp:positionV>
            <wp:extent cx="724662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-1363980</wp:posOffset>
            </wp:positionV>
            <wp:extent cx="72466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-1080770</wp:posOffset>
            </wp:positionV>
            <wp:extent cx="724662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-875030</wp:posOffset>
            </wp:positionV>
            <wp:extent cx="724662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5,634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7,501</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13,134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10,303</w:t>
            </w:r>
          </w:p>
        </w:tc>
        <w:tc>
          <w:tcPr>
            <w:tcW w:w="1020" w:type="dxa"/>
            <w:vAlign w:val="bottom"/>
          </w:tcPr>
          <w:p>
            <w:pPr>
              <w:jc w:val="right"/>
              <w:spacing w:after="0"/>
              <w:rPr>
                <w:sz w:val="20"/>
                <w:szCs w:val="20"/>
                <w:color w:val="auto"/>
              </w:rPr>
            </w:pPr>
            <w:r>
              <w:rPr>
                <w:rFonts w:ascii="Arial" w:cs="Arial" w:eastAsia="Arial" w:hAnsi="Arial"/>
                <w:sz w:val="14"/>
                <w:szCs w:val="14"/>
                <w:color w:val="auto"/>
              </w:rPr>
              <w:t>9,837</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10,303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446"/>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3,278</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46"/>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2,365</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15,513</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10,303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17,316</w:t>
            </w:r>
          </w:p>
        </w:tc>
        <w:tc>
          <w:tcPr>
            <w:tcW w:w="1020" w:type="dxa"/>
            <w:vAlign w:val="bottom"/>
          </w:tcPr>
          <w:p>
            <w:pPr>
              <w:jc w:val="right"/>
              <w:spacing w:after="0"/>
              <w:rPr>
                <w:sz w:val="20"/>
                <w:szCs w:val="20"/>
                <w:color w:val="auto"/>
              </w:rPr>
            </w:pPr>
            <w:r>
              <w:rPr>
                <w:rFonts w:ascii="Arial" w:cs="Arial" w:eastAsia="Arial" w:hAnsi="Arial"/>
                <w:sz w:val="14"/>
                <w:szCs w:val="14"/>
                <w:color w:val="auto"/>
              </w:rPr>
              <w:t>17,316</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12,761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2,990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49"/>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-2540</wp:posOffset>
            </wp:positionV>
            <wp:extent cx="22040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400" w:space="120"/>
            <w:col w:w="49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20,306</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12,761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16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82,791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86,650</w:t>
            </w:r>
          </w:p>
        </w:tc>
        <w:tc>
          <w:tcPr>
            <w:tcW w:w="12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color w:val="auto"/>
              </w:rPr>
              <w:t>34.9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- 216.5%</w:t>
            </w:r>
          </w:p>
        </w:tc>
        <w:tc>
          <w:tcPr>
            <w:tcW w:w="16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513,776</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541,639</w:t>
            </w:r>
          </w:p>
        </w:tc>
        <w:tc>
          <w:tcPr>
            <w:tcW w:w="1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b w:val="1"/>
                <w:bCs w:val="1"/>
                <w:color w:val="auto"/>
              </w:rPr>
              <w:t>216.5</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(1.1)%</w:t>
            </w:r>
          </w:p>
        </w:tc>
        <w:tc>
          <w:tcPr>
            <w:tcW w:w="162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3940" w:type="dxa"/>
            <w:vAlign w:val="bottom"/>
            <w:shd w:val="clear" w:color="auto" w:fill="CCEEFF"/>
          </w:tcPr>
          <w:p>
            <w:pPr>
              <w:ind w:left="56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(2,736)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DERIVATIVES- (1.1)%</w:t>
            </w:r>
          </w:p>
        </w:tc>
        <w:tc>
          <w:tcPr>
            <w:tcW w:w="16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2"/>
                <w:szCs w:val="12"/>
                <w:b w:val="1"/>
                <w:bCs w:val="1"/>
                <w:color w:val="auto"/>
              </w:rPr>
              <w:t>(2,736</w:t>
            </w:r>
            <w:r>
              <w:rPr>
                <w:rFonts w:ascii="Arial" w:cs="Arial" w:eastAsia="Arial" w:hAnsi="Arial"/>
                <w:sz w:val="20"/>
                <w:szCs w:val="20"/>
                <w:b w:val="1"/>
                <w:bCs w:val="1"/>
                <w:color w:val="auto"/>
                <w:vertAlign w:val="superscript"/>
              </w:rPr>
              <w:t>)</w:t>
            </w:r>
          </w:p>
        </w:tc>
        <w:tc>
          <w:tcPr>
            <w:tcW w:w="12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b w:val="1"/>
                <w:bCs w:val="1"/>
                <w:color w:val="auto"/>
              </w:rPr>
              <w:t>(1.1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Percentages are based on net assets of $250,582 as of December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right="60"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2016, 4.5%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 was amended to zero. The Company is entitled to receive earn-out payments of up to $2.4 million in satisfaction of the debt.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the stated rate, the investment is paying 3% default interest.</w:t>
      </w:r>
    </w:p>
    <w:p>
      <w:pPr>
        <w:spacing w:after="0" w:line="9" w:lineRule="exact"/>
        <w:rPr>
          <w:rFonts w:ascii="Arial" w:cs="Arial" w:eastAsia="Arial" w:hAnsi="Arial"/>
          <w:sz w:val="18"/>
          <w:szCs w:val="18"/>
          <w:color w:val="auto"/>
        </w:rPr>
      </w:pPr>
    </w:p>
    <w:p>
      <w:pPr>
        <w:ind w:right="300" w:firstLine="8"/>
        <w:spacing w:after="0" w:line="250" w:lineRule="auto"/>
        <w:tabs>
          <w:tab w:leader="none" w:pos="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December 31, 2016, the fair value of the written call option is approximately $2.7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portfolio company is currently being charged default interest rate of prime plus 10.5%.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“Advisers Act”), and the Administrator provides the administrative services necessary for the Company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and subordinated loans, and, to a lesser extent, equity securities issued by lower middle-market companies and traditional middle-market companies.</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 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as described in the Formation Transactions above.</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Company’s financial statements as of March 31, 2017 are presented on a consolidated basis. The effects of all intercompany transactions between the Company and its subsidiaries (Fund II, Fund III, and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ind w:right="20"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2016, filed with the U.S. Securities and Exchange Commission on March 7,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a description of the Company’s investment in CSLLF.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applies fair value accounting to all of its financial instruments in accordance with the 1940 Act and ASC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1" w:name="page22"/>
    <w:bookmarkEnd w:id="21"/>
    <w:p>
      <w:pPr>
        <w:ind w:right="60"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estimating the fair value of portfolio investments, the Company starts with the cost basis of the investment, which includes original issue discount or premium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4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As a practical expedient, the Company used the net asset value (“NAV”) as the basis for the fair value of its investment in CSLLF for the periods held. CSLLF recorded its underlying investments at fair value on a daily basis utilizing pricing information from third-party sources.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PIK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when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Original issue discount/premiums: </w:t>
      </w:r>
      <w:r>
        <w:rPr>
          <w:rFonts w:ascii="Arial" w:cs="Arial" w:eastAsia="Arial" w:hAnsi="Arial"/>
          <w:sz w:val="17"/>
          <w:szCs w:val="17"/>
          <w:color w:val="auto"/>
        </w:rPr>
        <w:t>Discounts/premiums received to par on loans purchased are capitalized and accreted or amortized into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loan. Any remaining discount/premium is accreted or amortized into income upon prepayment of the loan.</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amendment fees, consent fees, and other fees associated with investments in portfolio companies are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when the investment transaction closes (to the extent services are performed to earn such income).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As of March 31, 2017 and December 31, 2016, the Company had outstanding unfunded commitments related to debt investments in existing portfolio companies of $0.8 million (U.S. Well Services, LLC) and $1.2 million (On-Site Fuel Services, Inc.), respectively.</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right="100" w:firstLine="648"/>
        <w:spacing w:after="0" w:line="255"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March 31, 2017 and December 31, 2016. Management is of the opinion that the ultimate resolution of such claims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requirements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2017 and December 31, 2016, there were no uncertain tax positions.</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for the three months ended March 31, 2017 and March 31, 2016. If the Company was required to recognize interest and penalties, if any, related to unrecognized tax benefits this would be recognized as income tax expense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80" w:firstLine="648"/>
        <w:spacing w:after="0" w:line="279" w:lineRule="auto"/>
        <w:rPr>
          <w:sz w:val="20"/>
          <w:szCs w:val="20"/>
          <w:color w:val="auto"/>
        </w:rPr>
      </w:pPr>
      <w:r>
        <w:rPr>
          <w:rFonts w:ascii="Arial" w:cs="Arial" w:eastAsia="Arial" w:hAnsi="Arial"/>
          <w:sz w:val="17"/>
          <w:szCs w:val="17"/>
          <w:color w:val="auto"/>
        </w:rPr>
        <w:t>The Company has adopted an “opt out” dividend reinvestment plan (“DRIP”) for common stockholders. As a result, if the Company declares a cash dividend or other distribution, each stockholder that has not “opted out” of the DRIP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 xml:space="preserve">In January 2016, FASB issued ASU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(Subtopic 825-10): </w:t>
      </w:r>
      <w:r>
        <w:rPr>
          <w:rFonts w:ascii="Arial" w:cs="Arial" w:eastAsia="Arial" w:hAnsi="Arial"/>
          <w:sz w:val="16"/>
          <w:szCs w:val="16"/>
          <w:i w:val="1"/>
          <w:iCs w:val="1"/>
          <w:color w:val="auto"/>
        </w:rPr>
        <w:t>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20" w:firstLine="8"/>
        <w:spacing w:after="0" w:line="25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these changes will have on the Company’s consolidated financial position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and subordinated loans. Most of the Company’s debt investments are coupled with equity interests, whether in the form of detachable “penny” warrants or equity co-investments made pari-passu with our borrowers’ financial sponsors. As of March 31, 2017, our portfolio consisted of investments in 51 portfolio companies with a fair value of approximately $532.5 million.</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In some cases, first lien loans may be subordinated, solely with respect to the payment of cash interest, to an asset based revolving credit facility.</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March 31, 2017, the Company made approximately $21.7 million of investments and had approximately $33.0 million in repayments and sales resulting in net repayments and sales of approximately $11.3 million for the period. During the three months ended March 31, 2016, the Company made approximately $27.5 million of investments and had approximately $10.2 million in repayments and sales of investments resulting in net investments of approximately $17.3 million for the period.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right="140" w:firstLine="648"/>
        <w:spacing w:after="0" w:line="254" w:lineRule="auto"/>
        <w:rPr>
          <w:sz w:val="20"/>
          <w:szCs w:val="20"/>
          <w:color w:val="auto"/>
        </w:rPr>
      </w:pPr>
      <w:r>
        <w:rPr>
          <w:rFonts w:ascii="Arial" w:cs="Arial" w:eastAsia="Arial" w:hAnsi="Arial"/>
          <w:sz w:val="18"/>
          <w:szCs w:val="18"/>
          <w:color w:val="auto"/>
        </w:rPr>
        <w:t>During the three months ended March 31, 2017, the Company funded $1.2 million of previously committed capital to existing portfolio companies. During the three months ended March 31, 2017, the Company funded $20.5 million of investments in portfolio companies for which it was not previously committed to fund. During the three months ended March 31, 2016, the Company funded $2.8 million of previously committed capital to existing portfolio companies. During the three months ended March 31, 2016, the Company funded $24.7 million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months ended March 31, 2017 and March 31, 2016, the Company did not lead any syndicates and did not assist any portfolio companies in obtaining indirect financing.</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9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$4.2 million as of March 31, 2017.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March 31, 2017 was determined to be insignificant. The Written Call Option is classified as a Level 3 financial instrument.</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composition of our investments as of March 31, 2017, at amortized cost and fair value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256,542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235,864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63,729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60,661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135,714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135,606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53,301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100,347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18.8</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2016, at amortized cost and fair value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74,559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71,483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148,849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27.8</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45,721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93,346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17.2</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40"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March 31, 2017 (dollars in thousands), according to the fair value hierarchy:</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235,864</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60,661</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135,606</w:t>
            </w: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100,347</w:t>
            </w:r>
          </w:p>
        </w:tc>
        <w:tc>
          <w:tcPr>
            <w:tcW w:w="100" w:type="dxa"/>
            <w:vAlign w:val="bottom"/>
            <w:tcBorders>
              <w:bottom w:val="single" w:sz="8" w:color="CCEEFF"/>
            </w:tcBorders>
          </w:tcPr>
          <w:p>
            <w:pPr>
              <w:spacing w:after="0"/>
              <w:rPr>
                <w:sz w:val="19"/>
                <w:szCs w:val="19"/>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729"/>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March 31, 2017 (dollars in thousands), according to the fair value hierarchy:</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2016 (dollars in thousands), according to the fair value hierarchy:</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71,483</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93,346</w:t>
            </w:r>
          </w:p>
        </w:tc>
        <w:tc>
          <w:tcPr>
            <w:tcW w:w="100" w:type="dxa"/>
            <w:vAlign w:val="bottom"/>
            <w:tcBorders>
              <w:bottom w:val="single" w:sz="8" w:color="CCEEFF"/>
            </w:tcBorders>
          </w:tcPr>
          <w:p>
            <w:pPr>
              <w:spacing w:after="0"/>
              <w:rPr>
                <w:sz w:val="19"/>
                <w:szCs w:val="19"/>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2016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0"/>
        </w:trPr>
        <w:tc>
          <w:tcPr>
            <w:tcW w:w="36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1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29"/>
        </w:trPr>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7" w:name="page28"/>
    <w:bookmarkEnd w:id="27"/>
    <w:p>
      <w:pPr>
        <w:ind w:right="46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6,701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(33,049)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18,526</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21,708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(4,671)</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three months ended March 31, 2017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Written Call Option</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(1,485)</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2017</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199,843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Repayments/sales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(2,699)</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(4,890)</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as of March 31,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198,615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204,224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our $18.5 million investment in CSLLF, measured at NAV.</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net change in unrealized appreciation (depreciation) on investments held as of March 31, 2017 and 2016, was $(4.8) million and $(11.2) million, respectively, and is included in net unrealized appreciation (depreciation) on investments in the consolidated statements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 Value</w:t>
            </w:r>
          </w:p>
        </w:tc>
        <w:tc>
          <w:tcPr>
            <w:tcW w:w="1700" w:type="dxa"/>
            <w:vAlign w:val="bottom"/>
          </w:tcPr>
          <w:p>
            <w:pPr>
              <w:ind w:left="480"/>
              <w:spacing w:after="0"/>
              <w:rPr>
                <w:sz w:val="20"/>
                <w:szCs w:val="20"/>
                <w:color w:val="auto"/>
              </w:rPr>
            </w:pPr>
            <w:r>
              <w:rPr>
                <w:rFonts w:ascii="Arial" w:cs="Arial" w:eastAsia="Arial" w:hAnsi="Arial"/>
                <w:sz w:val="18"/>
                <w:szCs w:val="18"/>
                <w:b w:val="1"/>
                <w:bCs w:val="1"/>
                <w:color w:val="auto"/>
              </w:rPr>
              <w:t>Valuation</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(in millions)</w:t>
            </w:r>
          </w:p>
        </w:tc>
        <w:tc>
          <w:tcPr>
            <w:tcW w:w="1700" w:type="dxa"/>
            <w:vAlign w:val="bottom"/>
          </w:tcPr>
          <w:p>
            <w:pPr>
              <w:ind w:left="460"/>
              <w:spacing w:after="0"/>
              <w:rPr>
                <w:sz w:val="20"/>
                <w:szCs w:val="20"/>
                <w:color w:val="auto"/>
              </w:rPr>
            </w:pPr>
            <w:r>
              <w:rPr>
                <w:rFonts w:ascii="Arial" w:cs="Arial" w:eastAsia="Arial" w:hAnsi="Arial"/>
                <w:sz w:val="18"/>
                <w:szCs w:val="18"/>
                <w:b w:val="1"/>
                <w:bCs w:val="1"/>
                <w:color w:val="auto"/>
              </w:rPr>
              <w:t>Approach</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Unobservable Input</w:t>
            </w:r>
          </w:p>
        </w:tc>
        <w:tc>
          <w:tcPr>
            <w:tcW w:w="120" w:type="dxa"/>
            <w:vAlign w:val="bottom"/>
          </w:tcPr>
          <w:p>
            <w:pPr>
              <w:spacing w:after="0"/>
              <w:rPr>
                <w:sz w:val="20"/>
                <w:szCs w:val="20"/>
                <w:color w:val="auto"/>
              </w:rPr>
            </w:pPr>
          </w:p>
        </w:tc>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20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199.9</w:t>
            </w:r>
          </w:p>
        </w:tc>
        <w:tc>
          <w:tcPr>
            <w:tcW w:w="2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7.0% - 19.5% (14.0%)</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2.0x</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- 6.8x (3.6x)</w:t>
            </w:r>
          </w:p>
        </w:tc>
      </w:tr>
      <w:tr>
        <w:trPr>
          <w:trHeight w:val="230"/>
        </w:trPr>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$1.8 million - $134.6 million ($22.1 million)</w:t>
            </w: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36.0</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5.0x</w:t>
            </w:r>
          </w:p>
        </w:tc>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 5.5x (5.1x)</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Waterfall and</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$2.0 million - $3.5 million ($2.6 million)</w:t>
            </w:r>
          </w:p>
        </w:tc>
      </w:tr>
      <w:tr>
        <w:trPr>
          <w:trHeight w:val="217"/>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6"/>
                <w:szCs w:val="16"/>
                <w:color w:val="auto"/>
              </w:rPr>
              <w:t xml:space="preserve">Asset </w:t>
            </w:r>
            <w:r>
              <w:rPr>
                <w:rFonts w:ascii="Arial" w:cs="Arial" w:eastAsia="Arial" w:hAnsi="Arial"/>
                <w:sz w:val="25"/>
                <w:szCs w:val="25"/>
                <w:color w:val="auto"/>
                <w:vertAlign w:val="superscript"/>
              </w:rPr>
              <w:t>(1)</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Revenue Multiple</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0.3x</w:t>
            </w:r>
          </w:p>
        </w:tc>
        <w:tc>
          <w:tcPr>
            <w:tcW w:w="3180" w:type="dxa"/>
            <w:vAlign w:val="bottom"/>
          </w:tcPr>
          <w:p>
            <w:pPr>
              <w:ind w:left="20"/>
              <w:spacing w:after="0"/>
              <w:rPr>
                <w:sz w:val="20"/>
                <w:szCs w:val="20"/>
                <w:color w:val="auto"/>
              </w:rPr>
            </w:pPr>
            <w:r>
              <w:rPr>
                <w:rFonts w:ascii="Arial" w:cs="Arial" w:eastAsia="Arial" w:hAnsi="Arial"/>
                <w:sz w:val="18"/>
                <w:szCs w:val="18"/>
                <w:color w:val="auto"/>
              </w:rPr>
              <w:t>– 0.3x (0.3x)</w:t>
            </w:r>
          </w:p>
        </w:tc>
      </w:tr>
      <w:tr>
        <w:trPr>
          <w:trHeight w:val="23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Revenue</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$88.1 million - $88.1 million ($88.1 million)</w:t>
            </w: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60.7</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36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10.7% - 17.8% (13.5%)</w:t>
            </w:r>
          </w:p>
        </w:tc>
      </w:tr>
      <w:tr>
        <w:trPr>
          <w:trHeight w:val="216"/>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0.4x</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12.5x (5.6x)</w:t>
            </w:r>
          </w:p>
        </w:tc>
      </w:tr>
      <w:tr>
        <w:trPr>
          <w:trHeight w:val="230"/>
        </w:trPr>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$7.9 million - $145.0 million ($74.0 million)</w:t>
            </w: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98.8</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36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11.5% – 19.2% (14.3%)</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Leverage Ratio</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1.6x</w:t>
            </w:r>
          </w:p>
        </w:tc>
        <w:tc>
          <w:tcPr>
            <w:tcW w:w="3180" w:type="dxa"/>
            <w:vAlign w:val="bottom"/>
          </w:tcPr>
          <w:p>
            <w:pPr>
              <w:ind w:left="20"/>
              <w:spacing w:after="0"/>
              <w:rPr>
                <w:sz w:val="20"/>
                <w:szCs w:val="20"/>
                <w:color w:val="auto"/>
              </w:rPr>
            </w:pPr>
            <w:r>
              <w:rPr>
                <w:rFonts w:ascii="Arial" w:cs="Arial" w:eastAsia="Arial" w:hAnsi="Arial"/>
                <w:sz w:val="18"/>
                <w:szCs w:val="18"/>
                <w:color w:val="auto"/>
              </w:rPr>
              <w:t>– 8.3x (5.2x)</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$1.7 million - $20.2 million ($11.7 million)</w:t>
            </w: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36.8</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5.5x</w:t>
            </w:r>
          </w:p>
        </w:tc>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7.3x (6.3x)</w:t>
            </w:r>
          </w:p>
        </w:tc>
      </w:tr>
      <w:tr>
        <w:trPr>
          <w:trHeight w:val="220"/>
        </w:trPr>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 and</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$1.8 million - $30.0 million ($16.5 million)</w:t>
            </w:r>
          </w:p>
        </w:tc>
      </w:tr>
      <w:tr>
        <w:trPr>
          <w:trHeight w:val="267"/>
        </w:trPr>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 xml:space="preserve">Asset </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180" w:type="dxa"/>
            <w:vAlign w:val="bottom"/>
            <w:shd w:val="clear" w:color="auto" w:fill="CCEEFF"/>
          </w:tcPr>
          <w:p>
            <w:pPr>
              <w:spacing w:after="0"/>
              <w:rPr>
                <w:sz w:val="23"/>
                <w:szCs w:val="23"/>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w w:val="94"/>
              </w:rPr>
              <w:t>Equity shares and warrants</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100.3</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5.0x</w:t>
            </w:r>
          </w:p>
        </w:tc>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 15.0x (7.4x)</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Waterfall</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$1.8 million - $48.6 million ($18.0 million)</w:t>
            </w: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 Option</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(4.2)</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6.5x</w:t>
            </w:r>
          </w:p>
        </w:tc>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6.5x (6.5x)</w:t>
            </w:r>
          </w:p>
        </w:tc>
      </w:tr>
      <w:tr>
        <w:trPr>
          <w:trHeight w:val="230"/>
        </w:trPr>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$30.0 million - $30.0 million ($30.0 million)</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$2.5 million in subordinated debt and $2.8 million in first lien debt were valued using the 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 Value</w:t>
            </w:r>
          </w:p>
        </w:tc>
        <w:tc>
          <w:tcPr>
            <w:tcW w:w="1700" w:type="dxa"/>
            <w:vAlign w:val="bottom"/>
          </w:tcPr>
          <w:p>
            <w:pPr>
              <w:ind w:left="480"/>
              <w:spacing w:after="0"/>
              <w:rPr>
                <w:sz w:val="20"/>
                <w:szCs w:val="20"/>
                <w:color w:val="auto"/>
              </w:rPr>
            </w:pPr>
            <w:r>
              <w:rPr>
                <w:rFonts w:ascii="Arial" w:cs="Arial" w:eastAsia="Arial" w:hAnsi="Arial"/>
                <w:sz w:val="18"/>
                <w:szCs w:val="18"/>
                <w:b w:val="1"/>
                <w:bCs w:val="1"/>
                <w:color w:val="auto"/>
              </w:rPr>
              <w:t>Valuation</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(in millions)</w:t>
            </w:r>
          </w:p>
        </w:tc>
        <w:tc>
          <w:tcPr>
            <w:tcW w:w="1700" w:type="dxa"/>
            <w:vAlign w:val="bottom"/>
          </w:tcPr>
          <w:p>
            <w:pPr>
              <w:ind w:left="460"/>
              <w:spacing w:after="0"/>
              <w:rPr>
                <w:sz w:val="20"/>
                <w:szCs w:val="20"/>
                <w:color w:val="auto"/>
              </w:rPr>
            </w:pPr>
            <w:r>
              <w:rPr>
                <w:rFonts w:ascii="Arial" w:cs="Arial" w:eastAsia="Arial" w:hAnsi="Arial"/>
                <w:sz w:val="18"/>
                <w:szCs w:val="18"/>
                <w:b w:val="1"/>
                <w:bCs w:val="1"/>
                <w:color w:val="auto"/>
              </w:rPr>
              <w:t>Approach</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Unobservable Input</w:t>
            </w:r>
          </w:p>
        </w:tc>
        <w:tc>
          <w:tcPr>
            <w:tcW w:w="3640" w:type="dxa"/>
            <w:vAlign w:val="bottom"/>
            <w:gridSpan w:val="3"/>
          </w:tcPr>
          <w:p>
            <w:pPr>
              <w:ind w:left="120"/>
              <w:spacing w:after="0"/>
              <w:rPr>
                <w:sz w:val="20"/>
                <w:szCs w:val="20"/>
                <w:color w:val="auto"/>
              </w:rPr>
            </w:pPr>
            <w:r>
              <w:rPr>
                <w:rFonts w:ascii="Arial" w:cs="Arial" w:eastAsia="Arial" w:hAnsi="Arial"/>
                <w:sz w:val="18"/>
                <w:szCs w:val="18"/>
                <w:b w:val="1"/>
                <w:bCs w:val="1"/>
                <w:color w:val="auto"/>
              </w:rPr>
              <w:t>Range (Weighted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173.3</w:t>
            </w:r>
          </w:p>
        </w:tc>
        <w:tc>
          <w:tcPr>
            <w:tcW w:w="2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9.5% - 18.0% (14.2%)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2.0x</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6.4x (4.1x)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$1.8 million - $166.0 million ($24.1million)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53.3</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4.5x</w:t>
            </w:r>
          </w:p>
        </w:tc>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 9.0x (6.3x)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6"/>
                <w:szCs w:val="16"/>
                <w:color w:val="auto"/>
              </w:rPr>
              <w:t>Waterfall and Asset</w:t>
            </w:r>
            <w:r>
              <w:rPr>
                <w:rFonts w:ascii="Arial" w:cs="Arial" w:eastAsia="Arial" w:hAnsi="Arial"/>
                <w:sz w:val="25"/>
                <w:szCs w:val="25"/>
                <w:color w:val="auto"/>
                <w:vertAlign w:val="superscript"/>
              </w:rPr>
              <w:t>(1)</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$2.5 million - $34.3 million ($13.1 million)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Revenue Multiple</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0.3x</w:t>
            </w:r>
          </w:p>
        </w:tc>
        <w:tc>
          <w:tcPr>
            <w:tcW w:w="3180" w:type="dxa"/>
            <w:vAlign w:val="bottom"/>
          </w:tcPr>
          <w:p>
            <w:pPr>
              <w:ind w:left="20"/>
              <w:spacing w:after="0"/>
              <w:rPr>
                <w:sz w:val="20"/>
                <w:szCs w:val="20"/>
                <w:color w:val="auto"/>
              </w:rPr>
            </w:pPr>
            <w:r>
              <w:rPr>
                <w:rFonts w:ascii="Arial" w:cs="Arial" w:eastAsia="Arial" w:hAnsi="Arial"/>
                <w:sz w:val="18"/>
                <w:szCs w:val="18"/>
                <w:color w:val="auto"/>
              </w:rPr>
              <w:t>– 0.3x (0.3x)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Revenue</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$88.1 million -$88.1 million ($88.1 million)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71.5</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36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10.0% - 17.3% (13.3%)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0.0x</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7.5x (5.0x)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$8.1 million - $166.0 million ($76.5 million)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114.6</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36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11.5% – 20.0% (13.6%)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Leverage Ratio</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1.5x</w:t>
            </w:r>
          </w:p>
        </w:tc>
        <w:tc>
          <w:tcPr>
            <w:tcW w:w="3180" w:type="dxa"/>
            <w:vAlign w:val="bottom"/>
          </w:tcPr>
          <w:p>
            <w:pPr>
              <w:ind w:left="20"/>
              <w:spacing w:after="0"/>
              <w:rPr>
                <w:sz w:val="20"/>
                <w:szCs w:val="20"/>
                <w:color w:val="auto"/>
              </w:rPr>
            </w:pPr>
            <w:r>
              <w:rPr>
                <w:rFonts w:ascii="Arial" w:cs="Arial" w:eastAsia="Arial" w:hAnsi="Arial"/>
                <w:sz w:val="18"/>
                <w:szCs w:val="18"/>
                <w:color w:val="auto"/>
              </w:rPr>
              <w:t>– 6.7x (4.1x)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2.0 million - $63.7 million ($21.4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35.6</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5.0x</w:t>
            </w:r>
          </w:p>
        </w:tc>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8.7x (6.3x)</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Waterfall and Asset</w:t>
            </w:r>
            <w:r>
              <w:rPr>
                <w:rFonts w:ascii="Arial" w:cs="Arial" w:eastAsia="Arial" w:hAnsi="Arial"/>
                <w:sz w:val="30"/>
                <w:szCs w:val="30"/>
                <w:color w:val="auto"/>
                <w:w w:val="93"/>
                <w:vertAlign w:val="superscript"/>
              </w:rPr>
              <w:t>(1)</w:t>
            </w:r>
          </w:p>
        </w:tc>
        <w:tc>
          <w:tcPr>
            <w:tcW w:w="2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$1.8 million – $27.6 million ($15.7 million)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Equity and warrants</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93.3</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4.5x</w:t>
            </w:r>
          </w:p>
        </w:tc>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 12.2x (7.6%)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Waterfall</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$1.8 million - $63.7 million ($17.5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 Option</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(2.7)</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2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36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6.25x – 6.25x (6.25x)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$27.6 million - $27.6 million ($27.6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$2.5 million in subordinated debt and $2.6 million in first lien debt were valued using the asset approach</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24, 2015, the Company and Trinity Universal Insurance Company (“Trinity”), a subsidiary of Kemper Corporation (“Kemper”),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Because the TRS was</w:t>
      </w:r>
    </w:p>
    <w:p>
      <w:pPr>
        <w:sectPr>
          <w:pgSz w:w="11900" w:h="16838" w:orient="portrait"/>
          <w:cols w:equalWidth="0" w:num="1">
            <w:col w:w="11420"/>
          </w:cols>
          <w:pgMar w:left="240" w:top="908" w:right="239" w:bottom="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wound down in a prior period, only comparative period disclosures are included herein. For the three months ended March 31, 2016, we received $0.5 million in dividend income from our equity interest in CSLLF.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320" w:firstLine="648"/>
        <w:spacing w:after="0" w:line="259" w:lineRule="auto"/>
        <w:rPr>
          <w:sz w:val="20"/>
          <w:szCs w:val="20"/>
          <w:color w:val="auto"/>
        </w:rPr>
      </w:pPr>
      <w:r>
        <w:rPr>
          <w:rFonts w:ascii="Arial" w:cs="Arial" w:eastAsia="Arial" w:hAnsi="Arial"/>
          <w:sz w:val="18"/>
          <w:szCs w:val="18"/>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1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166"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has posted $0.0 million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cash collateral represents CSLLF’s maximum credit exposure as of December 31, 2016.</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In connection with the TRS, CSLLF has made customary representations and warranties and is required to comply with various covenants, reporting requirements and other customary requirements for similar transactions governed by an ISDA 2002 Master Agreement.</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CSLLF’s receivable due on the TRS represents realized amounts from payments on underlying loans in the total return swap portfolio. At December 31, 2016, the receivable due on TRS was $0.1 million and is recorded on CSLLF’s statements of assets and liabilities below. CSLLF does not offset collateral posted in relation to the TRS with any unrealized appreciation or depreciation outstanding in the statements of assets and liabilities as of December 31, 2016.</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Transactions in TRS contracts during the three months ended March 31, 2016 resulted in $0.7 million in realized gains and $0.8 million in unrealized appreciation, which is recorded on CSLLF’s statements of operations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represents the volume of the CSLLF’s derivative transactions during the three months ended March 31, 2016 (dollars in thousands):</w:t>
      </w:r>
    </w:p>
    <w:p>
      <w:pPr>
        <w:spacing w:after="0" w:line="244"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March 31,2016</w:t>
      </w:r>
    </w:p>
    <w:p>
      <w:pPr>
        <w:spacing w:after="0" w:line="9" w:lineRule="exact"/>
        <w:rPr>
          <w:sz w:val="20"/>
          <w:szCs w:val="20"/>
          <w:color w:val="auto"/>
        </w:rPr>
      </w:pPr>
    </w:p>
    <w:p>
      <w:pPr>
        <w:ind w:left="1040"/>
        <w:spacing w:after="0"/>
        <w:tabs>
          <w:tab w:leader="none" w:pos="8040" w:val="left"/>
          <w:tab w:leader="none" w:pos="9800" w:val="left"/>
        </w:tabs>
        <w:rPr>
          <w:sz w:val="20"/>
          <w:szCs w:val="20"/>
          <w:color w:val="auto"/>
        </w:rPr>
      </w:pPr>
      <w:r>
        <w:rPr>
          <w:rFonts w:ascii="Arial" w:cs="Arial" w:eastAsia="Arial" w:hAnsi="Arial"/>
          <w:sz w:val="18"/>
          <w:szCs w:val="18"/>
          <w:color w:val="auto"/>
        </w:rPr>
        <w:t>Average notional par amount of contract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78,203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593471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34710" cy="146050"/>
                    </a:xfrm>
                    <a:prstGeom prst="rect">
                      <a:avLst/>
                    </a:prstGeom>
                    <a:noFill/>
                  </pic:spPr>
                </pic:pic>
              </a:graphicData>
            </a:graphic>
          </wp:anchor>
        </w:drawing>
      </w:r>
    </w:p>
    <w:p>
      <w:pPr>
        <w:spacing w:after="0" w:line="20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for the three months ended March 31,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As 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2016</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Receivable due on Total Return Swap</w:t>
            </w:r>
          </w:p>
        </w:tc>
        <w:tc>
          <w:tcPr>
            <w:tcW w:w="3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 payable</w:t>
            </w:r>
          </w:p>
        </w:tc>
        <w:tc>
          <w:tcPr>
            <w:tcW w:w="3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ASSETS</w:t>
            </w: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720" w:type="dxa"/>
            <w:vAlign w:val="bottom"/>
            <w:vMerge w:val="continue"/>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net assets</w:t>
            </w:r>
          </w:p>
        </w:tc>
        <w:tc>
          <w:tcPr>
            <w:tcW w:w="3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3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liabilities and net assets</w:t>
            </w:r>
          </w:p>
        </w:tc>
        <w:tc>
          <w:tcPr>
            <w:tcW w:w="3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160" w:type="dxa"/>
            <w:vAlign w:val="bottom"/>
            <w:vMerge w:val="restart"/>
          </w:tcPr>
          <w:p>
            <w:pPr>
              <w:jc w:val="right"/>
              <w:ind w:right="229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1" w:name="page32"/>
    <w:bookmarkEnd w:id="31"/>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w w:val="99"/>
              </w:rPr>
              <w:t>March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legal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operating loss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realized gain on Total Return Swap</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Total Return Swap</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1"/>
        </w:trPr>
        <w:tc>
          <w:tcPr>
            <w:tcW w:w="3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500"/>
              <w:spacing w:after="0" w:line="271" w:lineRule="exact"/>
              <w:rPr>
                <w:sz w:val="20"/>
                <w:szCs w:val="20"/>
                <w:color w:val="auto"/>
              </w:rPr>
            </w:pPr>
            <w:r>
              <w:rPr>
                <w:rFonts w:ascii="Arial" w:cs="Arial" w:eastAsia="Arial" w:hAnsi="Arial"/>
                <w:sz w:val="18"/>
                <w:szCs w:val="18"/>
                <w:b w:val="1"/>
                <w:bCs w:val="1"/>
                <w:color w:val="auto"/>
                <w:w w:val="95"/>
              </w:rPr>
              <w:t xml:space="preserve">Value </w:t>
            </w:r>
            <w:r>
              <w:rPr>
                <w:rFonts w:ascii="Arial" w:cs="Arial" w:eastAsia="Arial" w:hAnsi="Arial"/>
                <w:sz w:val="30"/>
                <w:szCs w:val="30"/>
                <w:b w:val="1"/>
                <w:bCs w:val="1"/>
                <w:color w:val="auto"/>
                <w:w w:val="95"/>
                <w:vertAlign w:val="superscript"/>
              </w:rPr>
              <w:t>(1)</w:t>
            </w:r>
          </w:p>
        </w:tc>
        <w:tc>
          <w:tcPr>
            <w:tcW w:w="140" w:type="dxa"/>
            <w:vAlign w:val="bottom"/>
          </w:tcPr>
          <w:p>
            <w:pPr>
              <w:spacing w:after="0"/>
              <w:rPr>
                <w:sz w:val="23"/>
                <w:szCs w:val="2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Notes</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115,207</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115,207</w:t>
            </w:r>
          </w:p>
        </w:tc>
        <w:tc>
          <w:tcPr>
            <w:tcW w:w="2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43,979</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43,979</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331,444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115,207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1"/>
        </w:trPr>
        <w:tc>
          <w:tcPr>
            <w:tcW w:w="3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500"/>
              <w:spacing w:after="0" w:line="271" w:lineRule="exact"/>
              <w:rPr>
                <w:sz w:val="20"/>
                <w:szCs w:val="20"/>
                <w:color w:val="auto"/>
              </w:rPr>
            </w:pPr>
            <w:r>
              <w:rPr>
                <w:rFonts w:ascii="Arial" w:cs="Arial" w:eastAsia="Arial" w:hAnsi="Arial"/>
                <w:sz w:val="18"/>
                <w:szCs w:val="18"/>
                <w:b w:val="1"/>
                <w:bCs w:val="1"/>
                <w:color w:val="auto"/>
                <w:w w:val="95"/>
              </w:rPr>
              <w:t xml:space="preserve">Value </w:t>
            </w:r>
            <w:r>
              <w:rPr>
                <w:rFonts w:ascii="Arial" w:cs="Arial" w:eastAsia="Arial" w:hAnsi="Arial"/>
                <w:sz w:val="30"/>
                <w:szCs w:val="30"/>
                <w:b w:val="1"/>
                <w:bCs w:val="1"/>
                <w:color w:val="auto"/>
                <w:w w:val="95"/>
                <w:vertAlign w:val="superscript"/>
              </w:rPr>
              <w:t>(1)</w:t>
            </w:r>
          </w:p>
        </w:tc>
        <w:tc>
          <w:tcPr>
            <w:tcW w:w="140" w:type="dxa"/>
            <w:vAlign w:val="bottom"/>
          </w:tcPr>
          <w:p>
            <w:pPr>
              <w:spacing w:after="0"/>
              <w:rPr>
                <w:sz w:val="23"/>
                <w:szCs w:val="2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175,581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Notes</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115,888</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115,888</w:t>
            </w:r>
          </w:p>
        </w:tc>
        <w:tc>
          <w:tcPr>
            <w:tcW w:w="2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43,927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43,927</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335,396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32" w:name="page33"/>
    <w:bookmarkEnd w:id="32"/>
    <w:p>
      <w:pPr>
        <w:ind w:right="180" w:firstLine="881"/>
        <w:spacing w:after="0" w:line="264"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estimated fair value of the Notes was based on the closing price as of the measurement date as the Notes are traded on the New York Stock Exchange under the ticker “CLA.”</w:t>
      </w:r>
    </w:p>
    <w:p>
      <w:pPr>
        <w:spacing w:after="0" w:line="181"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estimated fair value of the Company’s Credit Facility was based on future contractual cash payments discounted at estimated market interest rates for similar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by a majority of our non-interested directors, at an in-person meeting, on August 4, 2016.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such changes;</w:t>
      </w:r>
    </w:p>
    <w:p>
      <w:pPr>
        <w:spacing w:after="0" w:line="236" w:lineRule="exact"/>
        <w:rPr>
          <w:rFonts w:ascii="Arial" w:cs="Arial" w:eastAsia="Arial" w:hAnsi="Arial"/>
          <w:sz w:val="17"/>
          <w:szCs w:val="17"/>
          <w:color w:val="auto"/>
        </w:rPr>
      </w:pPr>
    </w:p>
    <w:p>
      <w:pPr>
        <w:ind w:left="520" w:right="660" w:hanging="188"/>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240" w:firstLine="881"/>
        <w:spacing w:after="0" w:line="276"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3"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ind w:right="100" w:firstLine="881"/>
        <w:spacing w:after="0" w:line="272"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ind w:left="520" w:hanging="188"/>
        <w:spacing w:after="0" w:line="302"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54" w:lineRule="exact"/>
        <w:rPr>
          <w:rFonts w:ascii="Arial" w:cs="Arial" w:eastAsia="Arial" w:hAnsi="Arial"/>
          <w:sz w:val="16"/>
          <w:szCs w:val="16"/>
          <w:color w:val="auto"/>
        </w:rPr>
      </w:pPr>
    </w:p>
    <w:p>
      <w:pPr>
        <w:ind w:left="520" w:right="40" w:hanging="188"/>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93"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ind w:right="140" w:firstLine="881"/>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March 31, 2017 and December 31, 2016, the Company had incentive fees payable to the Investment Advisor of $3.9 million and $6.4 million</w:t>
      </w:r>
    </w:p>
    <w:p>
      <w:pPr>
        <w:spacing w:after="0" w:line="165"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For the three months ended March 31, 2017 and 2016, the Company incurred $2.5 million and $2.7 million in base management fees, respectively. The Company incurred $1.3 million and $1.7 million in incentive fees related to pre-incentive fee net investment income for the three months ended March 31, 2017 and 2016, respectively. For the three months ended March 31, 2017 and 2016, the Investment Advisor waived incentive fees of $1.0 million and $0.6 million, respectively.</w:t>
      </w:r>
    </w:p>
    <w:p>
      <w:pPr>
        <w:spacing w:after="0" w:line="187" w:lineRule="exact"/>
        <w:rPr>
          <w:sz w:val="20"/>
          <w:szCs w:val="20"/>
          <w:color w:val="auto"/>
        </w:rPr>
      </w:pPr>
    </w:p>
    <w:p>
      <w:pPr>
        <w:ind w:right="160" w:firstLine="881"/>
        <w:spacing w:after="0" w:line="293"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6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4, 2016.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For the three months ended March 31, 2017 and 2016, we paid the Administrator $0.3 million and $0.3 million, respectively, for the Company’s allocable portion of the Administrator’s overhead.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12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ind w:right="420" w:firstLine="881"/>
        <w:spacing w:after="0" w:line="308" w:lineRule="auto"/>
        <w:rPr>
          <w:sz w:val="20"/>
          <w:szCs w:val="20"/>
          <w:color w:val="auto"/>
        </w:rPr>
      </w:pPr>
      <w:r>
        <w:rPr>
          <w:rFonts w:ascii="Arial" w:cs="Arial" w:eastAsia="Arial" w:hAnsi="Arial"/>
          <w:sz w:val="17"/>
          <w:szCs w:val="17"/>
          <w:color w:val="auto"/>
        </w:rPr>
        <w:t>At March 31, 2017 and December 31, 2016, the Company had the following receivables from (payables to) related parties relating to certain management fees, incentive fees, reimbursable expenses, and other payments owed to related parties (dollars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March 31, 2017</w:t>
            </w: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 2016</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CapitalSouth Partners Florida Sidecar Fund II, L.P.</w:t>
            </w:r>
          </w:p>
        </w:tc>
        <w:tc>
          <w:tcPr>
            <w:tcW w:w="4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(3,887)</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(6,426)</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“Management and incentive fee payable” and “Due to related parties.”</w:t>
      </w:r>
    </w:p>
    <w:p>
      <w:pPr>
        <w:spacing w:after="0" w:line="170"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 See Note 4 for a further description of this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80" w:firstLine="881"/>
        <w:spacing w:after="0" w:line="270" w:lineRule="auto"/>
        <w:rPr>
          <w:sz w:val="20"/>
          <w:szCs w:val="20"/>
          <w:color w:val="auto"/>
        </w:rPr>
      </w:pPr>
      <w:r>
        <w:rPr>
          <w:rFonts w:ascii="Arial" w:cs="Arial" w:eastAsia="Arial" w:hAnsi="Arial"/>
          <w:sz w:val="17"/>
          <w:szCs w:val="17"/>
          <w:color w:val="auto"/>
        </w:rPr>
        <w:t>The Company, through its two wholly owned subsidiaries, uses debenture leverage provided through the SBA to fund a portion of its investment portfolio. As of March 31, 2017 and December 31, 2016, the Company has $170.7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March 31, 2017 and December 31, 2016, Fund II and Fund III had total assets of approximately $352.0 million and $349.4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2"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For the three months ended March 31, 2017 and 2016, we recorded $1.6 million and $1.8 million, respectively, in interest expense and annual charges and $0.2 million and $0.2 million, respectively, of amortization of deferred financing costs related to SBA-guaranteed debentures. The weighted average interest rate for all SBA-guaranteed debentures as of March 31, 2017 and December 31, 2016 was 3.29%. In addition to the stated interest rate, the SBA also charges an annual fee on all SBA-guaranteed debentures issued, which is included in the Company’s interest expense. The weighted average annual fee for all SBA-guaranteed debentures as of March 31, 2017 and December 31, 2016 was 0.43%.</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March 31, 2017 and December 31, 2016, the Company’s issued and outstanding SBA-guaranteed debentures mature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Fixed Maturity Date</w:t>
            </w:r>
          </w:p>
        </w:tc>
        <w:tc>
          <w:tcPr>
            <w:tcW w:w="120" w:type="dxa"/>
            <w:vAlign w:val="bottom"/>
          </w:tcPr>
          <w:p>
            <w:pPr>
              <w:spacing w:after="0"/>
              <w:rPr>
                <w:sz w:val="20"/>
                <w:szCs w:val="20"/>
                <w:color w:val="auto"/>
              </w:rPr>
            </w:pPr>
          </w:p>
        </w:tc>
        <w:tc>
          <w:tcPr>
            <w:tcW w:w="1200" w:type="dxa"/>
            <w:vAlign w:val="bottom"/>
          </w:tcPr>
          <w:p>
            <w:pPr>
              <w:ind w:left="100"/>
              <w:spacing w:after="0"/>
              <w:rPr>
                <w:sz w:val="20"/>
                <w:szCs w:val="20"/>
                <w:color w:val="auto"/>
              </w:rPr>
            </w:pPr>
            <w:r>
              <w:rPr>
                <w:rFonts w:ascii="Arial" w:cs="Arial" w:eastAsia="Arial" w:hAnsi="Arial"/>
                <w:sz w:val="18"/>
                <w:szCs w:val="18"/>
                <w:b w:val="1"/>
                <w:bCs w:val="1"/>
                <w:color w:val="auto"/>
                <w:w w:val="99"/>
              </w:rPr>
              <w:t>Interest Rate</w:t>
            </w:r>
          </w:p>
        </w:tc>
        <w:tc>
          <w:tcPr>
            <w:tcW w:w="28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SBA Annual Charge</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2017</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March 1, 2019</w:t>
            </w:r>
          </w:p>
        </w:tc>
        <w:tc>
          <w:tcPr>
            <w:tcW w:w="12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w:t>
            </w:r>
          </w:p>
        </w:tc>
        <w:tc>
          <w:tcPr>
            <w:tcW w:w="1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September 1, 2020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19,000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15,700</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38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4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On June 16,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was payable quarterly beginning September 16, 2014.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35" w:name="page36"/>
    <w:bookmarkEnd w:id="35"/>
    <w:p>
      <w:pPr>
        <w:jc w:val="both"/>
        <w:ind w:right="80" w:firstLine="881"/>
        <w:spacing w:after="0" w:line="264" w:lineRule="auto"/>
        <w:rPr>
          <w:sz w:val="20"/>
          <w:szCs w:val="20"/>
          <w:color w:val="auto"/>
        </w:rPr>
      </w:pPr>
      <w:r>
        <w:rPr>
          <w:rFonts w:ascii="Arial" w:cs="Arial" w:eastAsia="Arial" w:hAnsi="Arial"/>
          <w:sz w:val="18"/>
          <w:szCs w:val="18"/>
          <w:color w:val="auto"/>
        </w:rPr>
        <w:t>For the three months ended March 31, 2017, the Company recorded $2.0 million of interest expense and $0.1 million of amortization of deferred financing costs related to the Notes. For the three months ended March 31, 2016, the Company recorded $2.0 million of interest expense and $0.1 million of amortization of deferred financing costs related to the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20" w:firstLine="881"/>
        <w:spacing w:after="0" w:line="286"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currently provides for borrowings up to $120.0 million and may be increased up to $150.0 million pursuant to its “accordion” feature. The Credit Facility matures on October 17, 2018.</w:t>
      </w:r>
    </w:p>
    <w:p>
      <w:pPr>
        <w:spacing w:after="0" w:line="166"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As of March 31, 2017 and December 31, 2016, the Company had $44.0 million outstanding under the Credit Facility. For the three months ended March 31, 2017, the Company recorded $0.4 million of interest expense, $0.2 million of amortization of deferred financing costs, and $0.1 million of unused commitment fees related to the Credit Facility. For the three months ended March 31, 2016, the Company recorded $0.6 million of interest expense, $0.2 million of amortization of deferred financing costs, and $0.1 million of unused commitment fees related to the Credit Facility.</w:t>
      </w:r>
    </w:p>
    <w:p>
      <w:pPr>
        <w:spacing w:after="0" w:line="171" w:lineRule="exact"/>
        <w:rPr>
          <w:sz w:val="20"/>
          <w:szCs w:val="20"/>
          <w:color w:val="auto"/>
        </w:rPr>
      </w:pPr>
    </w:p>
    <w:p>
      <w:pPr>
        <w:ind w:right="220" w:firstLine="881"/>
        <w:spacing w:after="0" w:line="257"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had a fair value of $227.6 million at March 31, 2017. As part of the terms of the Credit Facility, the Company may not make cash distributions with respect to any taxable year that exceed 110% (125% if the Company is not in default and its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ind w:right="80" w:firstLine="881"/>
        <w:spacing w:after="0" w:line="273"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2017 and 2016, the Company recognized director fee expense of $0.1 million.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March 31, 2017 and December 31, 2016, and for the three months ended March 31, 2017 and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25" w:lineRule="exact"/>
        <w:rPr>
          <w:sz w:val="20"/>
          <w:szCs w:val="20"/>
          <w:color w:val="auto"/>
        </w:rPr>
      </w:pPr>
    </w:p>
    <w:p>
      <w:pPr>
        <w:ind w:right="60" w:firstLine="881"/>
        <w:spacing w:after="0" w:line="302"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U.S. Print Direction, Inc. also provides warehousing and distribution services for these customers. The income (loss) the Company generated from Print Direction, Inc., which includes all interest, dividends, PIK interest and dividends, fees, and unrealized appreciation (depreciation), was $(2.1) million and $(0.5) million for the three months ended March 31, 2017 and March 31, 2016, respectively.</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$0.4 million and $0.6 million for the three months ended March 31, 2017 and March 31,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25"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On-Site Fuel Service, Inc. is a 100% owned subsidiary of On-Site Fuel Holdings, Inc., which was incorporated in Delaware on December 19, 2011. On-Site Fuel Service, Inc. provides fueling services for commercial and government vehicle fleets throughout the southeast U.S. The income (loss) the Company generated from On-Site Fuel Service, Inc., which includes all interest, dividends, PIK interest and dividends, fees, and unrealized appreciation (depreciation), was $0.0 million and $(1.0) million for the three months ended March 31, 2017 and March 31,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225"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CableOrganizer Holdings, LLC, a Delaware limited liability company that began operations on April 23, 2013, is a leading online provider of cable and wire management products. The income the Company generated from CableOrganizer Holdings, LLC, which includes all interest, dividends, PIK interest and dividends, fees, and unrealized appreciation (depreciation), was $0.2 million and $0.5 million for the three months ended March 31, 2017 and March 31,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$1.7 million and $6.2 million for the three months ended March 31, 2017 and March 31, 2016, respectively.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14,580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Print Direction, Inc.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8"/>
                <w:szCs w:val="18"/>
                <w:b w:val="1"/>
                <w:bCs w:val="1"/>
                <w:color w:val="auto"/>
                <w:w w:val="88"/>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Navis Holdings, Inc.</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Noncurrent assets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40" w:type="dxa"/>
            <w:vAlign w:val="bottom"/>
            <w:gridSpan w:val="3"/>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7,017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640" w:type="dxa"/>
            <w:vAlign w:val="bottom"/>
            <w:gridSpan w:val="3"/>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17" w:gutter="0" w:footer="0" w:header="0"/>
        </w:sectPr>
      </w:pPr>
    </w:p>
    <w:bookmarkStart w:id="37" w:name="page38"/>
    <w:bookmarkEnd w:id="3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Navis Holdings, Inc.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20,144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12,130</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27,233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35,400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CableOrganizer Holdings, LLC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12,003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660"/>
              <w:spacing w:after="0"/>
              <w:rPr>
                <w:sz w:val="20"/>
                <w:szCs w:val="20"/>
                <w:color w:val="auto"/>
              </w:rPr>
            </w:pPr>
            <w:r>
              <w:rPr>
                <w:rFonts w:ascii="Arial" w:cs="Arial" w:eastAsia="Arial" w:hAnsi="Arial"/>
                <w:sz w:val="18"/>
                <w:szCs w:val="18"/>
                <w:b w:val="1"/>
                <w:bCs w:val="1"/>
                <w:color w:val="auto"/>
                <w:w w:val="94"/>
              </w:rPr>
              <w:t>Statements of Operations – CableOrganizer Holdings, LLC</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0"/>
              </w:rPr>
              <w:t>March 31, 2017</w:t>
            </w:r>
          </w:p>
        </w:tc>
        <w:tc>
          <w:tcPr>
            <w:tcW w:w="12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520" w:type="dxa"/>
            <w:vAlign w:val="bottom"/>
            <w:vMerge w:val="restart"/>
          </w:tcPr>
          <w:p>
            <w:pPr>
              <w:jc w:val="right"/>
              <w:ind w:right="20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8" w:name="page39"/>
    <w:bookmarkEnd w:id="38"/>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8"/>
                <w:szCs w:val="18"/>
                <w:b w:val="1"/>
                <w:bCs w:val="1"/>
                <w:color w:val="auto"/>
                <w:w w:val="84"/>
              </w:rPr>
              <w:t>As of</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Eastport Holdings, LLC</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2"/>
              </w:rPr>
              <w:t>March 31, 2017</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148,742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154,337</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49,484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47,073</w:t>
            </w:r>
          </w:p>
        </w:tc>
        <w:tc>
          <w:tcPr>
            <w:tcW w:w="7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148,561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113,509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33,836</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In accordance with the provisions of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March 31, 2017 and March 31, 2016, there were no dilutive shares.</w:t>
      </w:r>
    </w:p>
    <w:p>
      <w:pPr>
        <w:spacing w:after="0" w:line="187" w:lineRule="exact"/>
        <w:rPr>
          <w:sz w:val="20"/>
          <w:szCs w:val="20"/>
          <w:color w:val="auto"/>
        </w:rPr>
      </w:pPr>
    </w:p>
    <w:p>
      <w:pPr>
        <w:ind w:right="360" w:firstLine="881"/>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(decrease) in net assets per share from operations for the three months ended March 31, 2017 and March 31, 2016 (dollars in thousands, except share and per share data):</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w:t>
            </w:r>
          </w:p>
        </w:tc>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March 31, 2017</w:t>
            </w:r>
          </w:p>
        </w:tc>
        <w:tc>
          <w:tcPr>
            <w:tcW w:w="12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tcPr>
          <w:p>
            <w:pPr>
              <w:spacing w:after="0"/>
              <w:rPr>
                <w:sz w:val="19"/>
                <w:szCs w:val="19"/>
                <w:color w:val="auto"/>
              </w:rPr>
            </w:pP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15,873,655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15,785,943</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per share from operations – basic and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Company’s distributions are recorded as payable on the declaration date. Shareholders have the option to receive payment of the distribution in cash, shares of common stock, or a combination of cash and common stock.</w:t>
      </w:r>
    </w:p>
    <w:p>
      <w:pPr>
        <w:spacing w:after="0" w:line="170"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2017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DRIP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DRIP</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4"/>
        </w:trPr>
        <w:tc>
          <w:tcPr>
            <w:tcW w:w="2640" w:type="dxa"/>
            <w:vAlign w:val="bottom"/>
            <w:gridSpan w:val="2"/>
          </w:tcPr>
          <w:p>
            <w:pPr>
              <w:ind w:left="720"/>
              <w:spacing w:after="0"/>
              <w:rPr>
                <w:sz w:val="20"/>
                <w:szCs w:val="20"/>
                <w:color w:val="auto"/>
              </w:rPr>
            </w:pPr>
            <w:r>
              <w:rPr>
                <w:rFonts w:ascii="Arial" w:cs="Arial" w:eastAsia="Arial" w:hAnsi="Arial"/>
                <w:sz w:val="18"/>
                <w:szCs w:val="18"/>
                <w:b w:val="1"/>
                <w:bCs w:val="1"/>
                <w:color w:val="auto"/>
              </w:rPr>
              <w:t>Date Declared</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840" w:type="dxa"/>
            <w:vAlign w:val="bottom"/>
          </w:tcPr>
          <w:p>
            <w:pPr>
              <w:ind w:left="38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1840" w:type="dxa"/>
            <w:vAlign w:val="bottom"/>
          </w:tcPr>
          <w:p>
            <w:pPr>
              <w:spacing w:after="0"/>
              <w:rPr>
                <w:sz w:val="20"/>
                <w:szCs w:val="20"/>
                <w:color w:val="auto"/>
              </w:rPr>
            </w:pPr>
            <w:r>
              <w:rPr>
                <w:rFonts w:ascii="Arial" w:cs="Arial" w:eastAsia="Arial" w:hAnsi="Arial"/>
                <w:sz w:val="18"/>
                <w:szCs w:val="18"/>
                <w:color w:val="auto"/>
              </w:rPr>
              <w:t>February 20, 2017</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February 27,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1,993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23, 2017</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30, 2017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2"/>
        </w:trPr>
        <w:tc>
          <w:tcPr>
            <w:tcW w:w="26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Distributions Declared</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and Distributed</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5,984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15,447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60" w:type="dxa"/>
            <w:vAlign w:val="bottom"/>
            <w:gridSpan w:val="2"/>
            <w:vMerge w:val="restart"/>
          </w:tcPr>
          <w:p>
            <w:pPr>
              <w:jc w:val="right"/>
              <w:ind w:right="5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9" w:name="page40"/>
    <w:bookmarkEnd w:id="39"/>
    <w:p>
      <w:pPr>
        <w:ind w:right="20" w:firstLine="881"/>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2016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18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1960" w:type="dxa"/>
            <w:vAlign w:val="bottom"/>
            <w:gridSpan w:val="2"/>
          </w:tcPr>
          <w:p>
            <w:pPr>
              <w:ind w:left="12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28, 2016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1840" w:type="dxa"/>
            <w:vAlign w:val="bottom"/>
          </w:tcPr>
          <w:p>
            <w:pPr>
              <w:spacing w:after="0"/>
              <w:rPr>
                <w:sz w:val="20"/>
                <w:szCs w:val="20"/>
                <w:color w:val="auto"/>
              </w:rPr>
            </w:pPr>
            <w:r>
              <w:rPr>
                <w:rFonts w:ascii="Arial" w:cs="Arial" w:eastAsia="Arial" w:hAnsi="Arial"/>
                <w:sz w:val="18"/>
                <w:szCs w:val="18"/>
                <w:color w:val="auto"/>
              </w:rPr>
              <w:t>February 19, 2016</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3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22, 2016</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30, 2016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r>
      <w:tr>
        <w:trPr>
          <w:trHeight w:val="182"/>
        </w:trPr>
        <w:tc>
          <w:tcPr>
            <w:tcW w:w="26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Distributions Declared</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and Distributed</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22,290</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2"/>
                <w:szCs w:val="2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2017 and 2016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2017</w:t>
            </w:r>
          </w:p>
        </w:tc>
        <w:tc>
          <w:tcPr>
            <w:tcW w:w="6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March 31, 2016</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17.04</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(1)</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 xml:space="preserve">Net realized gain (loss) on investments </w:t>
            </w:r>
            <w:r>
              <w:rPr>
                <w:rFonts w:ascii="Arial" w:cs="Arial" w:eastAsia="Arial" w:hAnsi="Arial"/>
                <w:sz w:val="29"/>
                <w:szCs w:val="29"/>
                <w:color w:val="auto"/>
                <w:vertAlign w:val="superscript"/>
              </w:rPr>
              <w:t>(1)</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depreciation on investments</w:t>
            </w:r>
            <w:r>
              <w:rPr>
                <w:rFonts w:ascii="Arial" w:cs="Arial" w:eastAsia="Arial" w:hAnsi="Arial"/>
                <w:sz w:val="29"/>
                <w:szCs w:val="29"/>
                <w:color w:val="auto"/>
                <w:vertAlign w:val="superscript"/>
              </w:rPr>
              <w:t>(1)</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Net unrealized depreciation on Written Call Option</w:t>
            </w:r>
            <w:r>
              <w:rPr>
                <w:rFonts w:ascii="Arial" w:cs="Arial" w:eastAsia="Arial" w:hAnsi="Arial"/>
                <w:sz w:val="29"/>
                <w:szCs w:val="29"/>
                <w:color w:val="auto"/>
                <w:vertAlign w:val="superscript"/>
              </w:rPr>
              <w:t>(1)</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from net investment income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70"/>
        </w:trPr>
        <w:tc>
          <w:tcPr>
            <w:tcW w:w="7060" w:type="dxa"/>
            <w:vAlign w:val="bottom"/>
          </w:tcPr>
          <w:p>
            <w:pPr>
              <w:spacing w:after="0" w:line="26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30"/>
                <w:szCs w:val="30"/>
                <w:color w:val="auto"/>
                <w:vertAlign w:val="superscript"/>
              </w:rPr>
              <w:t>(7)</w:t>
            </w: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249,479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257,419</w:t>
            </w: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15,883,492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15,799,635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9"/>
                <w:szCs w:val="29"/>
                <w:color w:val="auto"/>
                <w:vertAlign w:val="superscript"/>
              </w:rPr>
              <w:t>(2)</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29"/>
                <w:szCs w:val="29"/>
                <w:color w:val="auto"/>
                <w:vertAlign w:val="superscript"/>
              </w:rPr>
              <w:t>(9)</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 xml:space="preserve">Ratio of incentive fee, net of incentive fee waiver, to average net assets </w:t>
            </w:r>
            <w:r>
              <w:rPr>
                <w:rFonts w:ascii="Arial" w:cs="Arial" w:eastAsia="Arial" w:hAnsi="Arial"/>
                <w:sz w:val="29"/>
                <w:szCs w:val="29"/>
                <w:color w:val="auto"/>
                <w:vertAlign w:val="superscript"/>
              </w:rPr>
              <w:t>(6)(10)</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debt related expenses to average net assets </w:t>
            </w:r>
            <w:r>
              <w:rPr>
                <w:rFonts w:ascii="Arial" w:cs="Arial" w:eastAsia="Arial" w:hAnsi="Arial"/>
                <w:sz w:val="29"/>
                <w:szCs w:val="29"/>
                <w:color w:val="auto"/>
                <w:vertAlign w:val="superscript"/>
              </w:rPr>
              <w:t>(8)</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 xml:space="preserve">Ratio of other operating expenses, to average net assets </w:t>
            </w:r>
            <w:r>
              <w:rPr>
                <w:rFonts w:ascii="Arial" w:cs="Arial" w:eastAsia="Arial" w:hAnsi="Arial"/>
                <w:sz w:val="29"/>
                <w:szCs w:val="29"/>
                <w:color w:val="auto"/>
                <w:vertAlign w:val="superscript"/>
              </w:rPr>
              <w:t>(8)</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total expenses, net of fee waivers to average net assets </w:t>
            </w:r>
            <w:r>
              <w:rPr>
                <w:rFonts w:ascii="Arial" w:cs="Arial" w:eastAsia="Arial" w:hAnsi="Arial"/>
                <w:sz w:val="29"/>
                <w:szCs w:val="29"/>
                <w:color w:val="auto"/>
                <w:vertAlign w:val="superscript"/>
              </w:rPr>
              <w:t>(6)(9)</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13.56%</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 xml:space="preserve">Portfolio turnover rate </w:t>
            </w:r>
            <w:r>
              <w:rPr>
                <w:rFonts w:ascii="Arial" w:cs="Arial" w:eastAsia="Arial" w:hAnsi="Arial"/>
                <w:sz w:val="29"/>
                <w:szCs w:val="29"/>
                <w:color w:val="auto"/>
                <w:vertAlign w:val="superscript"/>
              </w:rPr>
              <w:t>(3)</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29"/>
                <w:szCs w:val="29"/>
                <w:color w:val="auto"/>
                <w:vertAlign w:val="superscript"/>
              </w:rPr>
              <w:t>(4)</w:t>
            </w:r>
          </w:p>
        </w:tc>
        <w:tc>
          <w:tcPr>
            <w:tcW w:w="1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368,143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23.30</w:t>
            </w:r>
          </w:p>
        </w:tc>
      </w:tr>
      <w:tr>
        <w:trPr>
          <w:trHeight w:val="257"/>
        </w:trPr>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Asset coverage ratio per unit </w:t>
            </w:r>
            <w:r>
              <w:rPr>
                <w:rFonts w:ascii="Arial" w:cs="Arial" w:eastAsia="Arial" w:hAnsi="Arial"/>
                <w:sz w:val="29"/>
                <w:szCs w:val="29"/>
                <w:color w:val="auto"/>
                <w:vertAlign w:val="superscript"/>
              </w:rPr>
              <w:t>(5)</w:t>
            </w:r>
          </w:p>
        </w:tc>
        <w:tc>
          <w:tcPr>
            <w:tcW w:w="1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2,381</w:t>
            </w: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ind w:left="340" w:right="200" w:hanging="332"/>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2017 and March 31, 2016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ratio of waived incentive fees to average net assets was 0.38% and 0.23% for the three months ended March 31, 2017 and March 31, 2016.</w:t>
      </w:r>
    </w:p>
    <w:p>
      <w:pPr>
        <w:spacing w:after="0" w:line="20" w:lineRule="exact"/>
        <w:rPr>
          <w:rFonts w:ascii="Arial" w:cs="Arial" w:eastAsia="Arial" w:hAnsi="Arial"/>
          <w:sz w:val="17"/>
          <w:szCs w:val="17"/>
          <w:color w:val="auto"/>
        </w:rPr>
      </w:pPr>
    </w:p>
    <w:p>
      <w:pPr>
        <w:ind w:left="340" w:right="540" w:hanging="332"/>
        <w:spacing w:after="0" w:line="32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Ratios are annualized. Incentive fees, net of incentive fee waiver, included within the ratio are not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right="140" w:firstLine="891"/>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April 3, 2017, the Company’s Board declared normal monthly distributions for April, May, and June of 2017 as set forth below:</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40" w:type="dxa"/>
            <w:vAlign w:val="bottom"/>
            <w:gridSpan w:val="2"/>
          </w:tcPr>
          <w:p>
            <w:pPr>
              <w:ind w:left="760"/>
              <w:spacing w:after="0"/>
              <w:rPr>
                <w:sz w:val="20"/>
                <w:szCs w:val="20"/>
                <w:color w:val="auto"/>
              </w:rPr>
            </w:pPr>
            <w:r>
              <w:rPr>
                <w:rFonts w:ascii="Arial" w:cs="Arial" w:eastAsia="Arial" w:hAnsi="Arial"/>
                <w:sz w:val="18"/>
                <w:szCs w:val="18"/>
                <w:b w:val="1"/>
                <w:bCs w:val="1"/>
                <w:color w:val="auto"/>
              </w:rPr>
              <w:t>Date Declared</w:t>
            </w:r>
          </w:p>
        </w:tc>
        <w:tc>
          <w:tcPr>
            <w:tcW w:w="2520" w:type="dxa"/>
            <w:vAlign w:val="bottom"/>
          </w:tcPr>
          <w:p>
            <w:pPr>
              <w:ind w:left="78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2640" w:type="dxa"/>
            <w:vAlign w:val="bottom"/>
            <w:gridSpan w:val="2"/>
          </w:tcPr>
          <w:p>
            <w:pPr>
              <w:ind w:left="720"/>
              <w:spacing w:after="0"/>
              <w:rPr>
                <w:sz w:val="20"/>
                <w:szCs w:val="20"/>
                <w:color w:val="auto"/>
              </w:rPr>
            </w:pPr>
            <w:r>
              <w:rPr>
                <w:rFonts w:ascii="Arial" w:cs="Arial" w:eastAsia="Arial" w:hAnsi="Arial"/>
                <w:sz w:val="18"/>
                <w:szCs w:val="18"/>
                <w:b w:val="1"/>
                <w:bCs w:val="1"/>
                <w:color w:val="auto"/>
              </w:rPr>
              <w:t>Payment Date</w:t>
            </w:r>
          </w:p>
        </w:tc>
        <w:tc>
          <w:tcPr>
            <w:tcW w:w="20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3, 2017</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27, 2017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520" w:type="dxa"/>
            <w:vAlign w:val="bottom"/>
          </w:tcPr>
          <w:p>
            <w:pPr>
              <w:spacing w:after="0"/>
              <w:rPr>
                <w:sz w:val="20"/>
                <w:szCs w:val="20"/>
                <w:color w:val="auto"/>
              </w:rPr>
            </w:pPr>
            <w:r>
              <w:rPr>
                <w:rFonts w:ascii="Arial" w:cs="Arial" w:eastAsia="Arial" w:hAnsi="Arial"/>
                <w:sz w:val="18"/>
                <w:szCs w:val="18"/>
                <w:color w:val="auto"/>
              </w:rPr>
              <w:t>May 23, 2017</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May 29,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June 21, 2017</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June 29, 2017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On April 26, 2017, the Company received $15.0 million for its second lien debt investment in Nielsen &amp; Bainbridge, LLC, repaid at par.</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May 1, 2017, the Company received $5.5 million for its equity investment in MJC Holdings, LLC, resulting in a realized gain of $4.5 million.</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jc w:val="both"/>
        <w:ind w:right="620" w:firstLine="881"/>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960" w:right="40" w:hanging="331"/>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960" w:hanging="331"/>
        <w:spacing w:after="0"/>
        <w:tabs>
          <w:tab w:leader="none" w:pos="1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“Risk Factors” and elsewhere in our Annual Report on Form 10-K.</w:t>
      </w:r>
    </w:p>
    <w:p>
      <w:pPr>
        <w:spacing w:after="0" w:line="237" w:lineRule="exact"/>
        <w:rPr>
          <w:sz w:val="20"/>
          <w:szCs w:val="20"/>
          <w:color w:val="auto"/>
        </w:rPr>
      </w:pPr>
    </w:p>
    <w:p>
      <w:pPr>
        <w:ind w:right="80" w:firstLine="881"/>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73"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$4.5 million and $30 million in trailing twelve month earnings before interest, tax, depreciation, and amortization (“EBITDA”).</w:t>
      </w:r>
    </w:p>
    <w:p>
      <w:pPr>
        <w:spacing w:after="0" w:line="171"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We invest in first lien, second lien, and subordinated loans. Most of our debt investments are coupled with equity interests, whether in the form of detachable “penny” warrants or equity co-investments made pari-passu with our borrowers’ financial sponsors.</w:t>
      </w:r>
    </w:p>
    <w:p>
      <w:pPr>
        <w:spacing w:after="0" w:line="170" w:lineRule="exact"/>
        <w:rPr>
          <w:sz w:val="20"/>
          <w:szCs w:val="20"/>
          <w:color w:val="auto"/>
        </w:rPr>
      </w:pPr>
    </w:p>
    <w:p>
      <w:pPr>
        <w:ind w:right="40" w:firstLine="881"/>
        <w:spacing w:after="0" w:line="272"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middle-market companies.</w:t>
      </w:r>
    </w:p>
    <w:p>
      <w:pPr>
        <w:spacing w:after="0" w:line="178"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78"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regulated as BDCs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w:t>
      </w:r>
      <w:r>
        <w:rPr>
          <w:rFonts w:ascii="Arial" w:cs="Arial" w:eastAsia="Arial" w:hAnsi="Arial"/>
          <w:sz w:val="18"/>
          <w:szCs w:val="18"/>
          <w:i w:val="1"/>
          <w:iCs w:val="1"/>
          <w:color w:val="auto"/>
        </w:rPr>
        <w:t>– Financial Services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946”).</w:t>
      </w:r>
    </w:p>
    <w:p>
      <w:pPr>
        <w:spacing w:after="0" w:line="170"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as described in the Formation Transactions above.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ind w:right="120" w:firstLine="881"/>
        <w:spacing w:after="0" w:line="302" w:lineRule="auto"/>
        <w:rPr>
          <w:sz w:val="20"/>
          <w:szCs w:val="20"/>
          <w:color w:val="auto"/>
        </w:rPr>
      </w:pPr>
      <w:r>
        <w:rPr>
          <w:rFonts w:ascii="Arial" w:cs="Arial" w:eastAsia="Arial" w:hAnsi="Arial"/>
          <w:sz w:val="16"/>
          <w:szCs w:val="16"/>
          <w:color w:val="auto"/>
        </w:rPr>
        <w:t>The Company’s financial statements as of March 31, 2017 are presented on a consolidated basis. The effects of all intercompany transactions between the Company and its subsidiaries (Fund II, Fund III, and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4" w:lineRule="exact"/>
        <w:rPr>
          <w:sz w:val="20"/>
          <w:szCs w:val="20"/>
          <w:color w:val="auto"/>
        </w:rPr>
      </w:pPr>
    </w:p>
    <w:p>
      <w:pPr>
        <w:ind w:right="160" w:firstLine="881"/>
        <w:spacing w:after="0" w:line="312" w:lineRule="auto"/>
        <w:rPr>
          <w:sz w:val="20"/>
          <w:szCs w:val="20"/>
          <w:color w:val="auto"/>
        </w:rPr>
      </w:pPr>
      <w:r>
        <w:rPr>
          <w:rFonts w:ascii="Arial" w:cs="Arial" w:eastAsia="Arial" w:hAnsi="Arial"/>
          <w:sz w:val="16"/>
          <w:szCs w:val="16"/>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2016, filed with the SEC on March 7,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description of the Company’s investment in CSLLF.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200" w:firstLine="881"/>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44" w:name="page45"/>
    <w:bookmarkEnd w:id="44"/>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340" w:right="2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right="300" w:firstLine="881"/>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 Valuations based on quoted prices in markets that are not active or for which all significant inputs are observable, either directly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indirectly.</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45" w:name="page46"/>
    <w:bookmarkEnd w:id="45"/>
    <w:p>
      <w:pPr>
        <w:ind w:right="360" w:firstLine="881"/>
        <w:spacing w:after="0" w:line="308" w:lineRule="auto"/>
        <w:rPr>
          <w:sz w:val="20"/>
          <w:szCs w:val="20"/>
          <w:color w:val="auto"/>
        </w:rPr>
      </w:pPr>
      <w:r>
        <w:rPr>
          <w:rFonts w:ascii="Arial" w:cs="Arial" w:eastAsia="Arial" w:hAnsi="Arial"/>
          <w:sz w:val="17"/>
          <w:szCs w:val="17"/>
          <w:color w:val="auto"/>
        </w:rPr>
        <w:t>As a practical expedient, the Company used net asset value (“NAV”) as the basis for the fair value of its investment in CSLLF for the periods held. CSLLF recorded its underlying investments at fair value on a daily basis utilizing pricing information from third-party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380" w:firstLine="881"/>
        <w:spacing w:after="0" w:line="342" w:lineRule="auto"/>
        <w:rPr>
          <w:sz w:val="20"/>
          <w:szCs w:val="20"/>
          <w:color w:val="auto"/>
        </w:rPr>
      </w:pPr>
      <w:r>
        <w:rPr>
          <w:rFonts w:ascii="Arial" w:cs="Arial" w:eastAsia="Arial" w:hAnsi="Arial"/>
          <w:sz w:val="16"/>
          <w:szCs w:val="16"/>
          <w:color w:val="auto"/>
        </w:rPr>
        <w:t>The asset approach values an investment based on value or the underlying collateral securing the investment. This approach is used when the Company has reason to believe that it will not collect all principal and interest in accordance with the contractual terms of the debt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when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right="140" w:firstLine="881"/>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60" w:firstLine="881"/>
        <w:spacing w:after="0" w:line="308" w:lineRule="auto"/>
        <w:rPr>
          <w:sz w:val="20"/>
          <w:szCs w:val="20"/>
          <w:color w:val="auto"/>
        </w:rPr>
      </w:pPr>
      <w:r>
        <w:rPr>
          <w:rFonts w:ascii="Arial" w:cs="Arial" w:eastAsia="Arial" w:hAnsi="Arial"/>
          <w:sz w:val="17"/>
          <w:szCs w:val="17"/>
          <w:i w:val="1"/>
          <w:iCs w:val="1"/>
          <w:color w:val="auto"/>
        </w:rPr>
        <w:t xml:space="preserve">Original issue discount/premiums: </w:t>
      </w:r>
      <w:r>
        <w:rPr>
          <w:rFonts w:ascii="Arial" w:cs="Arial" w:eastAsia="Arial" w:hAnsi="Arial"/>
          <w:sz w:val="17"/>
          <w:szCs w:val="17"/>
          <w:color w:val="auto"/>
        </w:rPr>
        <w:t>Discounts/premiums received to par on loans purchased are capitalized and accreted or amortized into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loan. Any remaining discount/premium is accreted or amortized into income upon prepayment of the loan.</w:t>
      </w:r>
    </w:p>
    <w:p>
      <w:pPr>
        <w:spacing w:after="0" w:line="147"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2017 and December 31, 2016,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2017 and December 31, 2016.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220" w:firstLine="881"/>
        <w:spacing w:after="0" w:line="312" w:lineRule="auto"/>
        <w:rPr>
          <w:sz w:val="20"/>
          <w:szCs w:val="20"/>
          <w:color w:val="auto"/>
        </w:rPr>
      </w:pPr>
      <w:r>
        <w:rPr>
          <w:rFonts w:ascii="Arial" w:cs="Arial" w:eastAsia="Arial" w:hAnsi="Arial"/>
          <w:sz w:val="16"/>
          <w:szCs w:val="16"/>
          <w:color w:val="auto"/>
        </w:rPr>
        <w:t>The Company’s activities from commencement of operations remain subject to examination by U.S. federal, state, and local tax authorities. No interest expense or penalties have been assessed as of March 31, 2017 and December 31, 2016. If the Company were required to recognize interest and penalties, if any, related to unrecognized tax benefits this would be recognized as income tax expense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March 31, 2017, our portfolio consisted of investments in 51 portfolio companies with a fair value of approximately $532.5 million.</w:t>
      </w:r>
    </w:p>
    <w:p>
      <w:pPr>
        <w:spacing w:after="0" w:line="237" w:lineRule="exact"/>
        <w:rPr>
          <w:sz w:val="20"/>
          <w:szCs w:val="20"/>
          <w:color w:val="auto"/>
        </w:rPr>
      </w:pPr>
    </w:p>
    <w:p>
      <w:pPr>
        <w:ind w:right="280" w:firstLine="881"/>
        <w:spacing w:after="0" w:line="259" w:lineRule="auto"/>
        <w:rPr>
          <w:sz w:val="20"/>
          <w:szCs w:val="20"/>
          <w:color w:val="auto"/>
        </w:rPr>
      </w:pPr>
      <w:r>
        <w:rPr>
          <w:rFonts w:ascii="Arial" w:cs="Arial" w:eastAsia="Arial" w:hAnsi="Arial"/>
          <w:sz w:val="18"/>
          <w:szCs w:val="18"/>
          <w:color w:val="auto"/>
        </w:rPr>
        <w:t>During the three months ended March 31, 2017, we made approximately $21.7 million of investments and had approximately $33.0 million in repayments and sales of investments resulting in net repayments and sales of approximately $11.3 million for the period. During the three months ended March 31, 2016, we made approximately $27.5 million of investments and had approximately $10.2 million in repayments and sales resulting in net investments of approximately $17.3 million for the period.</w:t>
      </w:r>
    </w:p>
    <w:p>
      <w:pPr>
        <w:spacing w:after="0" w:line="187"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 we received cash consideration of $47.6 million from an affiliated third-party purchaser in exchange for 100% of the partnership interests of FSC II. These assets were sold to FSC II at their June 30, 2016 fair market values, resulting in net realized gain of $0.1 million. Our Board pre-approved this transaction pursuant to Section 57(f) of the 1940 Act.</w:t>
      </w:r>
    </w:p>
    <w:p>
      <w:pPr>
        <w:spacing w:after="0" w:line="173" w:lineRule="exact"/>
        <w:rPr>
          <w:sz w:val="20"/>
          <w:szCs w:val="20"/>
          <w:color w:val="auto"/>
        </w:rPr>
      </w:pPr>
    </w:p>
    <w:p>
      <w:pPr>
        <w:ind w:right="20" w:firstLine="891"/>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$4.2 million as of March 31, 2017.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March 31, 2017 was determined to be insignificant. The Written Call Option is classified as a Level 3 financial instrument.</w:t>
      </w:r>
    </w:p>
    <w:p>
      <w:pPr>
        <w:spacing w:after="0" w:line="165" w:lineRule="exact"/>
        <w:rPr>
          <w:sz w:val="20"/>
          <w:szCs w:val="20"/>
          <w:color w:val="auto"/>
        </w:rPr>
      </w:pPr>
    </w:p>
    <w:p>
      <w:pPr>
        <w:ind w:right="40" w:firstLine="891"/>
        <w:spacing w:after="0" w:line="257" w:lineRule="auto"/>
        <w:rPr>
          <w:sz w:val="20"/>
          <w:szCs w:val="20"/>
          <w:color w:val="auto"/>
        </w:rPr>
      </w:pPr>
      <w:r>
        <w:rPr>
          <w:rFonts w:ascii="Arial" w:cs="Arial" w:eastAsia="Arial" w:hAnsi="Arial"/>
          <w:sz w:val="18"/>
          <w:szCs w:val="18"/>
          <w:color w:val="auto"/>
        </w:rPr>
        <w:t>As of March 31, 2017, our average portfolio company investment and our largest portfolio company investment at amortized cost and fair value was approximately $10.0 million and $10.4 million, and $21.7 million and $34.6 million, respectively. As of March 31, 2017, the Company had approximately $40.6 million of cash and cash equivalents. As of December 31, 2016, our average portfolio company investment and our largest portfolio company investment at amortized cost and fair value was approximately $9.7 million and $10.2 million, and $22.1 million and $29.9 million, respectively. As of December 31, 2016, the Company had approximately $36.3 million of cash and cash equivalents.</w:t>
      </w:r>
    </w:p>
    <w:p>
      <w:pPr>
        <w:spacing w:after="0" w:line="188" w:lineRule="exact"/>
        <w:rPr>
          <w:sz w:val="20"/>
          <w:szCs w:val="20"/>
          <w:color w:val="auto"/>
        </w:rPr>
      </w:pPr>
    </w:p>
    <w:p>
      <w:pPr>
        <w:ind w:right="100" w:firstLine="891"/>
        <w:spacing w:after="0" w:line="257" w:lineRule="auto"/>
        <w:rPr>
          <w:sz w:val="20"/>
          <w:szCs w:val="20"/>
          <w:color w:val="auto"/>
        </w:rPr>
      </w:pPr>
      <w:r>
        <w:rPr>
          <w:rFonts w:ascii="Arial" w:cs="Arial" w:eastAsia="Arial" w:hAnsi="Arial"/>
          <w:sz w:val="18"/>
          <w:szCs w:val="18"/>
          <w:color w:val="auto"/>
        </w:rPr>
        <w:t>As of March 31, 2017, our debt investment portfolio, which represented 81.2% of our total portfolio, had a weighted average annualized yield of approximately 13.2%, exclusive of the impact of our non-accrual debt investments. As of March 31, 2017, 55.2% of our debt investment portfolio was bearing a fixed rate of interest. As of December 31, 2016, our debt investment portfolio, which represented 82.8% of our total portfolio, had a weighted average annualized yield of approximately 13.2%, exclusive of the impact of our non-accrual debt investments. As of December 31, 2016, 57.1% of our debt investment portfolio was bearing a fixed rate of interest.</w:t>
      </w:r>
    </w:p>
    <w:p>
      <w:pPr>
        <w:spacing w:after="0" w:line="188"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March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37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256,542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235,864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Lien Debt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63,729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60,661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135,714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135,606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and Warrants</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53,301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100,347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17.5</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40,564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40,564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549,850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573,042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41</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8" w:name="page49"/>
    <w:bookmarkEnd w:id="48"/>
    <w:p>
      <w:pPr>
        <w:ind w:right="380" w:firstLine="89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74,559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148,849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45,721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93,346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36,281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550,057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577,920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March 31, 2017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r>
      <w:tr>
        <w:trPr>
          <w:trHeight w:val="191"/>
        </w:trPr>
        <w:tc>
          <w:tcPr>
            <w:tcW w:w="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88"/>
              </w:rPr>
              <w:t>Investments at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Investments at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Total Portfolio</w:t>
            </w:r>
          </w:p>
        </w:tc>
        <w:tc>
          <w:tcPr>
            <w:tcW w:w="160" w:type="dxa"/>
            <w:vAlign w:val="bottom"/>
            <w:tcBorders>
              <w:bottom w:val="single" w:sz="8" w:color="CCEEFF"/>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Financial Services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43,954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25,553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24,273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24,232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Specialty Retail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Consumer Electronics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20,245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20,818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Footwear Retail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Building Products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18,267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18,152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Home Décor Manufacturer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14,670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Bowling Products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13,325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Computer Supply Retail</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Fuel Transportation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10,560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Bakery Supplies Distributor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10,776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Printing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QSR Franchisor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Produce Distribution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Specialty Clothing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25,768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Specialty Defense Contractor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Retail Display &amp; Security Services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In-Home Healthcare Services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Dental Practice Management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Satellite Communications</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Industrial Specialty Services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Entertainment</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89"/>
              </w:rPr>
              <w:t>42</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0" w:gutter="0" w:footer="0" w:header="0"/>
        </w:sectPr>
      </w:pPr>
    </w:p>
    <w:bookmarkStart w:id="49" w:name="page50"/>
    <w:bookmarkEnd w:id="49"/>
    <w:p>
      <w:pPr>
        <w:ind w:firstLine="891"/>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March 31, 2017 and December 31, 2016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2017 and December 31, 2016 (dollars in thousands):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March 31, 2017</w:t>
            </w:r>
          </w:p>
        </w:tc>
        <w:tc>
          <w:tcPr>
            <w:tcW w:w="140" w:type="dxa"/>
            <w:vAlign w:val="bottom"/>
          </w:tcPr>
          <w:p>
            <w:pPr>
              <w:spacing w:after="0"/>
              <w:rPr>
                <w:sz w:val="20"/>
                <w:szCs w:val="20"/>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9"/>
              </w:rPr>
              <w:t>Percentage of</w:t>
            </w:r>
          </w:p>
        </w:tc>
        <w:tc>
          <w:tcPr>
            <w:tcW w:w="24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Investments at</w:t>
            </w: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9"/>
              </w:rPr>
              <w:t>Percentage of</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0"/>
              </w:rPr>
              <w:t>Total Portfolio</w:t>
            </w: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255,747</w:t>
            </w:r>
          </w:p>
        </w:tc>
        <w:tc>
          <w:tcPr>
            <w:tcW w:w="1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257,162</w:t>
            </w:r>
          </w:p>
        </w:tc>
        <w:tc>
          <w:tcPr>
            <w:tcW w:w="20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Midwest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118,743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118,682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99,414</w:t>
            </w: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85,642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47,620</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68,613</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10,954</w:t>
            </w: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532,478</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170"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360"/>
          </w:cols>
          <w:pgMar w:left="240" w:top="908" w:right="299" w:bottom="1440" w:gutter="0" w:footer="0" w:header="0"/>
        </w:sectPr>
      </w:pPr>
    </w:p>
    <w:p>
      <w:pPr>
        <w:spacing w:after="0" w:line="221" w:lineRule="exact"/>
        <w:rPr>
          <w:sz w:val="20"/>
          <w:szCs w:val="20"/>
          <w:color w:val="auto"/>
        </w:rPr>
      </w:pPr>
    </w:p>
    <w:p>
      <w:pPr>
        <w:jc w:val="center"/>
        <w:ind w:right="406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40"/>
        <w:spacing w:after="0"/>
        <w:rPr>
          <w:sz w:val="20"/>
          <w:szCs w:val="20"/>
          <w:color w:val="auto"/>
        </w:rPr>
      </w:pPr>
      <w:r>
        <w:rPr>
          <w:rFonts w:ascii="Arial" w:cs="Arial" w:eastAsia="Arial" w:hAnsi="Arial"/>
          <w:sz w:val="16"/>
          <w:szCs w:val="16"/>
          <w:b w:val="1"/>
          <w:bCs w:val="1"/>
          <w:color w:val="auto"/>
        </w:rPr>
        <w:t>Definition</w:t>
      </w:r>
    </w:p>
    <w:p>
      <w:pPr>
        <w:spacing w:after="0" w:line="50" w:lineRule="exact"/>
        <w:rPr>
          <w:sz w:val="20"/>
          <w:szCs w:val="20"/>
          <w:color w:val="auto"/>
        </w:rPr>
      </w:pPr>
    </w:p>
    <w:p>
      <w:pPr>
        <w:sectPr>
          <w:pgSz w:w="11900" w:h="16838" w:orient="portrait"/>
          <w:cols w:equalWidth="0" w:num="2">
            <w:col w:w="5240" w:space="720"/>
            <w:col w:w="5400"/>
          </w:cols>
          <w:pgMar w:left="240" w:top="908" w:right="299" w:bottom="1440" w:gutter="0" w:footer="0" w:header="0"/>
          <w:type w:val="continuous"/>
        </w:sectPr>
      </w:pPr>
    </w:p>
    <w:p>
      <w:pPr>
        <w:ind w:left="1260" w:right="80" w:hanging="723"/>
        <w:spacing w:after="0" w:line="276"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ind w:left="1260" w:hanging="723"/>
        <w:spacing w:after="0" w:line="264"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ind w:left="1260" w:hanging="723"/>
        <w:spacing w:after="0" w:line="264"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260" w:right="720" w:hanging="72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260" w:right="40" w:hanging="723"/>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right="400" w:firstLine="881"/>
        <w:spacing w:after="0" w:line="312" w:lineRule="auto"/>
        <w:rPr>
          <w:sz w:val="20"/>
          <w:szCs w:val="20"/>
          <w:color w:val="auto"/>
        </w:rPr>
      </w:pPr>
      <w:r>
        <w:rPr>
          <w:rFonts w:ascii="Arial" w:cs="Arial" w:eastAsia="Arial" w:hAnsi="Arial"/>
          <w:sz w:val="16"/>
          <w:szCs w:val="16"/>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type w:val="continuous"/>
        </w:sectPr>
      </w:pPr>
    </w:p>
    <w:bookmarkStart w:id="50" w:name="page51"/>
    <w:bookmarkEnd w:id="50"/>
    <w:p>
      <w:pPr>
        <w:ind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2017 and December 31, 2016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March 31,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As of December 31, 2016</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7"/>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Performance Rating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171,219</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213,213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215,058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128,091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19,955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532,478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As of March 31, 2017, we had debt investments in 3 portfolio companies on non-accrual status with an amortized cost of $30.7 million and a fair value of $18.7 million, which represented 6.0% and 3.5% of the investment portfolio, respectively. As of December 31, 2016, we had debt investments in three portfolio companies on non-accrual status with amortized cost of $29.5 million and a fair value of $17.4 million, which represented 5.7% and 3.2% of the investment portfolio,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right="100" w:firstLine="891"/>
        <w:spacing w:after="0" w:line="270" w:lineRule="auto"/>
        <w:rPr>
          <w:sz w:val="20"/>
          <w:szCs w:val="20"/>
          <w:color w:val="auto"/>
        </w:rPr>
      </w:pPr>
      <w:r>
        <w:rPr>
          <w:rFonts w:ascii="Arial" w:cs="Arial" w:eastAsia="Arial" w:hAnsi="Arial"/>
          <w:sz w:val="17"/>
          <w:szCs w:val="17"/>
          <w:color w:val="auto"/>
        </w:rPr>
        <w:t>On March 24, 2015, the Company and Trinity Universal Insurance Company (“Trinity”), a subsidiary of Kemper Corporation (“Kemper”),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 Because the TRS was wound down in a prior period, only comparative period disclosures are included herein. For the three months ended March 31, 2016, we received 0.5 million in dividend income from our equity interest in CSLLF.</w:t>
      </w:r>
    </w:p>
    <w:p>
      <w:pPr>
        <w:spacing w:after="0" w:line="182"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187" w:lineRule="exact"/>
        <w:rPr>
          <w:sz w:val="20"/>
          <w:szCs w:val="20"/>
          <w:color w:val="auto"/>
        </w:rPr>
      </w:pPr>
    </w:p>
    <w:p>
      <w:pPr>
        <w:ind w:firstLine="891"/>
        <w:spacing w:after="0" w:line="287" w:lineRule="auto"/>
        <w:rPr>
          <w:sz w:val="20"/>
          <w:szCs w:val="20"/>
          <w:color w:val="auto"/>
        </w:rPr>
      </w:pPr>
      <w:r>
        <w:rPr>
          <w:rFonts w:ascii="Arial" w:cs="Arial" w:eastAsia="Arial" w:hAnsi="Arial"/>
          <w:sz w:val="16"/>
          <w:szCs w:val="16"/>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173" w:lineRule="exact"/>
        <w:rPr>
          <w:sz w:val="20"/>
          <w:szCs w:val="20"/>
          <w:color w:val="auto"/>
        </w:rPr>
      </w:pPr>
    </w:p>
    <w:p>
      <w:pPr>
        <w:jc w:val="both"/>
        <w:ind w:right="520" w:firstLine="891"/>
        <w:spacing w:after="0" w:line="312" w:lineRule="auto"/>
        <w:rPr>
          <w:sz w:val="20"/>
          <w:szCs w:val="20"/>
          <w:color w:val="auto"/>
        </w:rPr>
      </w:pPr>
      <w:r>
        <w:rPr>
          <w:rFonts w:ascii="Arial" w:cs="Arial" w:eastAsia="Arial" w:hAnsi="Arial"/>
          <w:sz w:val="16"/>
          <w:szCs w:val="16"/>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147" w:lineRule="exact"/>
        <w:rPr>
          <w:sz w:val="20"/>
          <w:szCs w:val="20"/>
          <w:color w:val="auto"/>
        </w:rPr>
      </w:pPr>
    </w:p>
    <w:p>
      <w:pPr>
        <w:ind w:right="200" w:firstLine="891"/>
        <w:spacing w:after="0" w:line="276" w:lineRule="auto"/>
        <w:rPr>
          <w:sz w:val="20"/>
          <w:szCs w:val="20"/>
          <w:color w:val="auto"/>
        </w:rPr>
      </w:pPr>
      <w:r>
        <w:rPr>
          <w:rFonts w:ascii="Arial" w:cs="Arial" w:eastAsia="Arial" w:hAnsi="Arial"/>
          <w:sz w:val="17"/>
          <w:szCs w:val="17"/>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has posted $0.0 million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cash collateral represents CSLLF’s maximum credit exposure as of December 31, 2016.</w:t>
      </w:r>
    </w:p>
    <w:p>
      <w:pPr>
        <w:spacing w:after="0" w:line="173" w:lineRule="exact"/>
        <w:rPr>
          <w:sz w:val="20"/>
          <w:szCs w:val="20"/>
          <w:color w:val="auto"/>
        </w:rPr>
      </w:pPr>
    </w:p>
    <w:p>
      <w:pPr>
        <w:ind w:right="520" w:firstLine="891"/>
        <w:spacing w:after="0" w:line="308" w:lineRule="auto"/>
        <w:rPr>
          <w:sz w:val="20"/>
          <w:szCs w:val="20"/>
          <w:color w:val="auto"/>
        </w:rPr>
      </w:pPr>
      <w:r>
        <w:rPr>
          <w:rFonts w:ascii="Arial" w:cs="Arial" w:eastAsia="Arial" w:hAnsi="Arial"/>
          <w:sz w:val="17"/>
          <w:szCs w:val="17"/>
          <w:color w:val="auto"/>
        </w:rPr>
        <w:t>In connection with the TRS, CSLLF has made customary representations and warranties and is required to comply with various covenants, reporting requirements and other customary requirements for similar transactions governed by an ISDA 2002 Master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100" w:firstLine="891"/>
        <w:spacing w:after="0" w:line="259" w:lineRule="auto"/>
        <w:rPr>
          <w:sz w:val="20"/>
          <w:szCs w:val="20"/>
          <w:color w:val="auto"/>
        </w:rPr>
      </w:pPr>
      <w:r>
        <w:rPr>
          <w:rFonts w:ascii="Arial" w:cs="Arial" w:eastAsia="Arial" w:hAnsi="Arial"/>
          <w:sz w:val="18"/>
          <w:szCs w:val="18"/>
          <w:color w:val="auto"/>
        </w:rPr>
        <w:t>CSLLF’s receivable due on the TRS represents realized amounts from payments on underlying loans in the total return swap portfolio. At December 31, 2016, the receivable due on TRS was $0.1 million, respectively, and is recorded on CSLLF’s statements of assets and liabilities below. CSLLF does not offset collateral posted in relation to the TRS with any unrealized appreciation or depreciation outstanding in the statements of assets and liabilities as of December 31, 2016.</w:t>
      </w:r>
    </w:p>
    <w:p>
      <w:pPr>
        <w:spacing w:after="0" w:line="187" w:lineRule="exact"/>
        <w:rPr>
          <w:sz w:val="20"/>
          <w:szCs w:val="20"/>
          <w:color w:val="auto"/>
        </w:rPr>
      </w:pPr>
    </w:p>
    <w:p>
      <w:pPr>
        <w:ind w:right="560" w:firstLine="891"/>
        <w:spacing w:after="0" w:line="277" w:lineRule="auto"/>
        <w:rPr>
          <w:sz w:val="20"/>
          <w:szCs w:val="20"/>
          <w:color w:val="auto"/>
        </w:rPr>
      </w:pPr>
      <w:r>
        <w:rPr>
          <w:rFonts w:ascii="Arial" w:cs="Arial" w:eastAsia="Arial" w:hAnsi="Arial"/>
          <w:sz w:val="18"/>
          <w:szCs w:val="18"/>
          <w:color w:val="auto"/>
        </w:rPr>
        <w:t>Transactions in TRS contracts during the three months ended March 31, 2016 resulted in $0.7 million in realized gains and $0.8 million in unrealized appreciation, which is recorded on CSLLF’s statements of operations below.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represents the volume of the CSLLF’s derivative transactions during the three months ended March 31, 2016 (dollars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2016</w:t>
      </w:r>
    </w:p>
    <w:p>
      <w:pPr>
        <w:spacing w:after="0" w:line="9" w:lineRule="exact"/>
        <w:rPr>
          <w:sz w:val="20"/>
          <w:szCs w:val="20"/>
          <w:color w:val="auto"/>
        </w:rPr>
      </w:pPr>
    </w:p>
    <w:p>
      <w:pPr>
        <w:ind w:left="920"/>
        <w:spacing w:after="0"/>
        <w:tabs>
          <w:tab w:leader="none" w:pos="8980" w:val="left"/>
          <w:tab w:leader="none" w:pos="10120" w:val="left"/>
        </w:tabs>
        <w:rPr>
          <w:sz w:val="20"/>
          <w:szCs w:val="20"/>
          <w:color w:val="auto"/>
        </w:rPr>
      </w:pPr>
      <w:r>
        <w:rPr>
          <w:rFonts w:ascii="Arial" w:cs="Arial" w:eastAsia="Arial" w:hAnsi="Arial"/>
          <w:sz w:val="18"/>
          <w:szCs w:val="18"/>
          <w:color w:val="auto"/>
        </w:rPr>
        <w:t>Average notional par amount of contract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78,203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-130810</wp:posOffset>
            </wp:positionV>
            <wp:extent cx="6226175"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204"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for the three months ended March 31,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 2016</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Receivable due on Total Return Swap</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Distribution payable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NET ASSETS</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0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net assets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60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 liabilities and net assets</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For the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Three Months Ended</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March 31, 2016</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legal expenses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operating loss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realized gain on Total Return Swap</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726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Total Return Swap</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jc w:val="right"/>
              <w:ind w:right="5230"/>
              <w:spacing w:after="0"/>
              <w:rPr>
                <w:sz w:val="20"/>
                <w:szCs w:val="20"/>
                <w:color w:val="auto"/>
              </w:rPr>
            </w:pPr>
            <w:r>
              <w:rPr>
                <w:rFonts w:ascii="Arial" w:cs="Arial" w:eastAsia="Arial" w:hAnsi="Arial"/>
                <w:sz w:val="18"/>
                <w:szCs w:val="18"/>
                <w:b w:val="1"/>
                <w:bCs w:val="1"/>
                <w:color w:val="auto"/>
                <w:w w:val="87"/>
              </w:rPr>
              <w:t>Results of Operations</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80" w:type="dxa"/>
            <w:vAlign w:val="bottom"/>
            <w:gridSpan w:val="7"/>
          </w:tcPr>
          <w:p>
            <w:pPr>
              <w:jc w:val="right"/>
              <w:ind w:right="160"/>
              <w:spacing w:after="0"/>
              <w:rPr>
                <w:sz w:val="20"/>
                <w:szCs w:val="20"/>
                <w:color w:val="auto"/>
              </w:rPr>
            </w:pPr>
            <w:r>
              <w:rPr>
                <w:rFonts w:ascii="Arial" w:cs="Arial" w:eastAsia="Arial" w:hAnsi="Arial"/>
                <w:sz w:val="18"/>
                <w:szCs w:val="18"/>
                <w:color w:val="auto"/>
              </w:rPr>
              <w:t>Operating results for the three months ended March 31, 2017 and 2016 were as follows (dollars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1"/>
              </w:rPr>
              <w:t>For the Three Months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March 31, 2017</w:t>
            </w:r>
          </w:p>
        </w:tc>
        <w:tc>
          <w:tcPr>
            <w:tcW w:w="128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2"/>
              </w:rPr>
              <w:t>March 31, 2016</w:t>
            </w:r>
          </w:p>
        </w:tc>
        <w:tc>
          <w:tcPr>
            <w:tcW w:w="46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 net of fee waivers</w:t>
            </w: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w:t>
            </w:r>
          </w:p>
        </w:tc>
        <w:tc>
          <w:tcPr>
            <w:tcW w:w="8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69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color w:val="auto"/>
              </w:rPr>
              <w:t>45</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investment income for the three months ended March 31, 2017 and 2016 was as follows (dollars in thousands):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4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80" w:type="dxa"/>
            <w:vAlign w:val="bottom"/>
          </w:tcPr>
          <w:p>
            <w:pPr>
              <w:spacing w:after="0"/>
              <w:rPr>
                <w:sz w:val="19"/>
                <w:szCs w:val="19"/>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Fee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Dividend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18"/>
                <w:szCs w:val="18"/>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6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91"/>
        <w:spacing w:after="0" w:line="286" w:lineRule="auto"/>
        <w:rPr>
          <w:sz w:val="20"/>
          <w:szCs w:val="20"/>
          <w:color w:val="auto"/>
        </w:rPr>
      </w:pPr>
      <w:r>
        <w:rPr>
          <w:rFonts w:ascii="Arial" w:cs="Arial" w:eastAsia="Arial" w:hAnsi="Arial"/>
          <w:sz w:val="17"/>
          <w:szCs w:val="17"/>
          <w:color w:val="auto"/>
        </w:rPr>
        <w:t>The income reported as interest income and PIK interest and dividend income is generally based on the stated rates as disclosed in our consolidated schedule of investments. Accretion/(amortization) of discounts and premiums paid for purchased loans are included in interest income as an adjustment to yield. As a general rule, our interest income and PIK interest and dividend income is recurring in nature.</w:t>
      </w:r>
    </w:p>
    <w:p>
      <w:pPr>
        <w:spacing w:after="0" w:line="166"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the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ind w:right="180" w:firstLine="881"/>
        <w:spacing w:after="0" w:line="286" w:lineRule="auto"/>
        <w:rPr>
          <w:sz w:val="20"/>
          <w:szCs w:val="20"/>
          <w:color w:val="auto"/>
        </w:rPr>
      </w:pPr>
      <w:r>
        <w:rPr>
          <w:rFonts w:ascii="Arial" w:cs="Arial" w:eastAsia="Arial" w:hAnsi="Arial"/>
          <w:sz w:val="17"/>
          <w:szCs w:val="17"/>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 as part of dividend recapitalizations.</w:t>
      </w:r>
    </w:p>
    <w:p>
      <w:pPr>
        <w:spacing w:after="0" w:line="166"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For the three months ended March 31, 2017, total investment income decreased by $2.6 million, or 15.1%, compared to the three months ended March 31, 2016. The period over period decline was driven primarily by a $2.1 million decline in interest income due to less average investments outstanding. For the three months ended March 31, 2017, fee income decreased $0.2 million compared to the three months ended March 31, 2016. For the three months ended March 31, 2017, we generated $0.4 million in origination fees from new deployments and $0.3 million in non-origination fees. Comparatively, for the three months ended March 31, 2016, we generated $0.7 million in origination fees from new deployments and $0.2 million in non-origination fees. Dividend income decreased from $1.3 million for the three months ended March 31, 2016, to $0.5 million for the three months ended March 31, 2017. The decrease in dividend income was driven primarily by the wind-down of CSLLF which did not pay a dividend for the three months ended March 31, 2017, but paid a dividend of $0.5 million for the three months ended March 31,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expenses for the three months ended March 31, 2017 and March 31, 2016 was as follows (dollars in thousands):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Interest and 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-130175</wp:posOffset>
            </wp:positionV>
            <wp:extent cx="586613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66130" cy="146050"/>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Base management fees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Incentive fees, net of incentive fee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-116205</wp:posOffset>
            </wp:positionV>
            <wp:extent cx="586613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6130" cy="137160"/>
                    </a:xfrm>
                    <a:prstGeom prst="rect">
                      <a:avLst/>
                    </a:prstGeom>
                    <a:noFill/>
                  </pic:spPr>
                </pic:pic>
              </a:graphicData>
            </a:graphic>
          </wp:anchor>
        </w:drawing>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 expenses, net of fee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-121920</wp:posOffset>
            </wp:positionV>
            <wp:extent cx="586613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661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For the Three Months Ended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March 31, 2016</w:t>
            </w:r>
          </w:p>
        </w:tc>
      </w:tr>
      <w:tr>
        <w:trPr>
          <w:trHeight w:val="195"/>
        </w:trPr>
        <w:tc>
          <w:tcPr>
            <w:tcW w:w="2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4,653</w:t>
            </w:r>
          </w:p>
        </w:tc>
        <w:tc>
          <w:tcPr>
            <w:tcW w:w="160" w:type="dxa"/>
            <w:vAlign w:val="bottom"/>
          </w:tcPr>
          <w:p>
            <w:pPr>
              <w:spacing w:after="0"/>
              <w:rPr>
                <w:sz w:val="16"/>
                <w:szCs w:val="16"/>
                <w:color w:val="auto"/>
              </w:rPr>
            </w:pPr>
          </w:p>
        </w:tc>
        <w:tc>
          <w:tcPr>
            <w:tcW w:w="400" w:type="dxa"/>
            <w:vAlign w:val="bottom"/>
            <w:tcBorders>
              <w:top w:val="single" w:sz="8" w:color="auto"/>
            </w:tcBorders>
            <w:gridSpan w:val="2"/>
          </w:tcPr>
          <w:p>
            <w:pPr>
              <w:jc w:val="right"/>
              <w:ind w:right="225"/>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5,023</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r>
      <w:tr>
        <w:trPr>
          <w:trHeight w:val="223"/>
        </w:trPr>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3700"/>
          </w:cols>
          <w:pgMar w:left="240" w:top="909" w:right="239" w:bottom="1440" w:gutter="0" w:footer="0" w:header="0"/>
          <w:type w:val="continuous"/>
        </w:sectPr>
      </w:pPr>
    </w:p>
    <w:p>
      <w:pPr>
        <w:spacing w:after="0" w:line="2"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For the three months ended March 31, 2017, operating expenses decreased $1.4 million, or 14.0%, compared to the three months ended March 31, 2016. The decrease from the prior period was driven primarily from a $0.8 million decline in incentive fees, net of incentive fee waiver, a $0.4 million decline in interest and financing expenses due to lower outstanding borrowings during the period, and a $0.2 million decline in management fees due to less average assets outstanding during the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225"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During the three months ended March 31, 2017 and March 31, 2016 we recognized $4.8 million and $(2.3) million, respectively, of net realized gains/(losses) on our portfolio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on Written Call Option</w:t>
      </w:r>
    </w:p>
    <w:p>
      <w:pPr>
        <w:spacing w:after="0" w:line="225"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months ended March 31, 2017 and March 31, 2016, we had net unrealized appreciation (depreciation) on investments of $(4.7) million and $(9.3) million, respectively.</w:t>
      </w:r>
    </w:p>
    <w:p>
      <w:pPr>
        <w:spacing w:after="0" w:line="18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For the three months ended March 31, 2017, we had net unrealized depreciation on the Written Call Option of $(1.5) million. As previously noted, unrealized depreciation on the Written Call Option is based on the change in fair value of the underlying equity investment in Eastport Holdings, LLC less the strike price of the Written Call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right="40" w:firstLine="881"/>
        <w:spacing w:after="0" w:line="312" w:lineRule="auto"/>
        <w:rPr>
          <w:sz w:val="20"/>
          <w:szCs w:val="20"/>
          <w:color w:val="auto"/>
        </w:rPr>
      </w:pPr>
      <w:r>
        <w:rPr>
          <w:rFonts w:ascii="Arial" w:cs="Arial" w:eastAsia="Arial" w:hAnsi="Arial"/>
          <w:sz w:val="16"/>
          <w:szCs w:val="16"/>
          <w:color w:val="auto"/>
        </w:rPr>
        <w:t>For the three months ended March 31, 2017 and March 31, 2016, we recorded a net increase (decrease) in net assets resulting from operations of $4.9 million and $(4.2) million, respectively. Based on the weighted average shares of common stock outstanding for the three months ended March 31, 2017 and March 31, 2016, our per share net increase (decrease) in net assets resulting from operations was $0.31 and $(0.27),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March 31, 2017 and December 31, 2016, and for the three months ended March 31, 2017 and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25" w:lineRule="exact"/>
        <w:rPr>
          <w:sz w:val="20"/>
          <w:szCs w:val="20"/>
          <w:color w:val="auto"/>
        </w:rPr>
      </w:pPr>
    </w:p>
    <w:p>
      <w:pPr>
        <w:ind w:right="60" w:firstLine="881"/>
        <w:spacing w:after="0" w:line="302"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U.S. Print Direction, Inc. also provides warehousing and distribution services for these customers. The income (loss) the Company generated from Print Direction, Inc., which includes all interest, dividends, PIK interest and dividends, fees, and unrealized appreciation (depreciation), was $(2.1) million and $(0.5) million for the three months ended March 31, 2017 and March 31,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$0.4 million and $0.6 million for the three months ended March 31, 2017 and March 31,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25"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On-Site Fuel Service, Inc. is a 100% owned subsidiary of On-Site Fuel Holdings, Inc., which was incorporated in Delaware on December 19, 2011. On-Site Fuel Service, Inc. provides fueling services for commercial and government vehicle fleets throughout the southeast U.S. The income (loss) the Company generated from On-Site Fuel Service, Inc., which includes all interest, dividends, PIK interest and dividends, fees, and unrealized appreciation (depreciation), was $0.0 million and $(1.0) million for the three months ended March 31, 2017 and March 31,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225"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CableOrganizer Holdings, LLC, a Delaware limited liability company that began operations on April 23, 2013, is a leading online provider of cable and wire management products. The income the Company generated from CableOrganizer Holdings, LLC, which includes all interest, dividends, PIK interest and dividends, fees, and unrealized appreciation (depreciation), was $0.2 million and $0.5 million for the three months ended March 31, 2017 and March 31, 2016, respectively.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$1.7 million and $6.2 million for the three months ended March 31, 2017 and March 31, 2016, respectively.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14,580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Print Direction, Inc.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8"/>
                <w:szCs w:val="18"/>
                <w:b w:val="1"/>
                <w:bCs w:val="1"/>
                <w:color w:val="auto"/>
                <w:w w:val="88"/>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Navis Holdings, Inc.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Statements of Operations - Navis Holdings, Inc.</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March 31, 2017</w:t>
            </w:r>
          </w:p>
        </w:tc>
        <w:tc>
          <w:tcPr>
            <w:tcW w:w="12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goods sold</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980" w:type="dxa"/>
            <w:vAlign w:val="bottom"/>
            <w:vMerge w:val="restart"/>
          </w:tcPr>
          <w:p>
            <w:pPr>
              <w:jc w:val="right"/>
              <w:ind w:right="20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20,144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12,130</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27,233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35,400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Balance Sheet – CableOrganizer Holdings, LLC</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12,003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CableOrganizer Holdings, LLC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8"/>
                <w:szCs w:val="18"/>
                <w:b w:val="1"/>
                <w:bCs w:val="1"/>
                <w:color w:val="auto"/>
                <w:w w:val="84"/>
              </w:rPr>
              <w:t>As of</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Eastport Holdings, LLC</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2"/>
              </w:rPr>
              <w:t>March 31, 2017</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December 31, 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Noncurrent assets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148,742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148,704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2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154,337</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157,393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49,484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52,044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2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47,073</w:t>
            </w:r>
          </w:p>
        </w:tc>
        <w:tc>
          <w:tcPr>
            <w:tcW w:w="7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45,655</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56" w:name="page57"/>
    <w:bookmarkEnd w:id="5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March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148,561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113,509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33,836</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560" w:firstLine="891"/>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shareholders, and repay indebtedness.</w:t>
      </w:r>
    </w:p>
    <w:p>
      <w:pPr>
        <w:spacing w:after="0" w:line="170" w:lineRule="exact"/>
        <w:rPr>
          <w:sz w:val="20"/>
          <w:szCs w:val="20"/>
          <w:color w:val="auto"/>
        </w:rPr>
      </w:pPr>
    </w:p>
    <w:p>
      <w:pPr>
        <w:ind w:right="160" w:firstLine="891"/>
        <w:spacing w:after="0" w:line="273" w:lineRule="auto"/>
        <w:rPr>
          <w:sz w:val="20"/>
          <w:szCs w:val="20"/>
          <w:color w:val="auto"/>
        </w:rPr>
      </w:pPr>
      <w:r>
        <w:rPr>
          <w:rFonts w:ascii="Arial" w:cs="Arial" w:eastAsia="Arial" w:hAnsi="Arial"/>
          <w:sz w:val="17"/>
          <w:szCs w:val="17"/>
          <w:color w:val="auto"/>
        </w:rPr>
        <w:t>On September 30, 2013, we issued 4,000,000 shares at $20.00 per share in our IPO, yielding net proceeds of $74.25 million. On June 16, 2014, we issued $113.4 million in aggregate principal amount of 7.125% fixed-rate notes (the “Notes”), yielding net proceeds of $109.1 million after underwriting costs. The Notes will mature on June 16, 2021, and may be redeemed in whole or in part at any time or from time to time at our option on or after June 17, 2017 at a redemption price equal to 100% of the outstanding principal, plus accrued and unpaid interest. The Notes bear interest at a rate of 7.125% per year payable quarterly on March 16, June 16, September 16, and December 16 of each year, beginning on September 16, 2014. The Notes are listed on the New York Stock Exchange under the trading symbol “CLA” with a par value $25.00 per share.</w:t>
      </w:r>
    </w:p>
    <w:p>
      <w:pPr>
        <w:spacing w:after="0" w:line="178"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On October 17, 2014, we entered into a senior secured revolving credit agreement (the “Credit Facility”) with ING Capital, LLC, as administrative agent, arranger, and bookrunner, and the lenders party thereto. The Credit Facility currently provides for borrowings up to $120.0 million and may be increased up to $150.0 million pursuant to its “accordion” feature. The Credit Facility matures on October 17, 2018. As of March 31, 2017, we had $44.0 million outstanding and $76.0 million available under the Credit Facility.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13, 2015, we completed an underwritten offering of 3,500,000 shares of its common stock at a public offering price of $18.32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proceeds received in the offering net of underwriting discounts and offering costs were approximately $61.7 million.</w:t>
      </w:r>
    </w:p>
    <w:p>
      <w:pPr>
        <w:spacing w:after="0" w:line="211"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Including the net proceeds from our IPO on September 30, 2013, we have raised approximately $245.0 million in net proceeds from debt and equity offerings and obtained credit availability through our Credit Facility of $120.0 million through March 31, 2017.</w:t>
      </w:r>
    </w:p>
    <w:p>
      <w:pPr>
        <w:spacing w:after="0" w:line="17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As of March 31, 2017,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2017, we had $40.6 million in cash and cash equivalents, and our net assets totaled $249.5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7" w:name="page58"/>
    <w:bookmarkEnd w:id="57"/>
    <w:p>
      <w:pPr>
        <w:ind w:left="880"/>
        <w:spacing w:after="0"/>
        <w:rPr>
          <w:sz w:val="20"/>
          <w:szCs w:val="20"/>
          <w:color w:val="auto"/>
        </w:rPr>
      </w:pPr>
      <w:r>
        <w:rPr>
          <w:rFonts w:ascii="Arial" w:cs="Arial" w:eastAsia="Arial" w:hAnsi="Arial"/>
          <w:sz w:val="18"/>
          <w:szCs w:val="18"/>
          <w:color w:val="auto"/>
        </w:rPr>
        <w:t>A summary of our significant contractual payment obligations as of March 31, 2017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More Than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5 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Notes</w:t>
            </w:r>
          </w:p>
        </w:tc>
        <w:tc>
          <w:tcPr>
            <w:tcW w:w="106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113,438</w:t>
            </w:r>
          </w:p>
        </w:tc>
        <w:tc>
          <w:tcPr>
            <w:tcW w:w="8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44,000</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right="140" w:firstLine="881"/>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tables summarize our distributions declared from January 2, 2015 to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3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Record Date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9"/>
              </w:rPr>
              <w:t>January 20, 2017</w:t>
            </w: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360" w:type="dxa"/>
            <w:vAlign w:val="bottom"/>
          </w:tcPr>
          <w:p>
            <w:pPr>
              <w:jc w:val="center"/>
              <w:ind w:left="430"/>
              <w:spacing w:after="0"/>
              <w:rPr>
                <w:sz w:val="20"/>
                <w:szCs w:val="20"/>
                <w:color w:val="auto"/>
              </w:rPr>
            </w:pPr>
            <w:r>
              <w:rPr>
                <w:rFonts w:ascii="Arial" w:cs="Arial" w:eastAsia="Arial" w:hAnsi="Arial"/>
                <w:sz w:val="18"/>
                <w:szCs w:val="18"/>
                <w:color w:val="auto"/>
                <w:w w:val="89"/>
              </w:rPr>
              <w:t>February 20, 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27, 2017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3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March 23, 2017</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2017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580" w:type="dxa"/>
            <w:vAlign w:val="bottom"/>
            <w:gridSpan w:val="4"/>
          </w:tcPr>
          <w:p>
            <w:pPr>
              <w:ind w:left="280"/>
              <w:spacing w:after="0"/>
              <w:rPr>
                <w:sz w:val="20"/>
                <w:szCs w:val="20"/>
                <w:color w:val="auto"/>
              </w:rPr>
            </w:pPr>
            <w:r>
              <w:rPr>
                <w:rFonts w:ascii="Arial" w:cs="Arial" w:eastAsia="Arial" w:hAnsi="Arial"/>
                <w:sz w:val="18"/>
                <w:szCs w:val="18"/>
                <w:color w:val="auto"/>
                <w:w w:val="94"/>
              </w:rPr>
              <w:t>Total Distributions Declared and Distributed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40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Record Date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January 22, 2016</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2400" w:type="dxa"/>
            <w:vAlign w:val="bottom"/>
          </w:tcPr>
          <w:p>
            <w:pPr>
              <w:jc w:val="center"/>
              <w:ind w:left="390"/>
              <w:spacing w:after="0"/>
              <w:rPr>
                <w:sz w:val="20"/>
                <w:szCs w:val="20"/>
                <w:color w:val="auto"/>
              </w:rPr>
            </w:pPr>
            <w:r>
              <w:rPr>
                <w:rFonts w:ascii="Arial" w:cs="Arial" w:eastAsia="Arial" w:hAnsi="Arial"/>
                <w:sz w:val="18"/>
                <w:szCs w:val="18"/>
                <w:color w:val="auto"/>
                <w:w w:val="89"/>
              </w:rPr>
              <w:t>February 19,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24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March 22, 2016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400" w:type="dxa"/>
            <w:vAlign w:val="bottom"/>
          </w:tcPr>
          <w:p>
            <w:pPr>
              <w:jc w:val="center"/>
              <w:ind w:left="390"/>
              <w:spacing w:after="0"/>
              <w:rPr>
                <w:sz w:val="20"/>
                <w:szCs w:val="20"/>
                <w:color w:val="auto"/>
              </w:rPr>
            </w:pPr>
            <w:r>
              <w:rPr>
                <w:rFonts w:ascii="Arial" w:cs="Arial" w:eastAsia="Arial" w:hAnsi="Arial"/>
                <w:sz w:val="18"/>
                <w:szCs w:val="18"/>
                <w:color w:val="auto"/>
                <w:w w:val="93"/>
              </w:rPr>
              <w:t>April 22,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28, 2016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4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May 23, 2016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30, 2016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400" w:type="dxa"/>
            <w:vAlign w:val="bottom"/>
          </w:tcPr>
          <w:p>
            <w:pPr>
              <w:jc w:val="center"/>
              <w:ind w:left="390"/>
              <w:spacing w:after="0"/>
              <w:rPr>
                <w:sz w:val="20"/>
                <w:szCs w:val="20"/>
                <w:color w:val="auto"/>
              </w:rPr>
            </w:pPr>
            <w:r>
              <w:rPr>
                <w:rFonts w:ascii="Arial" w:cs="Arial" w:eastAsia="Arial" w:hAnsi="Arial"/>
                <w:sz w:val="18"/>
                <w:szCs w:val="18"/>
                <w:color w:val="auto"/>
                <w:w w:val="87"/>
              </w:rPr>
              <w:t>June 21,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29, 2016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4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July 22, 2016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29, 2016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400" w:type="dxa"/>
            <w:vAlign w:val="bottom"/>
          </w:tcPr>
          <w:p>
            <w:pPr>
              <w:jc w:val="center"/>
              <w:ind w:left="390"/>
              <w:spacing w:after="0"/>
              <w:rPr>
                <w:sz w:val="20"/>
                <w:szCs w:val="20"/>
                <w:color w:val="auto"/>
              </w:rPr>
            </w:pPr>
            <w:r>
              <w:rPr>
                <w:rFonts w:ascii="Arial" w:cs="Arial" w:eastAsia="Arial" w:hAnsi="Arial"/>
                <w:sz w:val="18"/>
                <w:szCs w:val="18"/>
                <w:color w:val="auto"/>
                <w:w w:val="91"/>
              </w:rPr>
              <w:t>August 22,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30, 2016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4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September 22, 2016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29, 2016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400" w:type="dxa"/>
            <w:vAlign w:val="bottom"/>
          </w:tcPr>
          <w:p>
            <w:pPr>
              <w:jc w:val="center"/>
              <w:ind w:left="390"/>
              <w:spacing w:after="0"/>
              <w:rPr>
                <w:sz w:val="20"/>
                <w:szCs w:val="20"/>
                <w:color w:val="auto"/>
              </w:rPr>
            </w:pPr>
            <w:r>
              <w:rPr>
                <w:rFonts w:ascii="Arial" w:cs="Arial" w:eastAsia="Arial" w:hAnsi="Arial"/>
                <w:sz w:val="18"/>
                <w:szCs w:val="18"/>
                <w:color w:val="auto"/>
                <w:w w:val="89"/>
              </w:rPr>
              <w:t>October 21,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28, 2016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2016</w:t>
            </w:r>
          </w:p>
        </w:tc>
        <w:tc>
          <w:tcPr>
            <w:tcW w:w="24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November 21, 2016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29, 2016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400" w:type="dxa"/>
            <w:vAlign w:val="bottom"/>
          </w:tcPr>
          <w:p>
            <w:pPr>
              <w:jc w:val="center"/>
              <w:ind w:left="390"/>
              <w:spacing w:after="0"/>
              <w:rPr>
                <w:sz w:val="20"/>
                <w:szCs w:val="20"/>
                <w:color w:val="auto"/>
              </w:rPr>
            </w:pPr>
            <w:r>
              <w:rPr>
                <w:rFonts w:ascii="Arial" w:cs="Arial" w:eastAsia="Arial" w:hAnsi="Arial"/>
                <w:sz w:val="18"/>
                <w:szCs w:val="18"/>
                <w:color w:val="auto"/>
                <w:w w:val="88"/>
              </w:rPr>
              <w:t>December 21, 2016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29, 2016</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3540" w:type="dxa"/>
            <w:vAlign w:val="bottom"/>
            <w:tcBorders>
              <w:top w:val="single" w:sz="8" w:color="CCEEFF"/>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w w:val="94"/>
              </w:rPr>
              <w:t>Total Distributions Declared and Distributed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vMerge w:val="restart"/>
          </w:tcPr>
          <w:p>
            <w:pPr>
              <w:jc w:val="right"/>
              <w:ind w:right="61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981"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460" w:type="dxa"/>
            <w:vAlign w:val="bottom"/>
          </w:tcPr>
          <w:p>
            <w:pPr>
              <w:jc w:val="center"/>
              <w:ind w:left="331"/>
              <w:spacing w:after="0"/>
              <w:rPr>
                <w:sz w:val="20"/>
                <w:szCs w:val="20"/>
                <w:color w:val="auto"/>
              </w:rPr>
            </w:pPr>
            <w:r>
              <w:rPr>
                <w:rFonts w:ascii="Arial" w:cs="Arial" w:eastAsia="Arial" w:hAnsi="Arial"/>
                <w:sz w:val="18"/>
                <w:szCs w:val="18"/>
                <w:b w:val="1"/>
                <w:bCs w:val="1"/>
                <w:color w:val="auto"/>
                <w:w w:val="90"/>
              </w:rPr>
              <w:t>Record Date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89"/>
              </w:rPr>
              <w:t>January 22, 2015</w:t>
            </w: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460" w:type="dxa"/>
            <w:vAlign w:val="bottom"/>
          </w:tcPr>
          <w:p>
            <w:pPr>
              <w:jc w:val="center"/>
              <w:ind w:left="331"/>
              <w:spacing w:after="0"/>
              <w:rPr>
                <w:sz w:val="20"/>
                <w:szCs w:val="20"/>
                <w:color w:val="auto"/>
              </w:rPr>
            </w:pPr>
            <w:r>
              <w:rPr>
                <w:rFonts w:ascii="Arial" w:cs="Arial" w:eastAsia="Arial" w:hAnsi="Arial"/>
                <w:sz w:val="18"/>
                <w:szCs w:val="18"/>
                <w:color w:val="auto"/>
                <w:w w:val="89"/>
              </w:rPr>
              <w:t>February 20, 2015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4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2"/>
              </w:rPr>
              <w:t>March 23, 2015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60" w:type="dxa"/>
            <w:vAlign w:val="bottom"/>
          </w:tcPr>
          <w:p>
            <w:pPr>
              <w:jc w:val="center"/>
              <w:ind w:left="331"/>
              <w:spacing w:after="0" w:line="256" w:lineRule="exact"/>
              <w:rPr>
                <w:sz w:val="20"/>
                <w:szCs w:val="20"/>
                <w:color w:val="auto"/>
              </w:rPr>
            </w:pPr>
            <w:r>
              <w:rPr>
                <w:rFonts w:ascii="Arial" w:cs="Arial" w:eastAsia="Arial" w:hAnsi="Arial"/>
                <w:sz w:val="18"/>
                <w:szCs w:val="18"/>
                <w:color w:val="auto"/>
                <w:w w:val="88"/>
              </w:rPr>
              <w:t xml:space="preserve">March 23, 2015 </w:t>
            </w:r>
            <w:r>
              <w:rPr>
                <w:rFonts w:ascii="Arial" w:cs="Arial" w:eastAsia="Arial" w:hAnsi="Arial"/>
                <w:sz w:val="29"/>
                <w:szCs w:val="29"/>
                <w:color w:val="auto"/>
                <w:w w:val="88"/>
                <w:vertAlign w:val="superscript"/>
              </w:rPr>
              <w:t>(1)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30, 2015</w:t>
            </w:r>
          </w:p>
        </w:tc>
        <w:tc>
          <w:tcPr>
            <w:tcW w:w="1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60" w:type="dxa"/>
            <w:vAlign w:val="bottom"/>
            <w:shd w:val="clear" w:color="auto" w:fill="CCEEFF"/>
          </w:tcPr>
          <w:p>
            <w:pPr>
              <w:jc w:val="center"/>
              <w:ind w:left="331"/>
              <w:spacing w:after="0" w:line="256" w:lineRule="exact"/>
              <w:rPr>
                <w:sz w:val="20"/>
                <w:szCs w:val="20"/>
                <w:color w:val="auto"/>
              </w:rPr>
            </w:pPr>
            <w:r>
              <w:rPr>
                <w:rFonts w:ascii="Arial" w:cs="Arial" w:eastAsia="Arial" w:hAnsi="Arial"/>
                <w:sz w:val="18"/>
                <w:szCs w:val="18"/>
                <w:color w:val="auto"/>
                <w:w w:val="91"/>
              </w:rPr>
              <w:t xml:space="preserve">April 23, 2015 </w:t>
            </w:r>
            <w:r>
              <w:rPr>
                <w:rFonts w:ascii="Arial" w:cs="Arial" w:eastAsia="Arial" w:hAnsi="Arial"/>
                <w:sz w:val="29"/>
                <w:szCs w:val="29"/>
                <w:color w:val="auto"/>
                <w:w w:val="91"/>
                <w:vertAlign w:val="superscript"/>
              </w:rPr>
              <w:t>(1)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29, 2015</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60" w:type="dxa"/>
            <w:vAlign w:val="bottom"/>
          </w:tcPr>
          <w:p>
            <w:pPr>
              <w:jc w:val="center"/>
              <w:ind w:left="331"/>
              <w:spacing w:after="0" w:line="256" w:lineRule="exact"/>
              <w:rPr>
                <w:sz w:val="20"/>
                <w:szCs w:val="20"/>
                <w:color w:val="auto"/>
              </w:rPr>
            </w:pPr>
            <w:r>
              <w:rPr>
                <w:rFonts w:ascii="Arial" w:cs="Arial" w:eastAsia="Arial" w:hAnsi="Arial"/>
                <w:sz w:val="18"/>
                <w:szCs w:val="18"/>
                <w:color w:val="auto"/>
                <w:w w:val="90"/>
              </w:rPr>
              <w:t xml:space="preserve">May 21, 2015 </w:t>
            </w:r>
            <w:r>
              <w:rPr>
                <w:rFonts w:ascii="Arial" w:cs="Arial" w:eastAsia="Arial" w:hAnsi="Arial"/>
                <w:sz w:val="29"/>
                <w:szCs w:val="29"/>
                <w:color w:val="auto"/>
                <w:w w:val="90"/>
                <w:vertAlign w:val="superscript"/>
              </w:rPr>
              <w:t>(1)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28, 2015</w:t>
            </w:r>
          </w:p>
        </w:tc>
        <w:tc>
          <w:tcPr>
            <w:tcW w:w="1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60" w:type="dxa"/>
            <w:vAlign w:val="bottom"/>
            <w:shd w:val="clear" w:color="auto" w:fill="CCEEFF"/>
          </w:tcPr>
          <w:p>
            <w:pPr>
              <w:jc w:val="center"/>
              <w:ind w:left="331"/>
              <w:spacing w:after="0" w:line="256" w:lineRule="exact"/>
              <w:rPr>
                <w:sz w:val="20"/>
                <w:szCs w:val="20"/>
                <w:color w:val="auto"/>
              </w:rPr>
            </w:pPr>
            <w:r>
              <w:rPr>
                <w:rFonts w:ascii="Arial" w:cs="Arial" w:eastAsia="Arial" w:hAnsi="Arial"/>
                <w:sz w:val="18"/>
                <w:szCs w:val="18"/>
                <w:color w:val="auto"/>
                <w:w w:val="86"/>
              </w:rPr>
              <w:t xml:space="preserve">June 22, 2015 </w:t>
            </w:r>
            <w:r>
              <w:rPr>
                <w:rFonts w:ascii="Arial" w:cs="Arial" w:eastAsia="Arial" w:hAnsi="Arial"/>
                <w:sz w:val="29"/>
                <w:szCs w:val="29"/>
                <w:color w:val="auto"/>
                <w:w w:val="86"/>
                <w:vertAlign w:val="superscript"/>
              </w:rPr>
              <w:t>(1)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29, 2015</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60" w:type="dxa"/>
            <w:vAlign w:val="bottom"/>
          </w:tcPr>
          <w:p>
            <w:pPr>
              <w:jc w:val="center"/>
              <w:ind w:left="331"/>
              <w:spacing w:after="0" w:line="256" w:lineRule="exact"/>
              <w:rPr>
                <w:sz w:val="20"/>
                <w:szCs w:val="20"/>
                <w:color w:val="auto"/>
              </w:rPr>
            </w:pPr>
            <w:r>
              <w:rPr>
                <w:rFonts w:ascii="Arial" w:cs="Arial" w:eastAsia="Arial" w:hAnsi="Arial"/>
                <w:sz w:val="18"/>
                <w:szCs w:val="18"/>
                <w:color w:val="auto"/>
                <w:w w:val="88"/>
              </w:rPr>
              <w:t xml:space="preserve">July 23, 2015 </w:t>
            </w:r>
            <w:r>
              <w:rPr>
                <w:rFonts w:ascii="Arial" w:cs="Arial" w:eastAsia="Arial" w:hAnsi="Arial"/>
                <w:sz w:val="29"/>
                <w:szCs w:val="29"/>
                <w:color w:val="auto"/>
                <w:w w:val="88"/>
                <w:vertAlign w:val="superscript"/>
              </w:rPr>
              <w:t>(1)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30, 2015</w:t>
            </w:r>
          </w:p>
        </w:tc>
        <w:tc>
          <w:tcPr>
            <w:tcW w:w="1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60" w:type="dxa"/>
            <w:vAlign w:val="bottom"/>
            <w:shd w:val="clear" w:color="auto" w:fill="CCEEFF"/>
          </w:tcPr>
          <w:p>
            <w:pPr>
              <w:jc w:val="center"/>
              <w:ind w:left="331"/>
              <w:spacing w:after="0" w:line="256" w:lineRule="exact"/>
              <w:rPr>
                <w:sz w:val="20"/>
                <w:szCs w:val="20"/>
                <w:color w:val="auto"/>
              </w:rPr>
            </w:pPr>
            <w:r>
              <w:rPr>
                <w:rFonts w:ascii="Arial" w:cs="Arial" w:eastAsia="Arial" w:hAnsi="Arial"/>
                <w:sz w:val="18"/>
                <w:szCs w:val="18"/>
                <w:color w:val="auto"/>
                <w:w w:val="87"/>
              </w:rPr>
              <w:t xml:space="preserve">August 21, 2015 </w:t>
            </w:r>
            <w:r>
              <w:rPr>
                <w:rFonts w:ascii="Arial" w:cs="Arial" w:eastAsia="Arial" w:hAnsi="Arial"/>
                <w:sz w:val="29"/>
                <w:szCs w:val="29"/>
                <w:color w:val="auto"/>
                <w:w w:val="87"/>
                <w:vertAlign w:val="superscript"/>
              </w:rPr>
              <w:t>(1)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28, 2015</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60" w:type="dxa"/>
            <w:vAlign w:val="bottom"/>
          </w:tcPr>
          <w:p>
            <w:pPr>
              <w:jc w:val="center"/>
              <w:ind w:left="331"/>
              <w:spacing w:after="0" w:line="256" w:lineRule="exact"/>
              <w:rPr>
                <w:sz w:val="20"/>
                <w:szCs w:val="20"/>
                <w:color w:val="auto"/>
              </w:rPr>
            </w:pPr>
            <w:r>
              <w:rPr>
                <w:rFonts w:ascii="Arial" w:cs="Arial" w:eastAsia="Arial" w:hAnsi="Arial"/>
                <w:sz w:val="18"/>
                <w:szCs w:val="18"/>
                <w:color w:val="auto"/>
                <w:w w:val="87"/>
              </w:rPr>
              <w:t xml:space="preserve">September 23, 2015 </w:t>
            </w:r>
            <w:r>
              <w:rPr>
                <w:rFonts w:ascii="Arial" w:cs="Arial" w:eastAsia="Arial" w:hAnsi="Arial"/>
                <w:sz w:val="29"/>
                <w:szCs w:val="29"/>
                <w:color w:val="auto"/>
                <w:w w:val="87"/>
                <w:vertAlign w:val="superscript"/>
              </w:rPr>
              <w:t>(1)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1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60" w:type="dxa"/>
            <w:vAlign w:val="bottom"/>
            <w:shd w:val="clear" w:color="auto" w:fill="CCEEFF"/>
          </w:tcPr>
          <w:p>
            <w:pPr>
              <w:jc w:val="center"/>
              <w:ind w:left="331"/>
              <w:spacing w:after="0" w:line="256" w:lineRule="exact"/>
              <w:rPr>
                <w:sz w:val="20"/>
                <w:szCs w:val="20"/>
                <w:color w:val="auto"/>
              </w:rPr>
            </w:pPr>
            <w:r>
              <w:rPr>
                <w:rFonts w:ascii="Arial" w:cs="Arial" w:eastAsia="Arial" w:hAnsi="Arial"/>
                <w:sz w:val="18"/>
                <w:szCs w:val="18"/>
                <w:color w:val="auto"/>
                <w:w w:val="88"/>
              </w:rPr>
              <w:t xml:space="preserve">October 23, 2015 </w:t>
            </w:r>
            <w:r>
              <w:rPr>
                <w:rFonts w:ascii="Arial" w:cs="Arial" w:eastAsia="Arial" w:hAnsi="Arial"/>
                <w:sz w:val="29"/>
                <w:szCs w:val="29"/>
                <w:color w:val="auto"/>
                <w:w w:val="88"/>
                <w:vertAlign w:val="superscript"/>
              </w:rPr>
              <w:t>(1)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29, 2015</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60" w:type="dxa"/>
            <w:vAlign w:val="bottom"/>
          </w:tcPr>
          <w:p>
            <w:pPr>
              <w:jc w:val="center"/>
              <w:ind w:left="331"/>
              <w:spacing w:after="0" w:line="256" w:lineRule="exact"/>
              <w:rPr>
                <w:sz w:val="20"/>
                <w:szCs w:val="20"/>
                <w:color w:val="auto"/>
              </w:rPr>
            </w:pPr>
            <w:r>
              <w:rPr>
                <w:rFonts w:ascii="Arial" w:cs="Arial" w:eastAsia="Arial" w:hAnsi="Arial"/>
                <w:sz w:val="18"/>
                <w:szCs w:val="18"/>
                <w:color w:val="auto"/>
                <w:w w:val="87"/>
              </w:rPr>
              <w:t xml:space="preserve">November 20, 2015 </w:t>
            </w:r>
            <w:r>
              <w:rPr>
                <w:rFonts w:ascii="Arial" w:cs="Arial" w:eastAsia="Arial" w:hAnsi="Arial"/>
                <w:sz w:val="29"/>
                <w:szCs w:val="29"/>
                <w:color w:val="auto"/>
                <w:w w:val="87"/>
                <w:vertAlign w:val="superscript"/>
              </w:rPr>
              <w:t>(1)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27, 2015</w:t>
            </w:r>
          </w:p>
        </w:tc>
        <w:tc>
          <w:tcPr>
            <w:tcW w:w="1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60" w:type="dxa"/>
            <w:vAlign w:val="bottom"/>
            <w:shd w:val="clear" w:color="auto" w:fill="CCEEFF"/>
          </w:tcPr>
          <w:p>
            <w:pPr>
              <w:jc w:val="center"/>
              <w:ind w:left="331"/>
              <w:spacing w:after="0" w:line="256" w:lineRule="exact"/>
              <w:rPr>
                <w:sz w:val="20"/>
                <w:szCs w:val="20"/>
                <w:color w:val="auto"/>
              </w:rPr>
            </w:pPr>
            <w:r>
              <w:rPr>
                <w:rFonts w:ascii="Arial" w:cs="Arial" w:eastAsia="Arial" w:hAnsi="Arial"/>
                <w:sz w:val="18"/>
                <w:szCs w:val="18"/>
                <w:color w:val="auto"/>
                <w:w w:val="87"/>
              </w:rPr>
              <w:t xml:space="preserve">December 22, 2015 </w:t>
            </w:r>
            <w:r>
              <w:rPr>
                <w:rFonts w:ascii="Arial" w:cs="Arial" w:eastAsia="Arial" w:hAnsi="Arial"/>
                <w:sz w:val="29"/>
                <w:szCs w:val="29"/>
                <w:color w:val="auto"/>
                <w:w w:val="87"/>
                <w:vertAlign w:val="superscript"/>
              </w:rPr>
              <w:t>(1)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2015</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460" w:type="dxa"/>
            <w:vAlign w:val="bottom"/>
          </w:tcPr>
          <w:p>
            <w:pPr>
              <w:jc w:val="center"/>
              <w:ind w:left="331"/>
              <w:spacing w:after="0"/>
              <w:rPr>
                <w:sz w:val="20"/>
                <w:szCs w:val="20"/>
                <w:color w:val="auto"/>
              </w:rPr>
            </w:pPr>
            <w:r>
              <w:rPr>
                <w:rFonts w:ascii="Arial" w:cs="Arial" w:eastAsia="Arial" w:hAnsi="Arial"/>
                <w:sz w:val="18"/>
                <w:szCs w:val="18"/>
                <w:color w:val="auto"/>
                <w:w w:val="93"/>
              </w:rPr>
              <w:t>April 23, 2015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29, 2015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4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1"/>
              </w:rPr>
              <w:t>May 21, 2015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28, 2015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460" w:type="dxa"/>
            <w:vAlign w:val="bottom"/>
          </w:tcPr>
          <w:p>
            <w:pPr>
              <w:jc w:val="center"/>
              <w:ind w:left="331"/>
              <w:spacing w:after="0"/>
              <w:rPr>
                <w:sz w:val="20"/>
                <w:szCs w:val="20"/>
                <w:color w:val="auto"/>
              </w:rPr>
            </w:pPr>
            <w:r>
              <w:rPr>
                <w:rFonts w:ascii="Arial" w:cs="Arial" w:eastAsia="Arial" w:hAnsi="Arial"/>
                <w:sz w:val="18"/>
                <w:szCs w:val="18"/>
                <w:color w:val="auto"/>
                <w:w w:val="87"/>
              </w:rPr>
              <w:t>June 22, 2015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29, 2015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24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9"/>
              </w:rPr>
              <w:t>July 23, 2015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30, 2015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2460" w:type="dxa"/>
            <w:vAlign w:val="bottom"/>
          </w:tcPr>
          <w:p>
            <w:pPr>
              <w:jc w:val="center"/>
              <w:ind w:left="331"/>
              <w:spacing w:after="0"/>
              <w:rPr>
                <w:sz w:val="20"/>
                <w:szCs w:val="20"/>
                <w:color w:val="auto"/>
              </w:rPr>
            </w:pPr>
            <w:r>
              <w:rPr>
                <w:rFonts w:ascii="Arial" w:cs="Arial" w:eastAsia="Arial" w:hAnsi="Arial"/>
                <w:sz w:val="18"/>
                <w:szCs w:val="18"/>
                <w:color w:val="auto"/>
                <w:w w:val="91"/>
              </w:rPr>
              <w:t>August 21, 2015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28, 2015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24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8"/>
              </w:rPr>
              <w:t>September 23, 2015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2460" w:type="dxa"/>
            <w:vAlign w:val="bottom"/>
          </w:tcPr>
          <w:p>
            <w:pPr>
              <w:jc w:val="center"/>
              <w:ind w:left="331"/>
              <w:spacing w:after="0"/>
              <w:rPr>
                <w:sz w:val="20"/>
                <w:szCs w:val="20"/>
                <w:color w:val="auto"/>
              </w:rPr>
            </w:pPr>
            <w:r>
              <w:rPr>
                <w:rFonts w:ascii="Arial" w:cs="Arial" w:eastAsia="Arial" w:hAnsi="Arial"/>
                <w:sz w:val="18"/>
                <w:szCs w:val="18"/>
                <w:color w:val="auto"/>
                <w:w w:val="89"/>
              </w:rPr>
              <w:t>October 23, 2015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29, 2015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2015</w:t>
            </w:r>
          </w:p>
        </w:tc>
        <w:tc>
          <w:tcPr>
            <w:tcW w:w="24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1"/>
              </w:rPr>
              <w:t>November 20, 2015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27, 2015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2460" w:type="dxa"/>
            <w:vAlign w:val="bottom"/>
          </w:tcPr>
          <w:p>
            <w:pPr>
              <w:jc w:val="center"/>
              <w:ind w:left="331"/>
              <w:spacing w:after="0"/>
              <w:rPr>
                <w:sz w:val="20"/>
                <w:szCs w:val="20"/>
                <w:color w:val="auto"/>
              </w:rPr>
            </w:pPr>
            <w:r>
              <w:rPr>
                <w:rFonts w:ascii="Arial" w:cs="Arial" w:eastAsia="Arial" w:hAnsi="Arial"/>
                <w:sz w:val="18"/>
                <w:szCs w:val="18"/>
                <w:color w:val="auto"/>
                <w:w w:val="88"/>
              </w:rPr>
              <w:t>December 22, 2015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2015</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48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w w:val="94"/>
              </w:rPr>
              <w:t>Total Distributions Declared and Distributed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February 26, 2015, the Company’s Board declared a special distribution of $0.50 per share of the Company’s common stock, which was paid monthly over the remainder of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Mr. Alala, our chief executive officer and chairman of our Board, is the managing partner and chief investment officer of the Investment Advisor, and Mr. Broyhill, a member of our Board, has an indirect controlling interest in the Investment Advisor.</w:t>
      </w:r>
    </w:p>
    <w:p>
      <w:pPr>
        <w:spacing w:after="0" w:line="181" w:lineRule="exact"/>
        <w:rPr>
          <w:sz w:val="20"/>
          <w:szCs w:val="20"/>
          <w:color w:val="auto"/>
        </w:rPr>
      </w:pPr>
    </w:p>
    <w:p>
      <w:pPr>
        <w:ind w:right="60" w:firstLine="881"/>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providing financing solutions to the lower middle-market and traditional middle-market.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188" w:lineRule="exact"/>
        <w:rPr>
          <w:sz w:val="20"/>
          <w:szCs w:val="20"/>
          <w:color w:val="auto"/>
        </w:rPr>
      </w:pPr>
    </w:p>
    <w:p>
      <w:pPr>
        <w:ind w:right="120" w:firstLine="881"/>
        <w:spacing w:after="0" w:line="297"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This exemptive relief is subject to certain conditions designed to ensure that the participation by one investment fund in a co-investment transaction would not be on a basis different from or less advantageous than that of other affiliated investment funds.</w:t>
      </w:r>
    </w:p>
    <w:p>
      <w:pPr>
        <w:spacing w:after="0" w:line="158"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right="160" w:firstLine="881"/>
        <w:spacing w:after="0" w:line="302" w:lineRule="auto"/>
        <w:rPr>
          <w:sz w:val="20"/>
          <w:szCs w:val="20"/>
          <w:color w:val="auto"/>
        </w:rPr>
      </w:pPr>
      <w:r>
        <w:rPr>
          <w:rFonts w:ascii="Arial" w:cs="Arial" w:eastAsia="Arial" w:hAnsi="Arial"/>
          <w:sz w:val="16"/>
          <w:szCs w:val="16"/>
          <w:color w:val="auto"/>
        </w:rPr>
        <w:t>We have entered into a license agreement with the Investment Advisor, pursuant to which the Investment Advisor has agreed to grant us a non-exclusive, royalty-free license to use the name “Capitala.”We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0" w:firstLine="881"/>
        <w:spacing w:after="0" w:line="308" w:lineRule="auto"/>
        <w:rPr>
          <w:sz w:val="20"/>
          <w:szCs w:val="20"/>
          <w:color w:val="auto"/>
        </w:rPr>
      </w:pPr>
      <w:r>
        <w:rPr>
          <w:rFonts w:ascii="Arial" w:cs="Arial" w:eastAsia="Arial" w:hAnsi="Arial"/>
          <w:sz w:val="17"/>
          <w:szCs w:val="17"/>
          <w:color w:val="auto"/>
        </w:rPr>
        <w:t>As of March 31, 2017 and December 31, 2016, the Company had outstanding unfunded commitments related to debt investments in existing portfolio companies of $0.8 million (U.S. Well Services, LLC) and $1.2 million (On-Site Fuel Services, Inc.), respectively.</w:t>
      </w:r>
    </w:p>
    <w:p>
      <w:pPr>
        <w:spacing w:after="0" w:line="147" w:lineRule="exact"/>
        <w:rPr>
          <w:sz w:val="20"/>
          <w:szCs w:val="20"/>
          <w:color w:val="auto"/>
        </w:rPr>
      </w:pPr>
    </w:p>
    <w:p>
      <w:pPr>
        <w:ind w:right="220" w:firstLine="881"/>
        <w:spacing w:after="0" w:line="308" w:lineRule="auto"/>
        <w:rPr>
          <w:sz w:val="20"/>
          <w:szCs w:val="20"/>
          <w:color w:val="auto"/>
        </w:rPr>
      </w:pPr>
      <w:r>
        <w:rPr>
          <w:rFonts w:ascii="Arial" w:cs="Arial" w:eastAsia="Arial" w:hAnsi="Arial"/>
          <w:sz w:val="17"/>
          <w:szCs w:val="17"/>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April 3, 2017 our Board declared the following distributions: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30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Record Date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4"/>
          </w:tcPr>
          <w:p>
            <w:pPr>
              <w:jc w:val="center"/>
              <w:ind w:right="205"/>
              <w:spacing w:after="0"/>
              <w:rPr>
                <w:sz w:val="20"/>
                <w:szCs w:val="20"/>
                <w:color w:val="auto"/>
              </w:rPr>
            </w:pPr>
            <w:r>
              <w:rPr>
                <w:rFonts w:ascii="Arial" w:cs="Arial" w:eastAsia="Arial" w:hAnsi="Arial"/>
                <w:sz w:val="18"/>
                <w:szCs w:val="18"/>
                <w:b w:val="1"/>
                <w:bCs w:val="1"/>
                <w:color w:val="auto"/>
                <w:w w:val="90"/>
              </w:rPr>
              <w:t>Payment Date</w:t>
            </w: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3, 2017</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April 19, 2017</w:t>
            </w: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27, 2017</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1"/>
              </w:rPr>
              <w:t>May 23, 2017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4"/>
          </w:tcPr>
          <w:p>
            <w:pPr>
              <w:jc w:val="center"/>
              <w:ind w:right="205"/>
              <w:spacing w:after="0"/>
              <w:rPr>
                <w:sz w:val="20"/>
                <w:szCs w:val="20"/>
                <w:color w:val="auto"/>
              </w:rPr>
            </w:pPr>
            <w:r>
              <w:rPr>
                <w:rFonts w:ascii="Arial" w:cs="Arial" w:eastAsia="Arial" w:hAnsi="Arial"/>
                <w:sz w:val="18"/>
                <w:szCs w:val="18"/>
                <w:color w:val="auto"/>
                <w:w w:val="91"/>
              </w:rPr>
              <w:t>May 29, 2017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3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June 24, 2017</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jc w:val="center"/>
              <w:ind w:right="205"/>
              <w:spacing w:after="0"/>
              <w:rPr>
                <w:sz w:val="20"/>
                <w:szCs w:val="20"/>
                <w:color w:val="auto"/>
              </w:rPr>
            </w:pPr>
            <w:r>
              <w:rPr>
                <w:rFonts w:ascii="Arial" w:cs="Arial" w:eastAsia="Arial" w:hAnsi="Arial"/>
                <w:sz w:val="18"/>
                <w:szCs w:val="18"/>
                <w:color w:val="auto"/>
                <w:w w:val="87"/>
              </w:rPr>
              <w:t>June 29, 2017</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60" w:type="dxa"/>
            <w:vAlign w:val="bottom"/>
            <w:gridSpan w:val="5"/>
          </w:tcPr>
          <w:p>
            <w:pPr>
              <w:ind w:left="340"/>
              <w:spacing w:after="0"/>
              <w:rPr>
                <w:sz w:val="20"/>
                <w:szCs w:val="20"/>
                <w:color w:val="auto"/>
              </w:rPr>
            </w:pPr>
            <w:r>
              <w:rPr>
                <w:rFonts w:ascii="Arial" w:cs="Arial" w:eastAsia="Arial" w:hAnsi="Arial"/>
                <w:sz w:val="18"/>
                <w:szCs w:val="18"/>
                <w:color w:val="auto"/>
                <w:w w:val="95"/>
              </w:rPr>
              <w:t>Total Distributions Declared and Distributed</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On April 26, 2017, the Company received $15.0 million for its second lien debt investment in Nielsen &amp; Bainbridge, LLC, repaid at par.</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May 1, 2017, the Company received $5.5 million for its equity investment in MJC Holdings, LLC, resulting in a realized gain of $4.5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2017, we did not engage in hedging activities.</w:t>
      </w:r>
    </w:p>
    <w:p>
      <w:pPr>
        <w:spacing w:after="0" w:line="18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As of March 31, 2017, we held 21 securities bearing a variable rate of interest. Our variable rate investments represent approximately 44.8% of the fair value of total interest earning investments. As of March 31, 2017, 55.7% of variable rate securities were yielding interest at a rate equal to the established interest rate floor and 44.3% of variable rate securities were yielding interest at a rate above its existing floor or were not subject to an interest rate floor. As of March 31, 2017, we had $44.0 million outstanding on our Credit Facility, which has a variable rate of interest at one month LIBOR + 300 basis points. As of March 31, 2017, all of our other interest paying liabilities, consisting of $170.7 million in SBA-guaranteed debentures and $113.4 million in notes payable, were bearing interest at a fixed rate.</w:t>
      </w:r>
    </w:p>
    <w:p>
      <w:pPr>
        <w:spacing w:after="0" w:line="193" w:lineRule="exact"/>
        <w:rPr>
          <w:sz w:val="20"/>
          <w:szCs w:val="20"/>
          <w:color w:val="auto"/>
        </w:rPr>
      </w:pPr>
    </w:p>
    <w:p>
      <w:pPr>
        <w:ind w:right="220" w:firstLine="881"/>
        <w:spacing w:after="0" w:line="25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87" w:lineRule="exact"/>
        <w:rPr>
          <w:sz w:val="20"/>
          <w:szCs w:val="20"/>
          <w:color w:val="auto"/>
        </w:rPr>
      </w:pPr>
    </w:p>
    <w:p>
      <w:pPr>
        <w:jc w:val="both"/>
        <w:ind w:right="620" w:firstLine="881"/>
        <w:spacing w:after="0" w:line="264" w:lineRule="auto"/>
        <w:rPr>
          <w:sz w:val="20"/>
          <w:szCs w:val="20"/>
          <w:color w:val="auto"/>
        </w:rPr>
      </w:pPr>
      <w:r>
        <w:rPr>
          <w:rFonts w:ascii="Arial" w:cs="Arial" w:eastAsia="Arial" w:hAnsi="Arial"/>
          <w:sz w:val="18"/>
          <w:szCs w:val="18"/>
          <w:color w:val="auto"/>
        </w:rPr>
        <w:t>Based on our March 31, 2017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2"/>
              </w:rPr>
              <w:t>Increase (decrease)</w:t>
            </w:r>
          </w:p>
        </w:tc>
        <w:tc>
          <w:tcPr>
            <w:tcW w:w="1880" w:type="dxa"/>
            <w:vAlign w:val="bottom"/>
            <w:gridSpan w:val="3"/>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Increase) decrease in</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6420" w:type="dxa"/>
            <w:vAlign w:val="bottom"/>
          </w:tcPr>
          <w:p>
            <w:pPr>
              <w:ind w:left="2480"/>
              <w:spacing w:after="0"/>
              <w:rPr>
                <w:sz w:val="20"/>
                <w:szCs w:val="20"/>
                <w:color w:val="auto"/>
              </w:rPr>
            </w:pPr>
            <w:r>
              <w:rPr>
                <w:rFonts w:ascii="Arial" w:cs="Arial" w:eastAsia="Arial" w:hAnsi="Arial"/>
                <w:sz w:val="18"/>
                <w:szCs w:val="18"/>
                <w:b w:val="1"/>
                <w:bCs w:val="1"/>
                <w:color w:val="auto"/>
              </w:rPr>
              <w:t>Basis Point Change</w:t>
            </w:r>
          </w:p>
        </w:tc>
        <w:tc>
          <w:tcPr>
            <w:tcW w:w="120" w:type="dxa"/>
            <w:vAlign w:val="bottom"/>
          </w:tcPr>
          <w:p>
            <w:pPr>
              <w:spacing w:after="0"/>
              <w:rPr>
                <w:sz w:val="20"/>
                <w:szCs w:val="20"/>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in interest income</w:t>
            </w:r>
          </w:p>
        </w:tc>
        <w:tc>
          <w:tcPr>
            <w:tcW w:w="160" w:type="dxa"/>
            <w:vAlign w:val="bottom"/>
          </w:tcPr>
          <w:p>
            <w:pPr>
              <w:spacing w:after="0"/>
              <w:rPr>
                <w:sz w:val="20"/>
                <w:szCs w:val="20"/>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interest expense</w:t>
            </w: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 net income</w:t>
            </w: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Up 200 basis points</w:t>
            </w:r>
          </w:p>
        </w:tc>
        <w:tc>
          <w:tcPr>
            <w:tcW w:w="68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68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Down 100 basis points</w:t>
            </w:r>
          </w:p>
        </w:tc>
        <w:tc>
          <w:tcPr>
            <w:tcW w:w="68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Down 300 basis points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As of March 31, 2017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80" w:firstLine="881"/>
        <w:spacing w:after="0" w:line="308" w:lineRule="auto"/>
        <w:rPr>
          <w:sz w:val="20"/>
          <w:szCs w:val="20"/>
          <w:color w:val="auto"/>
        </w:rPr>
      </w:pPr>
      <w:r>
        <w:rPr>
          <w:rFonts w:ascii="Arial" w:cs="Arial" w:eastAsia="Arial" w:hAnsi="Arial"/>
          <w:sz w:val="17"/>
          <w:szCs w:val="17"/>
          <w:color w:val="auto"/>
        </w:rPr>
        <w:t>Management has not identified any change in the Company’s internal control over financial reporting that occurred during the first quarter of 2017 that has materially affected, or is reasonably likely to materially affect, the Company’s internal control over financial reporting.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881"/>
        <w:spacing w:after="0" w:line="255" w:lineRule="auto"/>
        <w:rPr>
          <w:sz w:val="20"/>
          <w:szCs w:val="20"/>
          <w:color w:val="auto"/>
        </w:rPr>
      </w:pPr>
      <w:r>
        <w:rPr>
          <w:rFonts w:ascii="Arial" w:cs="Arial" w:eastAsia="Arial" w:hAnsi="Arial"/>
          <w:sz w:val="18"/>
          <w:szCs w:val="18"/>
          <w:color w:val="auto"/>
        </w:rPr>
        <w:t>None of us, our Investment Advisor or Administrator or any of the Legacy Funds, are currently subject to any material legal proceedings, nor, to our knowledge, is any material legal proceeding threatened against us, or against our Investment Advisor or Administrator or any of the Legacy Funds.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2016,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During the three months ended March 31, 2017, there have been no material changes from the risk factors set forth in our Annual Report on Form 10-K for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firstLine="891"/>
        <w:spacing w:after="0" w:line="279" w:lineRule="auto"/>
        <w:rPr>
          <w:sz w:val="20"/>
          <w:szCs w:val="20"/>
          <w:color w:val="auto"/>
        </w:rPr>
      </w:pPr>
      <w:r>
        <w:rPr>
          <w:rFonts w:ascii="Arial" w:cs="Arial" w:eastAsia="Arial" w:hAnsi="Arial"/>
          <w:sz w:val="17"/>
          <w:szCs w:val="17"/>
          <w:color w:val="auto"/>
        </w:rPr>
        <w:t>During the quarter ended March 31, 2017, we issued 15,447 shares of common stock under our dividend reinvestment plan. The issuances were not subject to the registration requirements under the Securities Act of 1933, as amended. The cash paid for shares of common stock issued under our dividend reinvestment plan during the quarter ended March 31, 2017 was approximately $0.2 million. Other than the shares issued under our dividend reinvestment plan during the quarter ended March 31, 2017, we did not sell any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20"/>
          </w:cols>
          <w:pgMar w:left="240" w:top="904"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63715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Articles of Amendment and Restatement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Fund II Limited Partnership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SBIC Fund III, L.P.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Bylaws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Amended and Restated Limited Partnership Agreement of CapitalSouth Partners Fund II Limited Partnership </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Amended and Restated Agreement of Limited Partnership of CapitalSouth Partners SBIC Fund III, L.P. </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Common Stock Certificate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Base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First Supplemental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Global Note (included as Exhibit A to the Form of First Supplemental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Dividend Reinvestment Plan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Investment Advisory Agreement by and between Registrant and Capitala Investment Advisors, LLC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Custodian Agreement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Administration Agreement by and between Registrant and Capitala Advisors Corp.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Indemnification Agreement by and between Registrant and each of its directors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Trademark License Agreement by and between Registrant and Capitala Investment Advisors, LLC </w:t>
      </w:r>
      <w:r>
        <w:rPr>
          <w:rFonts w:ascii="Arial" w:cs="Arial" w:eastAsia="Arial" w:hAnsi="Arial"/>
          <w:sz w:val="30"/>
          <w:szCs w:val="30"/>
          <w:color w:val="auto"/>
          <w:vertAlign w:val="superscript"/>
        </w:rPr>
        <w:t>(1)</w:t>
      </w:r>
    </w:p>
    <w:p>
      <w:pPr>
        <w:spacing w:after="0" w:line="124"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 xml:space="preserve">Form of Senior Secured Revolving Credit Agreement dated October 17, 2014, among Capitala Finance Corp., as Borrower, the lenders party thereto, and ING Capital LLC, as administrative agent, arranger and bookrunner </w:t>
      </w:r>
      <w:r>
        <w:rPr>
          <w:rFonts w:ascii="Arial" w:cs="Arial" w:eastAsia="Arial" w:hAnsi="Arial"/>
          <w:sz w:val="30"/>
          <w:szCs w:val="30"/>
          <w:color w:val="auto"/>
          <w:vertAlign w:val="superscript"/>
        </w:rPr>
        <w:t>(5)</w:t>
      </w:r>
    </w:p>
    <w:p>
      <w:pPr>
        <w:spacing w:after="0" w:line="45" w:lineRule="exact"/>
        <w:rPr>
          <w:sz w:val="20"/>
          <w:szCs w:val="20"/>
          <w:color w:val="auto"/>
        </w:rPr>
      </w:pPr>
    </w:p>
    <w:p>
      <w:pPr>
        <w:ind w:right="160" w:firstLine="45"/>
        <w:spacing w:after="0" w:line="269" w:lineRule="auto"/>
        <w:rPr>
          <w:sz w:val="20"/>
          <w:szCs w:val="20"/>
          <w:color w:val="auto"/>
        </w:rPr>
      </w:pPr>
      <w:r>
        <w:rPr>
          <w:rFonts w:ascii="Arial" w:cs="Arial" w:eastAsia="Arial" w:hAnsi="Arial"/>
          <w:sz w:val="18"/>
          <w:szCs w:val="18"/>
          <w:color w:val="auto"/>
        </w:rPr>
        <w:t xml:space="preserve">Form of Guarantee, Pledge and Security Agreement dated October 17, 2014, among Capitala Finance Corp., as Borrower, the subsidiary guarantors party thereto, ING Capital LLC, as Revolving Administrative Agent for the Revolving Lenders and as Collateral Agent, and each Financing Agent and Designated Indebtedness Holder party thereto </w:t>
      </w:r>
      <w:r>
        <w:rPr>
          <w:rFonts w:ascii="Arial" w:cs="Arial" w:eastAsia="Arial" w:hAnsi="Arial"/>
          <w:sz w:val="30"/>
          <w:szCs w:val="30"/>
          <w:color w:val="auto"/>
          <w:vertAlign w:val="superscript"/>
        </w:rPr>
        <w:t>(5)</w:t>
      </w:r>
    </w:p>
    <w:p>
      <w:pPr>
        <w:spacing w:after="0" w:line="54" w:lineRule="exact"/>
        <w:rPr>
          <w:sz w:val="20"/>
          <w:szCs w:val="20"/>
          <w:color w:val="auto"/>
        </w:rPr>
      </w:pPr>
    </w:p>
    <w:p>
      <w:pPr>
        <w:sectPr>
          <w:pgSz w:w="11900" w:h="16838" w:orient="portrait"/>
          <w:cols w:equalWidth="0" w:num="2">
            <w:col w:w="660" w:space="720"/>
            <w:col w:w="100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Form of Incremental Assumption Agreement, dated January 6, 2015, relating to the Senior Secured Revolving Credit Agreement, dated as</w:t>
            </w:r>
          </w:p>
        </w:tc>
      </w:tr>
      <w:tr>
        <w:trPr>
          <w:trHeight w:val="220"/>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of October 17, 2014, among Capitala Finance Corp., as borrower, the lenders from time to time party thereto, and ING Capital LLC, as</w:t>
            </w:r>
          </w:p>
        </w:tc>
      </w:tr>
      <w:tr>
        <w:trPr>
          <w:trHeight w:val="390"/>
        </w:trPr>
        <w:tc>
          <w:tcPr>
            <w:tcW w:w="900" w:type="dxa"/>
            <w:vAlign w:val="bottom"/>
          </w:tcPr>
          <w:p>
            <w:pPr>
              <w:spacing w:after="0"/>
              <w:rPr>
                <w:sz w:val="24"/>
                <w:szCs w:val="24"/>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 xml:space="preserve">administrative agent, arranger and bookrunner </w:t>
            </w:r>
            <w:r>
              <w:rPr>
                <w:rFonts w:ascii="Arial" w:cs="Arial" w:eastAsia="Arial" w:hAnsi="Arial"/>
                <w:sz w:val="30"/>
                <w:szCs w:val="30"/>
                <w:color w:val="auto"/>
                <w:vertAlign w:val="superscript"/>
              </w:rPr>
              <w:t>(6)</w:t>
            </w:r>
          </w:p>
        </w:tc>
      </w:tr>
      <w:tr>
        <w:trPr>
          <w:trHeight w:val="295"/>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Form of Incremental Assumption Agreement, dated August 19, 2015, relating to the Senior Secured Revolving Credit Agreement, dated as</w:t>
            </w:r>
          </w:p>
        </w:tc>
      </w:tr>
      <w:tr>
        <w:trPr>
          <w:trHeight w:val="220"/>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9"/>
              </w:rPr>
              <w:t>of October 17, 2014, among Capitala Finance Corp., as borrower, the lenders from time party thereto, and ING Capital LLC, as</w:t>
            </w:r>
          </w:p>
        </w:tc>
      </w:tr>
      <w:tr>
        <w:trPr>
          <w:trHeight w:val="390"/>
        </w:trPr>
        <w:tc>
          <w:tcPr>
            <w:tcW w:w="900" w:type="dxa"/>
            <w:vAlign w:val="bottom"/>
          </w:tcPr>
          <w:p>
            <w:pPr>
              <w:spacing w:after="0"/>
              <w:rPr>
                <w:sz w:val="24"/>
                <w:szCs w:val="24"/>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 xml:space="preserve">administrative agent, arranger, and bookrunner </w:t>
            </w:r>
            <w:r>
              <w:rPr>
                <w:rFonts w:ascii="Arial" w:cs="Arial" w:eastAsia="Arial" w:hAnsi="Arial"/>
                <w:sz w:val="30"/>
                <w:szCs w:val="30"/>
                <w:color w:val="auto"/>
                <w:vertAlign w:val="superscript"/>
              </w:rPr>
              <w:t>(7)</w:t>
            </w:r>
          </w:p>
        </w:tc>
      </w:tr>
      <w:tr>
        <w:trPr>
          <w:trHeight w:val="525"/>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74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904" w:right="239" w:bottom="1440" w:gutter="0" w:footer="0" w:header="0"/>
          <w:type w:val="continuous"/>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11.1</w:t>
            </w:r>
          </w:p>
        </w:tc>
        <w:tc>
          <w:tcPr>
            <w:tcW w:w="10340" w:type="dxa"/>
            <w:vAlign w:val="bottom"/>
          </w:tcPr>
          <w:p>
            <w:pPr>
              <w:ind w:left="520"/>
              <w:spacing w:after="0"/>
              <w:rPr>
                <w:sz w:val="20"/>
                <w:szCs w:val="20"/>
                <w:color w:val="auto"/>
              </w:rPr>
            </w:pPr>
            <w:r>
              <w:rPr>
                <w:rFonts w:ascii="Arial" w:cs="Arial" w:eastAsia="Arial" w:hAnsi="Arial"/>
                <w:sz w:val="18"/>
                <w:szCs w:val="18"/>
                <w:color w:val="auto"/>
              </w:rPr>
              <w:t>Computation of Per Share Earnings (included in the notes to the consolidated financial statements contained in this report)</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Certification of Chief Executive Officer pursuant to Rule 13a-14 of the Securities Exchange Act of 1934, as adopted pursuant to Section</w:t>
            </w:r>
          </w:p>
        </w:tc>
      </w:tr>
      <w:tr>
        <w:trPr>
          <w:trHeight w:val="230"/>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302 of the Sarbanes-Oxley Act of 2002 (filed herewith)</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Certification of Chief Financial Officer pursuant to Rule 13a-14 of the Securities Exchange Act of 1934, as adopted pursuant to Section</w:t>
            </w:r>
          </w:p>
        </w:tc>
      </w:tr>
      <w:tr>
        <w:trPr>
          <w:trHeight w:val="230"/>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302 of the Sarbanes-Oxley Act of 2002 (filed herewith)</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32.1</w:t>
            </w: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Certification of Chief Executive Officer 18 U.S.C. Section 1350, as adopted pursuant to section 906 of the Sarbanes-Oxley Act of 2002</w:t>
            </w:r>
          </w:p>
        </w:tc>
      </w:tr>
      <w:tr>
        <w:trPr>
          <w:trHeight w:val="230"/>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(filed herewith)</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32.2</w:t>
            </w: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Certification of Chief Financial Officer 18 U.S.C. Section 1350, as adopted pursuant to section 906 of the Sarbanes-Oxley Act of 2002</w:t>
            </w:r>
          </w:p>
        </w:tc>
      </w:tr>
      <w:tr>
        <w:trPr>
          <w:trHeight w:val="230"/>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(filed herewith)</w:t>
            </w:r>
          </w:p>
        </w:tc>
      </w:tr>
    </w:tbl>
    <w:p>
      <w:pPr>
        <w:spacing w:after="0" w:line="202" w:lineRule="exact"/>
        <w:rPr>
          <w:sz w:val="20"/>
          <w:szCs w:val="20"/>
          <w:color w:val="auto"/>
        </w:rPr>
      </w:pPr>
    </w:p>
    <w:p>
      <w:pPr>
        <w:ind w:left="1380" w:right="120" w:hanging="1372"/>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1380" w:hanging="1372"/>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1380" w:hanging="1372"/>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170" w:lineRule="exact"/>
        <w:rPr>
          <w:rFonts w:ascii="Arial" w:cs="Arial" w:eastAsia="Arial" w:hAnsi="Arial"/>
          <w:sz w:val="18"/>
          <w:szCs w:val="18"/>
          <w:color w:val="auto"/>
        </w:rPr>
      </w:pPr>
    </w:p>
    <w:p>
      <w:pPr>
        <w:ind w:left="1380" w:hanging="1372"/>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170" w:lineRule="exact"/>
        <w:rPr>
          <w:rFonts w:ascii="Arial" w:cs="Arial" w:eastAsia="Arial" w:hAnsi="Arial"/>
          <w:sz w:val="18"/>
          <w:szCs w:val="18"/>
          <w:color w:val="auto"/>
        </w:rPr>
      </w:pPr>
    </w:p>
    <w:p>
      <w:pPr>
        <w:ind w:left="1380" w:hanging="137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9"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8, 2017</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8, 2017</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58</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40" w:right="20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68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620" w:right="8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68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620" w:right="2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620" w:right="8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620" w:right="30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2017,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620" w:right="600" w:hanging="64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620" w:right="640" w:hanging="64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2017,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620" w:right="600" w:hanging="64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620" w:right="640" w:hanging="64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bullet"/>
      <w:start w:val="1"/>
    </w:lvl>
  </w:abstractNum>
  <w:abstractNum w:abstractNumId="13">
    <w:nsid w:val="257130A3"/>
    <w:multiLevelType w:val="hybridMultilevel"/>
    <w:lvl w:ilvl="0">
      <w:lvlJc w:val="left"/>
      <w:lvlText w:val="2"/>
      <w:numFmt w:val="bullet"/>
      <w:start w:val="1"/>
    </w:lvl>
  </w:abstractNum>
  <w:abstractNum w:abstractNumId="14">
    <w:nsid w:val="62BBD95A"/>
    <w:multiLevelType w:val="hybridMultilevel"/>
    <w:lvl w:ilvl="0">
      <w:lvlJc w:val="left"/>
      <w:lvlText w:val="3"/>
      <w:numFmt w:val="bullet"/>
      <w:start w:val="1"/>
    </w:lvl>
  </w:abstractNum>
  <w:abstractNum w:abstractNumId="15">
    <w:nsid w:val="436C6125"/>
    <w:multiLevelType w:val="hybridMultilevel"/>
    <w:lvl w:ilvl="0">
      <w:lvlJc w:val="left"/>
      <w:lvlText w:val="4"/>
      <w:numFmt w:val="bullet"/>
      <w:start w:val="1"/>
    </w:lvl>
  </w:abstractNum>
  <w:abstractNum w:abstractNumId="16">
    <w:nsid w:val="628C895D"/>
    <w:multiLevelType w:val="hybridMultilevel"/>
    <w:lvl w:ilvl="0">
      <w:lvlJc w:val="left"/>
      <w:lvlText w:val="5"/>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2019-12-29T06:34:19Z</dcterms:created>
  <dcterms:modified xsi:type="dcterms:W3CDTF">2019-12-29T06:34:19Z</dcterms:modified>
</cp:coreProperties>
</file>