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60" w:type="dxa"/>
            <w:vAlign w:val="bottom"/>
            <w:gridSpan w:val="2"/>
          </w:tcPr>
          <w:p>
            <w:pPr>
              <w:ind w:left="540"/>
              <w:spacing w:after="0"/>
              <w:rPr>
                <w:sz w:val="20"/>
                <w:szCs w:val="20"/>
                <w:color w:val="auto"/>
              </w:rPr>
            </w:pPr>
            <w:r>
              <w:rPr>
                <w:rFonts w:ascii="Arial" w:cs="Arial" w:eastAsia="Arial" w:hAnsi="Arial"/>
                <w:sz w:val="18"/>
                <w:szCs w:val="18"/>
                <w:b w:val="1"/>
                <w:bCs w:val="1"/>
                <w:color w:val="auto"/>
              </w:rPr>
              <w:t>Exact name of registrant as specified in its charter,</w:t>
            </w:r>
          </w:p>
        </w:tc>
        <w:tc>
          <w:tcPr>
            <w:tcW w:w="3020" w:type="dxa"/>
            <w:vAlign w:val="bottom"/>
          </w:tcPr>
          <w:p>
            <w:pPr>
              <w:spacing w:after="0"/>
              <w:rPr>
                <w:sz w:val="18"/>
                <w:szCs w:val="18"/>
                <w:color w:val="auto"/>
              </w:rPr>
            </w:pPr>
          </w:p>
        </w:tc>
      </w:tr>
      <w:tr>
        <w:trPr>
          <w:trHeight w:val="216"/>
        </w:trPr>
        <w:tc>
          <w:tcPr>
            <w:tcW w:w="3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Commission</w:t>
            </w:r>
          </w:p>
        </w:tc>
        <w:tc>
          <w:tcPr>
            <w:tcW w:w="5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address of principal executive office, telephone number, and</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w:t>
            </w:r>
          </w:p>
        </w:tc>
      </w:tr>
      <w:tr>
        <w:trPr>
          <w:trHeight w:val="234"/>
        </w:trPr>
        <w:tc>
          <w:tcPr>
            <w:tcW w:w="3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File Number</w:t>
            </w:r>
          </w:p>
        </w:tc>
        <w:tc>
          <w:tcPr>
            <w:tcW w:w="5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state or other jurisdiction of incorporation or organization</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4"/>
              </w:rPr>
              <w:t>Identification Number</w:t>
            </w:r>
          </w:p>
        </w:tc>
      </w:tr>
      <w:tr>
        <w:trPr>
          <w:trHeight w:val="272"/>
        </w:trPr>
        <w:tc>
          <w:tcPr>
            <w:tcW w:w="3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814-01022</w:t>
            </w:r>
          </w:p>
        </w:tc>
        <w:tc>
          <w:tcPr>
            <w:tcW w:w="120" w:type="dxa"/>
            <w:vAlign w:val="bottom"/>
          </w:tcPr>
          <w:p>
            <w:pPr>
              <w:spacing w:after="0"/>
              <w:rPr>
                <w:sz w:val="23"/>
                <w:szCs w:val="23"/>
                <w:color w:val="auto"/>
              </w:rPr>
            </w:pPr>
          </w:p>
        </w:tc>
        <w:tc>
          <w:tcPr>
            <w:tcW w:w="4940" w:type="dxa"/>
            <w:vAlign w:val="bottom"/>
            <w:tcBorders>
              <w:top w:val="single" w:sz="8" w:color="auto"/>
            </w:tcBorders>
          </w:tcPr>
          <w:p>
            <w:pPr>
              <w:jc w:val="center"/>
              <w:spacing w:after="0" w:line="272" w:lineRule="exact"/>
              <w:rPr>
                <w:sz w:val="20"/>
                <w:szCs w:val="20"/>
                <w:color w:val="auto"/>
              </w:rPr>
            </w:pPr>
            <w:r>
              <w:rPr>
                <w:rFonts w:ascii="Arial" w:cs="Arial" w:eastAsia="Arial" w:hAnsi="Arial"/>
                <w:sz w:val="25"/>
                <w:szCs w:val="25"/>
                <w:b w:val="1"/>
                <w:bCs w:val="1"/>
                <w:color w:val="auto"/>
                <w:w w:val="93"/>
              </w:rPr>
              <w:t>Capitala Finance Corp.</w:t>
            </w:r>
          </w:p>
        </w:tc>
        <w:tc>
          <w:tcPr>
            <w:tcW w:w="120" w:type="dxa"/>
            <w:vAlign w:val="bottom"/>
          </w:tcPr>
          <w:p>
            <w:pPr>
              <w:spacing w:after="0"/>
              <w:rPr>
                <w:sz w:val="23"/>
                <w:szCs w:val="23"/>
                <w:color w:val="auto"/>
              </w:rPr>
            </w:pPr>
          </w:p>
        </w:tc>
        <w:tc>
          <w:tcPr>
            <w:tcW w:w="3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90-0945675</w:t>
            </w: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4201 Congress St., Suite 360</w:t>
            </w:r>
          </w:p>
        </w:tc>
        <w:tc>
          <w:tcPr>
            <w:tcW w:w="30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Charlotte, North Carolina 28209</w:t>
            </w:r>
          </w:p>
        </w:tc>
        <w:tc>
          <w:tcPr>
            <w:tcW w:w="30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State of Incorporation: Maryland</w:t>
            </w:r>
          </w:p>
        </w:tc>
        <w:tc>
          <w:tcPr>
            <w:tcW w:w="302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Telephone: (704) 376-5502</w:t>
            </w:r>
          </w:p>
        </w:tc>
        <w:tc>
          <w:tcPr>
            <w:tcW w:w="302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34"/>
        </w:trPr>
        <w:tc>
          <w:tcPr>
            <w:tcW w:w="4080" w:type="dxa"/>
            <w:vAlign w:val="bottom"/>
            <w:gridSpan w:val="2"/>
          </w:tcPr>
          <w:p>
            <w:pPr>
              <w:ind w:left="1260"/>
              <w:spacing w:after="0"/>
              <w:rPr>
                <w:sz w:val="20"/>
                <w:szCs w:val="20"/>
                <w:color w:val="auto"/>
              </w:rPr>
            </w:pPr>
            <w:r>
              <w:rPr>
                <w:rFonts w:ascii="Arial" w:cs="Arial" w:eastAsia="Arial" w:hAnsi="Arial"/>
                <w:sz w:val="18"/>
                <w:szCs w:val="18"/>
                <w:b w:val="1"/>
                <w:bCs w:val="1"/>
                <w:color w:val="auto"/>
              </w:rPr>
              <w:t>Title of Each Class</w:t>
            </w:r>
          </w:p>
        </w:tc>
        <w:tc>
          <w:tcPr>
            <w:tcW w:w="3460" w:type="dxa"/>
            <w:vAlign w:val="bottom"/>
            <w:gridSpan w:val="2"/>
          </w:tcPr>
          <w:p>
            <w:pPr>
              <w:ind w:left="980"/>
              <w:spacing w:after="0"/>
              <w:rPr>
                <w:sz w:val="20"/>
                <w:szCs w:val="20"/>
                <w:color w:val="auto"/>
              </w:rPr>
            </w:pPr>
            <w:r>
              <w:rPr>
                <w:rFonts w:ascii="Arial" w:cs="Arial" w:eastAsia="Arial" w:hAnsi="Arial"/>
                <w:sz w:val="18"/>
                <w:szCs w:val="18"/>
                <w:b w:val="1"/>
                <w:bCs w:val="1"/>
                <w:color w:val="auto"/>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r>
      <w:tr>
        <w:trPr>
          <w:trHeight w:val="191"/>
        </w:trPr>
        <w:tc>
          <w:tcPr>
            <w:tcW w:w="39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40" w:type="dxa"/>
            <w:vAlign w:val="bottom"/>
          </w:tcPr>
          <w:p>
            <w:pPr>
              <w:spacing w:after="0"/>
              <w:rPr>
                <w:sz w:val="16"/>
                <w:szCs w:val="16"/>
                <w:color w:val="auto"/>
              </w:rPr>
            </w:pPr>
          </w:p>
        </w:tc>
        <w:tc>
          <w:tcPr>
            <w:tcW w:w="3360" w:type="dxa"/>
            <w:vAlign w:val="bottom"/>
            <w:tcBorders>
              <w:top w:val="single" w:sz="8" w:color="auto"/>
            </w:tcBorders>
          </w:tcPr>
          <w:p>
            <w:pPr>
              <w:ind w:left="1400"/>
              <w:spacing w:after="0" w:line="191" w:lineRule="exact"/>
              <w:rPr>
                <w:sz w:val="20"/>
                <w:szCs w:val="20"/>
                <w:color w:val="auto"/>
              </w:rPr>
            </w:pPr>
            <w:r>
              <w:rPr>
                <w:rFonts w:ascii="Arial" w:cs="Arial" w:eastAsia="Arial" w:hAnsi="Arial"/>
                <w:sz w:val="18"/>
                <w:szCs w:val="18"/>
                <w:b w:val="1"/>
                <w:bCs w:val="1"/>
                <w:color w:val="auto"/>
              </w:rPr>
              <w:t>CPTA</w:t>
            </w:r>
          </w:p>
        </w:tc>
        <w:tc>
          <w:tcPr>
            <w:tcW w:w="100" w:type="dxa"/>
            <w:vAlign w:val="bottom"/>
          </w:tcPr>
          <w:p>
            <w:pPr>
              <w:spacing w:after="0"/>
              <w:rPr>
                <w:sz w:val="16"/>
                <w:szCs w:val="16"/>
                <w:color w:val="auto"/>
              </w:rPr>
            </w:pPr>
          </w:p>
        </w:tc>
        <w:tc>
          <w:tcPr>
            <w:tcW w:w="370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3"/>
              </w:rPr>
              <w:t>NASDAQ Global Select Market</w:t>
            </w:r>
          </w:p>
        </w:tc>
      </w:tr>
      <w:tr>
        <w:trPr>
          <w:trHeight w:val="216"/>
        </w:trPr>
        <w:tc>
          <w:tcPr>
            <w:tcW w:w="4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5.75% Convertible Notes due 2022</w:t>
            </w:r>
          </w:p>
        </w:tc>
        <w:tc>
          <w:tcPr>
            <w:tcW w:w="3460" w:type="dxa"/>
            <w:vAlign w:val="bottom"/>
            <w:gridSpan w:val="2"/>
          </w:tcPr>
          <w:p>
            <w:pPr>
              <w:ind w:left="1360"/>
              <w:spacing w:after="0"/>
              <w:rPr>
                <w:sz w:val="20"/>
                <w:szCs w:val="20"/>
                <w:color w:val="auto"/>
              </w:rPr>
            </w:pPr>
            <w:r>
              <w:rPr>
                <w:rFonts w:ascii="Arial" w:cs="Arial" w:eastAsia="Arial" w:hAnsi="Arial"/>
                <w:sz w:val="18"/>
                <w:szCs w:val="18"/>
                <w:b w:val="1"/>
                <w:bCs w:val="1"/>
                <w:color w:val="auto"/>
              </w:rPr>
              <w:t>CPTAG</w:t>
            </w:r>
          </w:p>
        </w:tc>
        <w:tc>
          <w:tcPr>
            <w:tcW w:w="370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NASDAQ Capital Market</w:t>
            </w:r>
          </w:p>
        </w:tc>
      </w:tr>
      <w:tr>
        <w:trPr>
          <w:trHeight w:val="234"/>
        </w:trPr>
        <w:tc>
          <w:tcPr>
            <w:tcW w:w="4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6.00% Notes due 2022</w:t>
            </w:r>
          </w:p>
        </w:tc>
        <w:tc>
          <w:tcPr>
            <w:tcW w:w="3460" w:type="dxa"/>
            <w:vAlign w:val="bottom"/>
            <w:gridSpan w:val="2"/>
          </w:tcPr>
          <w:p>
            <w:pPr>
              <w:ind w:left="1380"/>
              <w:spacing w:after="0"/>
              <w:rPr>
                <w:sz w:val="20"/>
                <w:szCs w:val="20"/>
                <w:color w:val="auto"/>
              </w:rPr>
            </w:pPr>
            <w:r>
              <w:rPr>
                <w:rFonts w:ascii="Arial" w:cs="Arial" w:eastAsia="Arial" w:hAnsi="Arial"/>
                <w:sz w:val="18"/>
                <w:szCs w:val="18"/>
                <w:b w:val="1"/>
                <w:bCs w:val="1"/>
                <w:color w:val="auto"/>
              </w:rPr>
              <w:t>CPTAL</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202"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1" w:lineRule="exact"/>
        <w:rPr>
          <w:sz w:val="24"/>
          <w:szCs w:val="24"/>
          <w:color w:val="auto"/>
        </w:rPr>
      </w:pPr>
    </w:p>
    <w:p>
      <w:pPr>
        <w:ind w:left="5640"/>
        <w:spacing w:after="0" w:line="207" w:lineRule="exact"/>
        <w:tabs>
          <w:tab w:leader="none" w:pos="7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51" w:lineRule="exact"/>
        <w:rPr>
          <w:sz w:val="24"/>
          <w:szCs w:val="24"/>
          <w:color w:val="auto"/>
        </w:rPr>
      </w:pPr>
    </w:p>
    <w:p>
      <w:pPr>
        <w:ind w:left="5640"/>
        <w:spacing w:after="0" w:line="207" w:lineRule="exact"/>
        <w:tabs>
          <w:tab w:leader="none" w:pos="7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26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15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40" w:type="dxa"/>
            <w:vAlign w:val="bottom"/>
          </w:tcPr>
          <w:p>
            <w:pPr>
              <w:ind w:left="76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w:t>
      </w:r>
    </w:p>
    <w:p>
      <w:pPr>
        <w:spacing w:after="0" w:line="41" w:lineRule="exact"/>
        <w:rPr>
          <w:sz w:val="24"/>
          <w:szCs w:val="24"/>
          <w:color w:val="auto"/>
        </w:rPr>
      </w:pPr>
    </w:p>
    <w:p>
      <w:pPr>
        <w:spacing w:after="0" w:line="207" w:lineRule="exact"/>
        <w:tabs>
          <w:tab w:leader="none" w:pos="9260" w:val="left"/>
        </w:tabs>
        <w:rPr>
          <w:sz w:val="20"/>
          <w:szCs w:val="20"/>
          <w:color w:val="auto"/>
        </w:rPr>
      </w:pPr>
      <w:r>
        <w:rPr>
          <w:rFonts w:ascii="Arial" w:cs="Arial" w:eastAsia="Arial" w:hAnsi="Arial"/>
          <w:sz w:val="18"/>
          <w:szCs w:val="18"/>
          <w:color w:val="auto"/>
        </w:rPr>
        <w:t>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240"/>
          </w:cols>
          <w:pgMar w:left="320" w:top="513" w:right="339" w:bottom="1440" w:gutter="0" w:footer="0" w:header="0"/>
        </w:sectPr>
      </w:pPr>
    </w:p>
    <w:p>
      <w:pPr>
        <w:spacing w:after="0" w:line="225" w:lineRule="exact"/>
        <w:rPr>
          <w:sz w:val="24"/>
          <w:szCs w:val="24"/>
          <w:color w:val="auto"/>
        </w:rPr>
      </w:pPr>
    </w:p>
    <w:p>
      <w:pPr>
        <w:ind w:left="5640"/>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5900" w:space="80"/>
            <w:col w:w="1180" w:space="720"/>
            <w:col w:w="220" w:space="80"/>
            <w:col w:w="3060"/>
          </w:cols>
          <w:pgMar w:left="320" w:top="513" w:right="339" w:bottom="1440" w:gutter="0" w:footer="0" w:header="0"/>
          <w:type w:val="continuous"/>
        </w:sectPr>
      </w:pPr>
    </w:p>
    <w:p>
      <w:pPr>
        <w:spacing w:after="0" w:line="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 number of shares of Capitala Finance Corp.’s common stock, $0.01 par value, outstanding as of April 30, 2021 was 2,711,068.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60" w:type="dxa"/>
            <w:vAlign w:val="bottom"/>
            <w:gridSpan w:val="9"/>
          </w:tcPr>
          <w:p>
            <w:pPr>
              <w:ind w:left="126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gridSpan w:val="4"/>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5"/>
        </w:trPr>
        <w:tc>
          <w:tcPr>
            <w:tcW w:w="840" w:type="dxa"/>
            <w:vAlign w:val="bottom"/>
            <w:tcBorders>
              <w:top w:val="single" w:sz="8" w:color="CCEEFF"/>
            </w:tcBorders>
            <w:gridSpan w:val="5"/>
            <w:shd w:val="clear" w:color="auto" w:fill="CCEEFF"/>
          </w:tcPr>
          <w:p>
            <w:pPr>
              <w:spacing w:after="0" w:line="136" w:lineRule="exact"/>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PART I.</w:t>
              </w:r>
            </w:hyperlink>
          </w:p>
        </w:tc>
        <w:tc>
          <w:tcPr>
            <w:tcW w:w="9840" w:type="dxa"/>
            <w:vAlign w:val="bottom"/>
            <w:tcBorders>
              <w:top w:val="single" w:sz="8" w:color="CCEEFF"/>
            </w:tcBorders>
            <w:gridSpan w:val="19"/>
            <w:shd w:val="clear" w:color="auto" w:fill="CCEEFF"/>
          </w:tcPr>
          <w:p>
            <w:pPr>
              <w:ind w:left="80"/>
              <w:spacing w:after="0" w:line="136" w:lineRule="exact"/>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FINANCIAL INFORMATION</w:t>
              </w:r>
            </w:hyperlink>
          </w:p>
        </w:tc>
        <w:tc>
          <w:tcPr>
            <w:tcW w:w="560" w:type="dxa"/>
            <w:vAlign w:val="bottom"/>
            <w:tcBorders>
              <w:top w:val="single" w:sz="8" w:color="auto"/>
            </w:tcBorders>
            <w:gridSpan w:val="3"/>
            <w:shd w:val="clear" w:color="auto" w:fill="CCEEFF"/>
          </w:tcPr>
          <w:p>
            <w:pPr>
              <w:jc w:val="right"/>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84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4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March 31, 2021 (unaudited) and December 31, 2020</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4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months ended March 31, 2021 and 2020 (unaudited)</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4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Changes in Net Assets for the three months ended March 31, 2021 and 2020 (unaudited)</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4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three months ended March 31, 2021 and 2020 (unaudited)</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4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March 31, 2021 (unaudited) and December 31, 2020</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4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Notes to Consolidated Financial Statements as of and for the period ended March 31, 2021 (unaudited)</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5"/>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2.</w:t>
              </w:r>
            </w:hyperlink>
          </w:p>
        </w:tc>
        <w:tc>
          <w:tcPr>
            <w:tcW w:w="984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5"/>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Item 3.</w:t>
              </w:r>
            </w:hyperlink>
          </w:p>
        </w:tc>
        <w:tc>
          <w:tcPr>
            <w:tcW w:w="984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Quantitative and Qualitative Disclosures About Market Risk</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5"/>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Item 4.</w:t>
              </w:r>
            </w:hyperlink>
          </w:p>
        </w:tc>
        <w:tc>
          <w:tcPr>
            <w:tcW w:w="984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Controls and Procedures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w:t>
              </w:r>
            </w:hyperlink>
          </w:p>
        </w:tc>
        <w:tc>
          <w:tcPr>
            <w:tcW w:w="9840" w:type="dxa"/>
            <w:vAlign w:val="bottom"/>
            <w:gridSpan w:val="19"/>
            <w:shd w:val="clear" w:color="auto" w:fill="CCEEFF"/>
          </w:tcPr>
          <w:p>
            <w:pPr>
              <w:ind w:left="80"/>
              <w:spacing w:after="0" w:line="176"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OTHER INFORMATION</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5"/>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Item 1.</w:t>
              </w:r>
            </w:hyperlink>
          </w:p>
        </w:tc>
        <w:tc>
          <w:tcPr>
            <w:tcW w:w="984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Legal Proceedings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5"/>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Item 1A.</w:t>
              </w:r>
            </w:hyperlink>
          </w:p>
        </w:tc>
        <w:tc>
          <w:tcPr>
            <w:tcW w:w="984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Risk Factors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5"/>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Item 2.</w:t>
              </w:r>
            </w:hyperlink>
          </w:p>
        </w:tc>
        <w:tc>
          <w:tcPr>
            <w:tcW w:w="984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Unregistered Sales of Equity Securities and Use of Proceeds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5"/>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Item 3.</w:t>
              </w:r>
            </w:hyperlink>
          </w:p>
        </w:tc>
        <w:tc>
          <w:tcPr>
            <w:tcW w:w="984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Defaults Upon Senior Securities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5"/>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4.</w:t>
              </w:r>
            </w:hyperlink>
          </w:p>
        </w:tc>
        <w:tc>
          <w:tcPr>
            <w:tcW w:w="984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Mine Safety Disclosures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5"/>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5.</w:t>
              </w:r>
            </w:hyperlink>
          </w:p>
        </w:tc>
        <w:tc>
          <w:tcPr>
            <w:tcW w:w="984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5"/>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6.</w:t>
              </w:r>
            </w:hyperlink>
          </w:p>
        </w:tc>
        <w:tc>
          <w:tcPr>
            <w:tcW w:w="984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Exhibits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5"/>
            <w:shd w:val="clear" w:color="auto" w:fill="CCEEFF"/>
          </w:tcPr>
          <w:p>
            <w:pPr>
              <w:spacing w:after="0" w:line="176" w:lineRule="exact"/>
              <w:rPr>
                <w:rFonts w:ascii="Arial" w:cs="Arial" w:eastAsia="Arial" w:hAnsi="Arial"/>
                <w:sz w:val="18"/>
                <w:szCs w:val="18"/>
                <w:color w:val="0000EE"/>
                <w:w w:val="95"/>
              </w:rPr>
            </w:pPr>
            <w:hyperlink w:anchor="page72">
              <w:r>
                <w:rPr>
                  <w:rFonts w:ascii="Arial" w:cs="Arial" w:eastAsia="Arial" w:hAnsi="Arial"/>
                  <w:sz w:val="18"/>
                  <w:szCs w:val="18"/>
                  <w:color w:val="0000EE"/>
                  <w:w w:val="95"/>
                </w:rPr>
                <w:t>Signatures</w:t>
              </w:r>
            </w:hyperlink>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520" w:type="dxa"/>
            <w:vAlign w:val="bottom"/>
            <w:tcBorders>
              <w:top w:val="single" w:sz="8" w:color="CCEEFF"/>
              <w:bottom w:val="single" w:sz="8" w:color="auto"/>
            </w:tcBorders>
            <w:gridSpan w:val="12"/>
          </w:tcPr>
          <w:p>
            <w:pPr>
              <w:ind w:left="4740"/>
              <w:spacing w:after="0"/>
              <w:rPr>
                <w:sz w:val="20"/>
                <w:szCs w:val="20"/>
                <w:color w:val="auto"/>
              </w:rPr>
            </w:pPr>
            <w:r>
              <w:rPr>
                <w:rFonts w:ascii="Arial" w:cs="Arial" w:eastAsia="Arial" w:hAnsi="Arial"/>
                <w:sz w:val="18"/>
                <w:szCs w:val="18"/>
                <w:color w:val="auto"/>
              </w:rPr>
              <w:t>2</w:t>
            </w:r>
          </w:p>
        </w:tc>
        <w:tc>
          <w:tcPr>
            <w:tcW w:w="60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ind w:left="404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980" w:type="dxa"/>
            <w:vAlign w:val="bottom"/>
          </w:tcPr>
          <w:p>
            <w:pPr>
              <w:jc w:val="center"/>
              <w:ind w:left="3170"/>
              <w:spacing w:after="0"/>
              <w:rPr>
                <w:sz w:val="20"/>
                <w:szCs w:val="20"/>
                <w:color w:val="auto"/>
              </w:rPr>
            </w:pPr>
            <w:r>
              <w:rPr>
                <w:rFonts w:ascii="Arial" w:cs="Arial" w:eastAsia="Arial" w:hAnsi="Arial"/>
                <w:sz w:val="18"/>
                <w:szCs w:val="18"/>
                <w:b w:val="1"/>
                <w:bCs w:val="1"/>
                <w:color w:val="auto"/>
                <w:w w:val="92"/>
              </w:rPr>
              <w:t>Capitala Finance Corp.</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4"/>
        </w:trPr>
        <w:tc>
          <w:tcPr>
            <w:tcW w:w="7980" w:type="dxa"/>
            <w:vAlign w:val="bottom"/>
          </w:tcPr>
          <w:p>
            <w:pPr>
              <w:jc w:val="center"/>
              <w:ind w:left="319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7980" w:type="dxa"/>
            <w:vAlign w:val="bottom"/>
          </w:tcPr>
          <w:p>
            <w:pPr>
              <w:jc w:val="center"/>
              <w:ind w:left="31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3"/>
        </w:trPr>
        <w:tc>
          <w:tcPr>
            <w:tcW w:w="7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287"/>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7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March 31, 2021</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December 31, 2020</w:t>
            </w:r>
          </w:p>
        </w:tc>
        <w:tc>
          <w:tcPr>
            <w:tcW w:w="160" w:type="dxa"/>
            <w:vAlign w:val="bottom"/>
            <w:gridSpan w:val="2"/>
          </w:tcPr>
          <w:p>
            <w:pPr>
              <w:spacing w:after="0"/>
              <w:rPr>
                <w:sz w:val="19"/>
                <w:szCs w:val="19"/>
                <w:color w:val="auto"/>
              </w:rPr>
            </w:pPr>
          </w:p>
        </w:tc>
      </w:tr>
      <w:tr>
        <w:trPr>
          <w:trHeight w:val="209"/>
        </w:trPr>
        <w:tc>
          <w:tcPr>
            <w:tcW w:w="7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 (amortized cost of $158,892 and $187,744,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167,208</w:t>
            </w:r>
          </w:p>
        </w:tc>
        <w:tc>
          <w:tcPr>
            <w:tcW w:w="52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172,848</w:t>
            </w:r>
          </w:p>
        </w:tc>
        <w:tc>
          <w:tcPr>
            <w:tcW w:w="60" w:type="dxa"/>
            <w:vAlign w:val="bottom"/>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Affiliate investments (amortized cost of $66,180 and $80,961, respectively)</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82,616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93,425</w:t>
            </w:r>
          </w:p>
        </w:tc>
        <w:tc>
          <w:tcPr>
            <w:tcW w:w="60" w:type="dxa"/>
            <w:vAlign w:val="bottom"/>
          </w:tcPr>
          <w:p>
            <w:pPr>
              <w:spacing w:after="0"/>
              <w:rPr>
                <w:sz w:val="18"/>
                <w:szCs w:val="18"/>
                <w:color w:val="auto"/>
              </w:rPr>
            </w:pPr>
          </w:p>
        </w:tc>
      </w:tr>
      <w:tr>
        <w:trPr>
          <w:trHeight w:val="229"/>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 (amortized cost of $8,898 and $8,947, respectively)</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8,346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8,419</w:t>
            </w:r>
          </w:p>
        </w:tc>
        <w:tc>
          <w:tcPr>
            <w:tcW w:w="60" w:type="dxa"/>
            <w:vAlign w:val="bottom"/>
          </w:tcPr>
          <w:p>
            <w:pPr>
              <w:spacing w:after="0"/>
              <w:rPr>
                <w:sz w:val="19"/>
                <w:szCs w:val="19"/>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8"/>
                <w:szCs w:val="18"/>
                <w:color w:val="auto"/>
              </w:rPr>
              <w:t>Total investments at fair value (amortized cost of $233,970 and $277,652, respectively)</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59,727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49,942</w:t>
            </w:r>
          </w:p>
        </w:tc>
        <w:tc>
          <w:tcPr>
            <w:tcW w:w="6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Interest and dividend receivable</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2,286</w:t>
            </w:r>
          </w:p>
        </w:tc>
        <w:tc>
          <w:tcPr>
            <w:tcW w:w="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18"/>
                <w:szCs w:val="18"/>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Deferred tax asset, net</w:t>
            </w:r>
          </w:p>
        </w:tc>
        <w:tc>
          <w:tcPr>
            <w:tcW w:w="1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3"/>
        </w:trPr>
        <w:tc>
          <w:tcPr>
            <w:tcW w:w="7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319,911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7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SBA-guaranteed debentures (net of deferred financing costs of $345 and $485, respectively)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70,655</w:t>
            </w: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90,515</w:t>
            </w:r>
          </w:p>
        </w:tc>
        <w:tc>
          <w:tcPr>
            <w:tcW w:w="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2022 Notes (net of deferred financing costs of $702 and $846, respectively)</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72,131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71,987</w:t>
            </w:r>
          </w:p>
        </w:tc>
        <w:tc>
          <w:tcPr>
            <w:tcW w:w="6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2022 Convertible Notes (net of deferred financing costs of $458 and $552, respectively)</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51,630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51,536</w:t>
            </w:r>
          </w:p>
        </w:tc>
        <w:tc>
          <w:tcPr>
            <w:tcW w:w="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KeyBank Credit Facility (net of deferred financing costs of $499 and $546, respectively)</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Management and incentive fees payable</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3,762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3,842</w:t>
            </w:r>
          </w:p>
        </w:tc>
        <w:tc>
          <w:tcPr>
            <w:tcW w:w="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fees payable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w:t>
            </w:r>
          </w:p>
        </w:tc>
        <w:tc>
          <w:tcPr>
            <w:tcW w:w="60" w:type="dxa"/>
            <w:vAlign w:val="bottom"/>
          </w:tcPr>
          <w:p>
            <w:pPr>
              <w:spacing w:after="0"/>
              <w:rPr>
                <w:sz w:val="18"/>
                <w:szCs w:val="18"/>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10"/>
        </w:trPr>
        <w:tc>
          <w:tcPr>
            <w:tcW w:w="7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219,050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color w:val="auto"/>
                <w:w w:val="91"/>
              </w:rPr>
              <w:t>Common stock, par value $0.01, 100,000,000 common shares authorized, 2,711,068 and 2,711,068 common</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shares issued and outstanding, respectively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0"/>
                <w:szCs w:val="20"/>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229,481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229,481</w:t>
            </w:r>
          </w:p>
        </w:tc>
        <w:tc>
          <w:tcPr>
            <w:tcW w:w="60" w:type="dxa"/>
            <w:vAlign w:val="bottom"/>
          </w:tcPr>
          <w:p>
            <w:pPr>
              <w:spacing w:after="0"/>
              <w:rPr>
                <w:sz w:val="18"/>
                <w:szCs w:val="18"/>
                <w:color w:val="auto"/>
              </w:rPr>
            </w:pPr>
          </w:p>
        </w:tc>
      </w:tr>
      <w:tr>
        <w:trPr>
          <w:trHeight w:val="229"/>
        </w:trPr>
        <w:tc>
          <w:tcPr>
            <w:tcW w:w="7980" w:type="dxa"/>
            <w:vAlign w:val="bottom"/>
          </w:tcPr>
          <w:p>
            <w:pPr>
              <w:spacing w:after="0"/>
              <w:rPr>
                <w:sz w:val="20"/>
                <w:szCs w:val="20"/>
                <w:color w:val="auto"/>
              </w:rPr>
            </w:pPr>
            <w:r>
              <w:rPr>
                <w:rFonts w:ascii="Arial" w:cs="Arial" w:eastAsia="Arial" w:hAnsi="Arial"/>
                <w:sz w:val="18"/>
                <w:szCs w:val="18"/>
                <w:color w:val="auto"/>
              </w:rPr>
              <w:t>Total distributable loss</w:t>
            </w:r>
          </w:p>
        </w:tc>
        <w:tc>
          <w:tcPr>
            <w:tcW w:w="10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(108,207)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(120,561)</w:t>
            </w:r>
          </w:p>
        </w:tc>
        <w:tc>
          <w:tcPr>
            <w:tcW w:w="60" w:type="dxa"/>
            <w:vAlign w:val="bottom"/>
          </w:tcPr>
          <w:p>
            <w:pPr>
              <w:spacing w:after="0"/>
              <w:rPr>
                <w:sz w:val="19"/>
                <w:szCs w:val="19"/>
                <w:color w:val="auto"/>
              </w:rPr>
            </w:pPr>
          </w:p>
        </w:tc>
      </w:tr>
      <w:tr>
        <w:trPr>
          <w:trHeight w:val="210"/>
        </w:trPr>
        <w:tc>
          <w:tcPr>
            <w:tcW w:w="7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net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108,947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63"/>
        </w:trPr>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and 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319,911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327,997</w:t>
            </w:r>
          </w:p>
        </w:tc>
        <w:tc>
          <w:tcPr>
            <w:tcW w:w="100" w:type="dxa"/>
            <w:vAlign w:val="bottom"/>
            <w:tcBorders>
              <w:bottom w:val="single" w:sz="8" w:color="CCEEFF"/>
            </w:tcBorders>
          </w:tcPr>
          <w:p>
            <w:pPr>
              <w:spacing w:after="0"/>
              <w:rPr>
                <w:sz w:val="22"/>
                <w:szCs w:val="22"/>
                <w:color w:val="auto"/>
              </w:rPr>
            </w:pPr>
          </w:p>
        </w:tc>
        <w:tc>
          <w:tcPr>
            <w:tcW w:w="60" w:type="dxa"/>
            <w:vAlign w:val="bottom"/>
          </w:tcPr>
          <w:p>
            <w:pPr>
              <w:spacing w:after="0"/>
              <w:rPr>
                <w:sz w:val="22"/>
                <w:szCs w:val="22"/>
                <w:color w:val="auto"/>
              </w:rPr>
            </w:pPr>
          </w:p>
        </w:tc>
      </w:tr>
      <w:tr>
        <w:trPr>
          <w:trHeight w:val="197"/>
        </w:trPr>
        <w:tc>
          <w:tcPr>
            <w:tcW w:w="7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44.74</w:t>
            </w: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40.19</w:t>
            </w:r>
          </w:p>
        </w:tc>
        <w:tc>
          <w:tcPr>
            <w:tcW w:w="60" w:type="dxa"/>
            <w:vAlign w:val="bottom"/>
          </w:tcPr>
          <w:p>
            <w:pPr>
              <w:spacing w:after="0"/>
              <w:rPr>
                <w:sz w:val="20"/>
                <w:szCs w:val="20"/>
                <w:color w:val="auto"/>
              </w:rPr>
            </w:pPr>
          </w:p>
        </w:tc>
      </w:tr>
      <w:tr>
        <w:trPr>
          <w:trHeight w:val="418"/>
        </w:trPr>
        <w:tc>
          <w:tcPr>
            <w:tcW w:w="7980" w:type="dxa"/>
            <w:vAlign w:val="bottom"/>
          </w:tcPr>
          <w:p>
            <w:pPr>
              <w:jc w:val="center"/>
              <w:ind w:left="317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980" w:type="dxa"/>
            <w:vAlign w:val="bottom"/>
            <w:tcBorders>
              <w:bottom w:val="single" w:sz="8" w:color="auto"/>
            </w:tcBorders>
          </w:tcPr>
          <w:p>
            <w:pPr>
              <w:jc w:val="center"/>
              <w:ind w:left="3170"/>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jc w:val="center"/>
              <w:ind w:left="3170"/>
              <w:spacing w:after="0"/>
              <w:rPr>
                <w:sz w:val="20"/>
                <w:szCs w:val="20"/>
                <w:color w:val="auto"/>
              </w:rPr>
            </w:pPr>
            <w:r>
              <w:rPr>
                <w:rFonts w:ascii="Arial" w:cs="Arial" w:eastAsia="Arial" w:hAnsi="Arial"/>
                <w:sz w:val="18"/>
                <w:szCs w:val="18"/>
                <w:b w:val="1"/>
                <w:bCs w:val="1"/>
                <w:color w:val="auto"/>
                <w:w w:val="92"/>
              </w:rPr>
              <w:t>Capitala Finance Corp.</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7980" w:type="dxa"/>
            <w:vAlign w:val="bottom"/>
          </w:tcPr>
          <w:p>
            <w:pPr>
              <w:jc w:val="center"/>
              <w:ind w:left="317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980" w:type="dxa"/>
            <w:vAlign w:val="bottom"/>
          </w:tcPr>
          <w:p>
            <w:pPr>
              <w:jc w:val="center"/>
              <w:ind w:left="31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7980" w:type="dxa"/>
            <w:vAlign w:val="bottom"/>
          </w:tcPr>
          <w:p>
            <w:pPr>
              <w:jc w:val="center"/>
              <w:ind w:left="319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3"/>
        </w:trPr>
        <w:tc>
          <w:tcPr>
            <w:tcW w:w="7980" w:type="dxa"/>
            <w:vAlign w:val="bottom"/>
          </w:tcPr>
          <w:p>
            <w:pPr>
              <w:spacing w:after="0"/>
              <w:rPr>
                <w:sz w:val="24"/>
                <w:szCs w:val="24"/>
                <w:color w:val="auto"/>
              </w:rPr>
            </w:pPr>
          </w:p>
        </w:tc>
        <w:tc>
          <w:tcPr>
            <w:tcW w:w="3260" w:type="dxa"/>
            <w:vAlign w:val="bottom"/>
            <w:gridSpan w:val="8"/>
          </w:tcPr>
          <w:p>
            <w:pPr>
              <w:spacing w:after="0"/>
              <w:rPr>
                <w:sz w:val="20"/>
                <w:szCs w:val="20"/>
                <w:color w:val="auto"/>
              </w:rPr>
            </w:pPr>
            <w:r>
              <w:rPr>
                <w:rFonts w:ascii="Arial" w:cs="Arial" w:eastAsia="Arial" w:hAnsi="Arial"/>
                <w:sz w:val="18"/>
                <w:szCs w:val="18"/>
                <w:b w:val="1"/>
                <w:bCs w:val="1"/>
                <w:color w:val="auto"/>
                <w:w w:val="97"/>
              </w:rPr>
              <w:t>For the Three Months Ended March 31,</w:t>
            </w:r>
          </w:p>
        </w:tc>
      </w:tr>
      <w:tr>
        <w:trPr>
          <w:trHeight w:val="223"/>
        </w:trPr>
        <w:tc>
          <w:tcPr>
            <w:tcW w:w="79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Interest and fee income: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4,707</w:t>
            </w:r>
          </w:p>
        </w:tc>
        <w:tc>
          <w:tcPr>
            <w:tcW w:w="60" w:type="dxa"/>
            <w:vAlign w:val="bottom"/>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Affiliate investments</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1,679</w:t>
            </w:r>
          </w:p>
        </w:tc>
        <w:tc>
          <w:tcPr>
            <w:tcW w:w="60" w:type="dxa"/>
            <w:vAlign w:val="bottom"/>
          </w:tcPr>
          <w:p>
            <w:pPr>
              <w:spacing w:after="0"/>
              <w:rPr>
                <w:sz w:val="18"/>
                <w:szCs w:val="18"/>
                <w:color w:val="auto"/>
              </w:rPr>
            </w:pPr>
          </w:p>
        </w:tc>
      </w:tr>
      <w:tr>
        <w:trPr>
          <w:trHeight w:val="230"/>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r>
      <w:tr>
        <w:trPr>
          <w:trHeight w:val="209"/>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interest and fee income</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6,489</w:t>
            </w:r>
          </w:p>
        </w:tc>
        <w:tc>
          <w:tcPr>
            <w:tcW w:w="10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18"/>
                <w:szCs w:val="18"/>
                <w:color w:val="auto"/>
              </w:rPr>
            </w:pPr>
          </w:p>
        </w:tc>
      </w:tr>
      <w:tr>
        <w:trPr>
          <w:trHeight w:val="229"/>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Affiliate investments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9"/>
                <w:szCs w:val="19"/>
                <w:color w:val="auto"/>
              </w:rPr>
            </w:pPr>
          </w:p>
        </w:tc>
      </w:tr>
      <w:tr>
        <w:trPr>
          <w:trHeight w:val="209"/>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payment-in-kind interest and dividend income</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7980" w:type="dxa"/>
            <w:vAlign w:val="bottom"/>
          </w:tcPr>
          <w:p>
            <w:pPr>
              <w:ind w:left="340"/>
              <w:spacing w:after="0"/>
              <w:rPr>
                <w:sz w:val="20"/>
                <w:szCs w:val="20"/>
                <w:color w:val="auto"/>
              </w:rPr>
            </w:pPr>
            <w:r>
              <w:rPr>
                <w:rFonts w:ascii="Arial" w:cs="Arial" w:eastAsia="Arial" w:hAnsi="Arial"/>
                <w:sz w:val="18"/>
                <w:szCs w:val="18"/>
                <w:color w:val="auto"/>
              </w:rPr>
              <w:t>Affiliate investments</w:t>
            </w:r>
          </w:p>
        </w:tc>
        <w:tc>
          <w:tcPr>
            <w:tcW w:w="3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r>
      <w:tr>
        <w:trPr>
          <w:trHeight w:val="209"/>
        </w:trPr>
        <w:tc>
          <w:tcPr>
            <w:tcW w:w="7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dividend income</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 from cash and cash equivalents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investment income</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Interest and financing expenses</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3,826</w:t>
            </w:r>
          </w:p>
        </w:tc>
        <w:tc>
          <w:tcPr>
            <w:tcW w:w="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1,757</w:t>
            </w:r>
          </w:p>
        </w:tc>
        <w:tc>
          <w:tcPr>
            <w:tcW w:w="6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Administrative service fees</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8"/>
                <w:szCs w:val="18"/>
                <w:color w:val="auto"/>
              </w:rPr>
            </w:pPr>
          </w:p>
        </w:tc>
      </w:tr>
      <w:tr>
        <w:trPr>
          <w:trHeight w:val="22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1,154</w:t>
            </w:r>
          </w:p>
        </w:tc>
        <w:tc>
          <w:tcPr>
            <w:tcW w:w="60" w:type="dxa"/>
            <w:vAlign w:val="bottom"/>
          </w:tcPr>
          <w:p>
            <w:pPr>
              <w:spacing w:after="0"/>
              <w:rPr>
                <w:sz w:val="19"/>
                <w:szCs w:val="19"/>
                <w:color w:val="auto"/>
              </w:rPr>
            </w:pPr>
          </w:p>
        </w:tc>
      </w:tr>
      <w:tr>
        <w:trPr>
          <w:trHeight w:val="210"/>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7,087</w:t>
            </w:r>
          </w:p>
        </w:tc>
        <w:tc>
          <w:tcPr>
            <w:tcW w:w="10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auto"/>
              </w:rPr>
              <w:t>NET INVESTMENT LOSS</w:t>
            </w:r>
          </w:p>
        </w:tc>
        <w:tc>
          <w:tcPr>
            <w:tcW w:w="3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r>
      <w:tr>
        <w:trPr>
          <w:trHeight w:val="209"/>
        </w:trPr>
        <w:tc>
          <w:tcPr>
            <w:tcW w:w="79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REALIZED AND UNREALIZED GAIN (LOSS) ON INVESTMENTS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gain on investments: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(14,023)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968</w:t>
            </w:r>
          </w:p>
        </w:tc>
        <w:tc>
          <w:tcPr>
            <w:tcW w:w="60" w:type="dxa"/>
            <w:vAlign w:val="bottom"/>
          </w:tcPr>
          <w:p>
            <w:pPr>
              <w:spacing w:after="0"/>
              <w:rPr>
                <w:sz w:val="19"/>
                <w:szCs w:val="19"/>
                <w:color w:val="auto"/>
              </w:rPr>
            </w:pPr>
          </w:p>
        </w:tc>
      </w:tr>
      <w:tr>
        <w:trPr>
          <w:trHeight w:val="210"/>
        </w:trPr>
        <w:tc>
          <w:tcPr>
            <w:tcW w:w="7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realized (loss) gain on investments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(28,525)</w:t>
            </w:r>
          </w:p>
        </w:tc>
        <w:tc>
          <w:tcPr>
            <w:tcW w:w="60" w:type="dxa"/>
            <w:vAlign w:val="bottom"/>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Affiliate investments</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(13,728)</w:t>
            </w:r>
          </w:p>
        </w:tc>
        <w:tc>
          <w:tcPr>
            <w:tcW w:w="60" w:type="dxa"/>
            <w:vAlign w:val="bottom"/>
          </w:tcPr>
          <w:p>
            <w:pPr>
              <w:spacing w:after="0"/>
              <w:rPr>
                <w:sz w:val="18"/>
                <w:szCs w:val="18"/>
                <w:color w:val="auto"/>
              </w:rPr>
            </w:pPr>
          </w:p>
        </w:tc>
      </w:tr>
      <w:tr>
        <w:trPr>
          <w:trHeight w:val="230"/>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60" w:type="dxa"/>
            <w:vAlign w:val="bottom"/>
          </w:tcPr>
          <w:p>
            <w:pPr>
              <w:spacing w:after="0"/>
              <w:rPr>
                <w:sz w:val="19"/>
                <w:szCs w:val="19"/>
                <w:color w:val="auto"/>
              </w:rPr>
            </w:pPr>
          </w:p>
        </w:tc>
      </w:tr>
      <w:tr>
        <w:trPr>
          <w:trHeight w:val="209"/>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unrealized appreciation (depreciation) on investments</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(43,395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r>
      <w:tr>
        <w:trPr>
          <w:trHeight w:val="210"/>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realized and unrealized gain (loss) on investments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(42,440)</w:t>
            </w:r>
          </w:p>
        </w:tc>
        <w:tc>
          <w:tcPr>
            <w:tcW w:w="60" w:type="dxa"/>
            <w:vAlign w:val="bottom"/>
          </w:tcPr>
          <w:p>
            <w:pPr>
              <w:spacing w:after="0"/>
              <w:rPr>
                <w:sz w:val="21"/>
                <w:szCs w:val="2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79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9"/>
              </w:rPr>
              <w:t>NET INCREASE (DECREASE) IN NET ASSETS PER SHARE RESULTING FROM OPERATIONS –</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67"/>
        </w:trPr>
        <w:tc>
          <w:tcPr>
            <w:tcW w:w="798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rPr>
              <w:t xml:space="preserve">BASIC (SEE NOTE 10) </w:t>
            </w:r>
            <w:r>
              <w:rPr>
                <w:rFonts w:ascii="Arial" w:cs="Arial" w:eastAsia="Arial" w:hAnsi="Arial"/>
                <w:sz w:val="29"/>
                <w:szCs w:val="29"/>
                <w:color w:val="auto"/>
                <w:vertAlign w:val="superscript"/>
              </w:rPr>
              <w:t>(1)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60" w:type="dxa"/>
            <w:vAlign w:val="bottom"/>
          </w:tcPr>
          <w:p>
            <w:pPr>
              <w:spacing w:after="0"/>
              <w:rPr>
                <w:sz w:val="23"/>
                <w:szCs w:val="23"/>
                <w:color w:val="auto"/>
              </w:rPr>
            </w:pPr>
          </w:p>
        </w:tc>
      </w:tr>
      <w:tr>
        <w:trPr>
          <w:trHeight w:val="216"/>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6"/>
        </w:trPr>
        <w:tc>
          <w:tcPr>
            <w:tcW w:w="7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WEIGHTED AVERAGE COMMON STOCK OUTSTANDING – BASIC </w:t>
            </w:r>
            <w:r>
              <w:rPr>
                <w:rFonts w:ascii="Arial" w:cs="Arial" w:eastAsia="Arial" w:hAnsi="Arial"/>
                <w:sz w:val="29"/>
                <w:szCs w:val="29"/>
                <w:color w:val="auto"/>
                <w:vertAlign w:val="superscript"/>
              </w:rPr>
              <w:t>(1)</w:t>
            </w: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2,711,068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2,703,432</w:t>
            </w:r>
          </w:p>
        </w:tc>
        <w:tc>
          <w:tcPr>
            <w:tcW w:w="60" w:type="dxa"/>
            <w:vAlign w:val="bottom"/>
          </w:tcPr>
          <w:p>
            <w:pPr>
              <w:spacing w:after="0"/>
              <w:rPr>
                <w:sz w:val="22"/>
                <w:szCs w:val="22"/>
                <w:color w:val="auto"/>
              </w:rPr>
            </w:pPr>
          </w:p>
        </w:tc>
      </w:tr>
      <w:tr>
        <w:trPr>
          <w:trHeight w:val="216"/>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79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9"/>
              </w:rPr>
              <w:t>NET INCREASE (DECREASE) IN NET ASSETS PER SHARE RESULTING FROM OPERATIONS –</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67"/>
        </w:trPr>
        <w:tc>
          <w:tcPr>
            <w:tcW w:w="798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rPr>
              <w:t xml:space="preserve">DILUTED (SEE NOTE 10) </w:t>
            </w:r>
            <w:r>
              <w:rPr>
                <w:rFonts w:ascii="Arial" w:cs="Arial" w:eastAsia="Arial" w:hAnsi="Arial"/>
                <w:sz w:val="29"/>
                <w:szCs w:val="29"/>
                <w:color w:val="auto"/>
                <w:vertAlign w:val="superscript"/>
              </w:rPr>
              <w:t>(1)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60" w:type="dxa"/>
            <w:vAlign w:val="bottom"/>
          </w:tcPr>
          <w:p>
            <w:pPr>
              <w:spacing w:after="0"/>
              <w:rPr>
                <w:sz w:val="23"/>
                <w:szCs w:val="23"/>
                <w:color w:val="auto"/>
              </w:rPr>
            </w:pPr>
          </w:p>
        </w:tc>
      </w:tr>
      <w:tr>
        <w:trPr>
          <w:trHeight w:val="216"/>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6"/>
        </w:trPr>
        <w:tc>
          <w:tcPr>
            <w:tcW w:w="7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WEIGHTED AVERAGE COMMON STOCK OUTSTANDING - DILUTED </w:t>
            </w:r>
            <w:r>
              <w:rPr>
                <w:rFonts w:ascii="Arial" w:cs="Arial" w:eastAsia="Arial" w:hAnsi="Arial"/>
                <w:sz w:val="29"/>
                <w:szCs w:val="29"/>
                <w:color w:val="auto"/>
                <w:vertAlign w:val="superscript"/>
              </w:rPr>
              <w:t>(1)</w:t>
            </w: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3,263,647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2,703,432</w:t>
            </w:r>
          </w:p>
        </w:tc>
        <w:tc>
          <w:tcPr>
            <w:tcW w:w="60" w:type="dxa"/>
            <w:vAlign w:val="bottom"/>
          </w:tcPr>
          <w:p>
            <w:pPr>
              <w:spacing w:after="0"/>
              <w:rPr>
                <w:sz w:val="22"/>
                <w:szCs w:val="22"/>
                <w:color w:val="auto"/>
              </w:rPr>
            </w:pPr>
          </w:p>
        </w:tc>
      </w:tr>
      <w:tr>
        <w:trPr>
          <w:trHeight w:val="216"/>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6"/>
        </w:trPr>
        <w:tc>
          <w:tcPr>
            <w:tcW w:w="7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DISTRIBUTIONS PAID PER SHARE </w:t>
            </w:r>
            <w:r>
              <w:rPr>
                <w:rFonts w:ascii="Arial" w:cs="Arial" w:eastAsia="Arial" w:hAnsi="Arial"/>
                <w:sz w:val="29"/>
                <w:szCs w:val="29"/>
                <w:color w:val="auto"/>
                <w:vertAlign w:val="superscript"/>
              </w:rPr>
              <w:t>(2)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2"/>
                <w:szCs w:val="22"/>
                <w:color w:val="auto"/>
              </w:rPr>
            </w:pPr>
          </w:p>
        </w:tc>
      </w:tr>
    </w:tbl>
    <w:p>
      <w:pPr>
        <w:spacing w:after="0" w:line="229" w:lineRule="exact"/>
        <w:rPr>
          <w:sz w:val="20"/>
          <w:szCs w:val="20"/>
          <w:color w:val="auto"/>
        </w:rPr>
      </w:pPr>
    </w:p>
    <w:p>
      <w:pPr>
        <w:ind w:right="80" w:firstLine="8"/>
        <w:spacing w:after="0" w:line="258"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Basic and diluted shares of Capitala Finance Corp.'s (the "Company") common stock have been adjusted for the three months ended March 31, 2020 to reflect the one-for-six reverse stock split effected on August 21, 2020 on a retroactive basis, as described in Note 1.</w:t>
      </w:r>
    </w:p>
    <w:p>
      <w:pPr>
        <w:spacing w:after="0" w:line="1" w:lineRule="exact"/>
        <w:rPr>
          <w:rFonts w:ascii="Arial" w:cs="Arial" w:eastAsia="Arial" w:hAnsi="Arial"/>
          <w:sz w:val="18"/>
          <w:szCs w:val="18"/>
          <w:color w:val="auto"/>
        </w:rPr>
      </w:pPr>
    </w:p>
    <w:p>
      <w:pPr>
        <w:ind w:right="400" w:firstLine="8"/>
        <w:spacing w:after="0" w:line="26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Dividends paid per share of the Company's common stock have been adjusted for the three months ended March 31, 2020 to reflect the one-for-six reverse stock split effected on August 21, 2020 on a retroactive basis, as described in Note 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443"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Changes in Net Assets</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For the Three Months Ended March 31, 2021 and 2020</w:t>
      </w:r>
    </w:p>
    <w:p>
      <w:pPr>
        <w:spacing w:after="0" w:line="1" w:lineRule="exact"/>
        <w:rPr>
          <w:sz w:val="20"/>
          <w:szCs w:val="20"/>
          <w:color w:val="auto"/>
        </w:rPr>
      </w:pPr>
    </w:p>
    <w:p>
      <w:pPr>
        <w:ind w:left="180" w:right="1460" w:hanging="161"/>
        <w:spacing w:after="0" w:line="258" w:lineRule="auto"/>
        <w:rPr>
          <w:sz w:val="20"/>
          <w:szCs w:val="20"/>
          <w:color w:val="auto"/>
        </w:rPr>
      </w:pPr>
      <w:r>
        <w:rPr>
          <w:rFonts w:ascii="Arial" w:cs="Arial" w:eastAsia="Arial" w:hAnsi="Arial"/>
          <w:sz w:val="18"/>
          <w:szCs w:val="18"/>
          <w:color w:val="auto"/>
        </w:rPr>
        <w:t>BALANCE, December 31, 2020 Net investment loss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realized loss on investments</w:t>
      </w:r>
    </w:p>
    <w:p>
      <w:pPr>
        <w:spacing w:after="0" w:line="9" w:lineRule="exact"/>
        <w:rPr>
          <w:sz w:val="20"/>
          <w:szCs w:val="20"/>
          <w:color w:val="auto"/>
        </w:rPr>
      </w:pPr>
    </w:p>
    <w:p>
      <w:pPr>
        <w:ind w:right="540" w:firstLine="162"/>
        <w:spacing w:after="0" w:line="276" w:lineRule="auto"/>
        <w:rPr>
          <w:sz w:val="20"/>
          <w:szCs w:val="20"/>
          <w:color w:val="auto"/>
        </w:rPr>
      </w:pPr>
      <w:r>
        <w:rPr>
          <w:rFonts w:ascii="Arial" w:cs="Arial" w:eastAsia="Arial" w:hAnsi="Arial"/>
          <w:sz w:val="18"/>
          <w:szCs w:val="18"/>
          <w:color w:val="auto"/>
        </w:rPr>
        <w:t>Net unrealized appreciation on investments BALANCE, March 31, 2021</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3"/>
        </w:trPr>
        <w:tc>
          <w:tcPr>
            <w:tcW w:w="27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29"/>
                <w:szCs w:val="29"/>
                <w:b w:val="1"/>
                <w:bCs w:val="1"/>
                <w:color w:val="auto"/>
                <w:vertAlign w:val="superscript"/>
              </w:rPr>
              <w:t>(1)</w:t>
            </w:r>
          </w:p>
        </w:tc>
        <w:tc>
          <w:tcPr>
            <w:tcW w:w="15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Additional Paid</w:t>
            </w:r>
          </w:p>
        </w:tc>
        <w:tc>
          <w:tcPr>
            <w:tcW w:w="320" w:type="dxa"/>
            <w:vAlign w:val="bottom"/>
          </w:tcPr>
          <w:p>
            <w:pPr>
              <w:spacing w:after="0"/>
              <w:rPr>
                <w:sz w:val="24"/>
                <w:szCs w:val="24"/>
                <w:color w:val="auto"/>
              </w:rPr>
            </w:pPr>
          </w:p>
        </w:tc>
        <w:tc>
          <w:tcPr>
            <w:tcW w:w="1380" w:type="dxa"/>
            <w:vAlign w:val="bottom"/>
            <w:gridSpan w:val="2"/>
            <w:vMerge w:val="restart"/>
          </w:tcPr>
          <w:p>
            <w:pPr>
              <w:jc w:val="right"/>
              <w:ind w:right="681"/>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Par Value</w:t>
            </w:r>
          </w:p>
        </w:tc>
        <w:tc>
          <w:tcPr>
            <w:tcW w:w="120" w:type="dxa"/>
            <w:vAlign w:val="bottom"/>
          </w:tcPr>
          <w:p>
            <w:pPr>
              <w:spacing w:after="0"/>
              <w:rPr>
                <w:sz w:val="24"/>
                <w:szCs w:val="24"/>
                <w:color w:val="auto"/>
              </w:rPr>
            </w:pPr>
          </w:p>
        </w:tc>
        <w:tc>
          <w:tcPr>
            <w:tcW w:w="1400" w:type="dxa"/>
            <w:vAlign w:val="bottom"/>
            <w:gridSpan w:val="2"/>
          </w:tcPr>
          <w:p>
            <w:pPr>
              <w:ind w:left="40"/>
              <w:spacing w:after="0" w:line="284" w:lineRule="exact"/>
              <w:rPr>
                <w:sz w:val="20"/>
                <w:szCs w:val="20"/>
                <w:color w:val="auto"/>
              </w:rPr>
            </w:pPr>
            <w:r>
              <w:rPr>
                <w:rFonts w:ascii="Arial" w:cs="Arial" w:eastAsia="Arial" w:hAnsi="Arial"/>
                <w:sz w:val="18"/>
                <w:szCs w:val="18"/>
                <w:b w:val="1"/>
                <w:bCs w:val="1"/>
                <w:color w:val="auto"/>
              </w:rPr>
              <w:t xml:space="preserve">in Capital </w:t>
            </w:r>
            <w:r>
              <w:rPr>
                <w:rFonts w:ascii="Arial" w:cs="Arial" w:eastAsia="Arial" w:hAnsi="Arial"/>
                <w:sz w:val="29"/>
                <w:szCs w:val="29"/>
                <w:b w:val="1"/>
                <w:bCs w:val="1"/>
                <w:color w:val="auto"/>
                <w:vertAlign w:val="superscript"/>
              </w:rPr>
              <w:t>(1)</w:t>
            </w: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Distributable Loss</w:t>
            </w:r>
          </w:p>
        </w:tc>
        <w:tc>
          <w:tcPr>
            <w:tcW w:w="180" w:type="dxa"/>
            <w:vAlign w:val="bottom"/>
          </w:tcPr>
          <w:p>
            <w:pPr>
              <w:spacing w:after="0"/>
              <w:rPr>
                <w:sz w:val="24"/>
                <w:szCs w:val="24"/>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2,711,068</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27</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229,481</w:t>
            </w: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(120,561)</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108,947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80" w:type="dxa"/>
            <w:vAlign w:val="bottom"/>
            <w:gridSpan w:val="2"/>
          </w:tcPr>
          <w:p>
            <w:pPr>
              <w:jc w:val="right"/>
              <w:ind w:right="81"/>
              <w:spacing w:after="0"/>
              <w:rPr>
                <w:sz w:val="20"/>
                <w:szCs w:val="20"/>
                <w:color w:val="auto"/>
              </w:rPr>
            </w:pPr>
            <w:r>
              <w:rPr>
                <w:rFonts w:ascii="Arial" w:cs="Arial" w:eastAsia="Arial" w:hAnsi="Arial"/>
                <w:sz w:val="18"/>
                <w:szCs w:val="18"/>
                <w:color w:val="auto"/>
              </w:rPr>
              <w:t>(783)</w:t>
            </w:r>
          </w:p>
        </w:tc>
        <w:tc>
          <w:tcPr>
            <w:tcW w:w="1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9"/>
        </w:trPr>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80" w:type="dxa"/>
            <w:vAlign w:val="bottom"/>
            <w:gridSpan w:val="2"/>
          </w:tcPr>
          <w:p>
            <w:pPr>
              <w:jc w:val="right"/>
              <w:ind w:right="81"/>
              <w:spacing w:after="0"/>
              <w:rPr>
                <w:sz w:val="20"/>
                <w:szCs w:val="20"/>
                <w:color w:val="auto"/>
              </w:rPr>
            </w:pPr>
            <w:r>
              <w:rPr>
                <w:rFonts w:ascii="Arial" w:cs="Arial" w:eastAsia="Arial" w:hAnsi="Arial"/>
                <w:sz w:val="18"/>
                <w:szCs w:val="18"/>
                <w:color w:val="auto"/>
              </w:rPr>
              <w:t>(14,023)</w:t>
            </w:r>
          </w:p>
        </w:tc>
        <w:tc>
          <w:tcPr>
            <w:tcW w:w="18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(14,023)</w:t>
            </w:r>
          </w:p>
        </w:tc>
        <w:tc>
          <w:tcPr>
            <w:tcW w:w="0" w:type="dxa"/>
            <w:vAlign w:val="bottom"/>
          </w:tcPr>
          <w:p>
            <w:pPr>
              <w:spacing w:after="0"/>
              <w:rPr>
                <w:sz w:val="1"/>
                <w:szCs w:val="1"/>
                <w:color w:val="auto"/>
              </w:rPr>
            </w:pPr>
          </w:p>
        </w:tc>
      </w:tr>
      <w:tr>
        <w:trPr>
          <w:trHeight w:val="230"/>
        </w:trPr>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27,160</w:t>
            </w:r>
          </w:p>
        </w:tc>
        <w:tc>
          <w:tcPr>
            <w:tcW w:w="18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27,160</w:t>
            </w:r>
          </w:p>
        </w:tc>
        <w:tc>
          <w:tcPr>
            <w:tcW w:w="0" w:type="dxa"/>
            <w:vAlign w:val="bottom"/>
          </w:tcPr>
          <w:p>
            <w:pPr>
              <w:spacing w:after="0"/>
              <w:rPr>
                <w:sz w:val="1"/>
                <w:szCs w:val="1"/>
                <w:color w:val="auto"/>
              </w:rPr>
            </w:pPr>
          </w:p>
        </w:tc>
      </w:tr>
      <w:tr>
        <w:trPr>
          <w:trHeight w:val="223"/>
        </w:trPr>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2,711,068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229,481</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(108,207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121,301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-462280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-179070</wp:posOffset>
            </wp:positionV>
            <wp:extent cx="71323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-744855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420"/>
            <w:col w:w="7000"/>
          </w:cols>
          <w:pgMar w:left="320" w:top="688"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2,700,628</w:t>
            </w:r>
          </w:p>
        </w:tc>
        <w:tc>
          <w:tcPr>
            <w:tcW w:w="50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238,021</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(89,935)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148,113</w:t>
            </w:r>
          </w:p>
        </w:tc>
      </w:tr>
      <w:tr>
        <w:trPr>
          <w:trHeight w:val="216"/>
        </w:trPr>
        <w:tc>
          <w:tcPr>
            <w:tcW w:w="4240" w:type="dxa"/>
            <w:vAlign w:val="bottom"/>
          </w:tcPr>
          <w:p>
            <w:pPr>
              <w:ind w:left="340"/>
              <w:spacing w:after="0"/>
              <w:rPr>
                <w:sz w:val="20"/>
                <w:szCs w:val="20"/>
                <w:color w:val="auto"/>
              </w:rPr>
            </w:pPr>
            <w:r>
              <w:rPr>
                <w:rFonts w:ascii="Arial" w:cs="Arial" w:eastAsia="Arial" w:hAnsi="Arial"/>
                <w:sz w:val="18"/>
                <w:szCs w:val="18"/>
                <w:color w:val="auto"/>
              </w:rPr>
              <w:t>Net investment loss</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on investments</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968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w:t>
            </w:r>
          </w:p>
        </w:tc>
      </w:tr>
      <w:tr>
        <w:trPr>
          <w:trHeight w:val="216"/>
        </w:trPr>
        <w:tc>
          <w:tcPr>
            <w:tcW w:w="4240" w:type="dxa"/>
            <w:vAlign w:val="bottom"/>
          </w:tcPr>
          <w:p>
            <w:pPr>
              <w:ind w:left="340"/>
              <w:spacing w:after="0"/>
              <w:rPr>
                <w:sz w:val="20"/>
                <w:szCs w:val="20"/>
                <w:color w:val="auto"/>
              </w:rPr>
            </w:pPr>
            <w:r>
              <w:rPr>
                <w:rFonts w:ascii="Arial" w:cs="Arial" w:eastAsia="Arial" w:hAnsi="Arial"/>
                <w:sz w:val="18"/>
                <w:szCs w:val="18"/>
                <w:color w:val="auto"/>
              </w:rPr>
              <w:t>Net unrealized depreciation on investments</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(43,395)</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(43,395)</w:t>
            </w:r>
          </w:p>
        </w:tc>
      </w:tr>
      <w:tr>
        <w:trPr>
          <w:trHeight w:val="202"/>
        </w:trPr>
        <w:tc>
          <w:tcPr>
            <w:tcW w:w="42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Fractional shares settled in cash as part of one-for-</w:t>
            </w: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six reverse stock split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ind w:left="340"/>
              <w:spacing w:after="0"/>
              <w:rPr>
                <w:sz w:val="20"/>
                <w:szCs w:val="20"/>
                <w:color w:val="auto"/>
              </w:rPr>
            </w:pPr>
            <w:r>
              <w:rPr>
                <w:rFonts w:ascii="Arial" w:cs="Arial" w:eastAsia="Arial" w:hAnsi="Arial"/>
                <w:sz w:val="18"/>
                <w:szCs w:val="18"/>
                <w:color w:val="auto"/>
              </w:rPr>
              <w:t>Distributions to Shareholders: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Stock issued under dividend reinvestment plan</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10,453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r>
      <w:tr>
        <w:trPr>
          <w:trHeight w:val="229"/>
        </w:trPr>
        <w:tc>
          <w:tcPr>
            <w:tcW w:w="4240" w:type="dxa"/>
            <w:vAlign w:val="bottom"/>
          </w:tcPr>
          <w:p>
            <w:pPr>
              <w:ind w:left="500"/>
              <w:spacing w:after="0"/>
              <w:rPr>
                <w:sz w:val="20"/>
                <w:szCs w:val="20"/>
                <w:color w:val="auto"/>
              </w:rPr>
            </w:pPr>
            <w:r>
              <w:rPr>
                <w:rFonts w:ascii="Arial" w:cs="Arial" w:eastAsia="Arial" w:hAnsi="Arial"/>
                <w:sz w:val="18"/>
                <w:szCs w:val="18"/>
                <w:color w:val="auto"/>
              </w:rPr>
              <w:t>Distributions declared</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(4,053)</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(4,053)</w:t>
            </w: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2,711,068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firstLine="8"/>
        <w:spacing w:after="0" w:line="27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of the Company's common stock have been adjusted for the three months ended March 31, 2020 to reflect the one-for-six reverse stock split effected on August 21, 2020 on a retroactive basis, as described in Note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61"/>
              <w:spacing w:after="0"/>
              <w:rPr>
                <w:sz w:val="20"/>
                <w:szCs w:val="20"/>
                <w:color w:val="auto"/>
              </w:rPr>
            </w:pPr>
            <w:r>
              <w:rPr>
                <w:rFonts w:ascii="Arial" w:cs="Arial" w:eastAsia="Arial" w:hAnsi="Arial"/>
                <w:sz w:val="18"/>
                <w:szCs w:val="18"/>
                <w:b w:val="1"/>
                <w:bCs w:val="1"/>
                <w:color w:val="auto"/>
                <w:w w:val="92"/>
              </w:rPr>
              <w:t>For the 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increase (decrease) in net assets resulting from operations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12,354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(42,440)</w:t>
            </w: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Adjustments to reconcile net increase (decrease) in net assets resulting from operations to net cash</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provided by (used in) operating activities: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 of investments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(8,267)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and sales of investments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29,906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7,768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realized loss (gain) on investments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14,023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(968)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(appreciation) depreciation on investments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(27,160)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43,395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Payment-in-kind interest and dividends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original issue discount on investments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Amortization of deferred financing fees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506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Interest and dividend receivable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230</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Management and incentive fees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Interest and financing fees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(1,215)</w:t>
            </w:r>
          </w:p>
        </w:tc>
      </w:tr>
      <w:tr>
        <w:trPr>
          <w:trHeight w:val="22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OPERATING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29,785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8"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Paydowns on SBA-guaranteed debentures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Distributions paid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Deferred financing fees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(20,000)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1740" w:hanging="1248"/>
        <w:spacing w:after="0"/>
        <w:tabs>
          <w:tab w:leader="none" w:pos="1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(3,718)</w:t>
      </w:r>
    </w:p>
    <w:p>
      <w:pPr>
        <w:spacing w:after="0" w:line="20" w:lineRule="exact"/>
        <w:rPr>
          <w:rFonts w:ascii="Arial" w:cs="Arial" w:eastAsia="Arial" w:hAnsi="Arial"/>
          <w:sz w:val="17"/>
          <w:szCs w:val="17"/>
          <w:color w:val="auto"/>
        </w:rPr>
      </w:pPr>
    </w:p>
    <w:p>
      <w:pPr>
        <w:ind w:left="1880" w:hanging="1388"/>
        <w:spacing w:after="0"/>
        <w:tabs>
          <w:tab w:leader="none" w:pos="1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21590</wp:posOffset>
            </wp:positionV>
            <wp:extent cx="198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14"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(20,000)</w:t>
      </w:r>
      <w:r>
        <w:rPr>
          <w:sz w:val="20"/>
          <w:szCs w:val="20"/>
          <w:color w:val="auto"/>
        </w:rPr>
        <w:tab/>
      </w:r>
      <w:r>
        <w:rPr>
          <w:rFonts w:ascii="Arial" w:cs="Arial" w:eastAsia="Arial" w:hAnsi="Arial"/>
          <w:sz w:val="17"/>
          <w:szCs w:val="17"/>
          <w:color w:val="auto"/>
        </w:rPr>
        <w:t>(3,872)</w:t>
      </w:r>
    </w:p>
    <w:p>
      <w:pPr>
        <w:spacing w:after="0" w:line="36" w:lineRule="exact"/>
        <w:rPr>
          <w:sz w:val="20"/>
          <w:szCs w:val="20"/>
          <w:color w:val="auto"/>
        </w:rPr>
      </w:pPr>
    </w:p>
    <w:p>
      <w:pPr>
        <w:sectPr>
          <w:pgSz w:w="11900" w:h="16838" w:orient="portrait"/>
          <w:cols w:equalWidth="0" w:num="2">
            <w:col w:w="8200" w:space="720"/>
            <w:col w:w="232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80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9,785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(5,890)</w:t>
            </w: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62,321</w:t>
            </w:r>
          </w:p>
        </w:tc>
      </w:tr>
      <w:tr>
        <w:trPr>
          <w:trHeight w:val="263"/>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59,727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56,431</w:t>
            </w:r>
          </w:p>
        </w:tc>
        <w:tc>
          <w:tcPr>
            <w:tcW w:w="100" w:type="dxa"/>
            <w:vAlign w:val="bottom"/>
            <w:tcBorders>
              <w:bottom w:val="single" w:sz="8" w:color="CCEEFF"/>
            </w:tcBorders>
          </w:tcPr>
          <w:p>
            <w:pPr>
              <w:spacing w:after="0"/>
              <w:rPr>
                <w:sz w:val="22"/>
                <w:szCs w:val="22"/>
                <w:color w:val="auto"/>
              </w:rPr>
            </w:pPr>
          </w:p>
        </w:tc>
      </w:tr>
      <w:tr>
        <w:trPr>
          <w:trHeight w:val="197"/>
        </w:trPr>
        <w:tc>
          <w:tcPr>
            <w:tcW w:w="8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3,291</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4,535</w:t>
            </w:r>
          </w:p>
        </w:tc>
      </w:tr>
      <w:tr>
        <w:trPr>
          <w:trHeight w:val="216"/>
        </w:trPr>
        <w:tc>
          <w:tcPr>
            <w:tcW w:w="8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TRANSACTIONS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Distributions paid through dividend reinvestment plan share issuances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 w:name="page7"/>
    <w:bookmarkEnd w:id="6"/>
    <w:p>
      <w:pPr>
        <w:jc w:val="center"/>
        <w:ind w:right="80"/>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3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Acquisition</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5"/>
        </w:trPr>
        <w:tc>
          <w:tcPr>
            <w:tcW w:w="1820" w:type="dxa"/>
            <w:vAlign w:val="bottom"/>
            <w:gridSpan w:val="2"/>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160" w:type="dxa"/>
            <w:vAlign w:val="bottom"/>
            <w:gridSpan w:val="3"/>
          </w:tcPr>
          <w:p>
            <w:pPr>
              <w:ind w:left="320"/>
              <w:spacing w:after="0"/>
              <w:rPr>
                <w:sz w:val="20"/>
                <w:szCs w:val="20"/>
                <w:color w:val="auto"/>
              </w:rPr>
            </w:pPr>
            <w:r>
              <w:rPr>
                <w:rFonts w:ascii="Arial" w:cs="Arial" w:eastAsia="Arial" w:hAnsi="Arial"/>
                <w:sz w:val="14"/>
                <w:szCs w:val="14"/>
                <w:b w:val="1"/>
                <w:bCs w:val="1"/>
                <w:color w:val="auto"/>
              </w:rPr>
              <w:t>Date</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19"/>
        </w:trPr>
        <w:tc>
          <w:tcPr>
            <w:tcW w:w="170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Non-control/non-affiliated</w:t>
            </w: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investments - 137.8%</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Non-control/non-affiliated</w:t>
            </w: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8"/>
              </w:rPr>
              <w:t>investments - United States</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3 Bridge Solutions,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IT Consulting</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(13.0%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12/4/22)</w:t>
            </w:r>
          </w:p>
        </w:tc>
        <w:tc>
          <w:tcPr>
            <w:tcW w:w="12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12/4/2017  $</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11,726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11,726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11,726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 Bridge Solutions, 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IT Consulting</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Units (965 units)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12/4/2017</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1,248</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 Bridge Solutions, 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IT Consulting</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Membership Units (39,000 units)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12/4/2017</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1,455</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14,429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(8.0%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12/18/22)</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7,119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Series A Preferred Units (13,540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1,354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Series B Preferred Units (47,083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6"/>
              </w:rPr>
              <w:t>Series C Preferred Units (78,900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 (20,092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12/18/2017</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 Warrants (49,295</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10,684</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Clinical Solutions,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(7.0%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12/31/22)</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12/31/2019</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Clinical Solutions,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(7.0%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6/30/21)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4/13/2020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Clinical Solutions,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Class A Membership Units (6,030,384</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4/13/2020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3,198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4,905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8,655</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AmeriMark Direct,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0"/>
              </w:rPr>
              <w:t>Consumer Products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(12.8%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9/8/21)</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9/8/2016</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9,645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9,623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9,623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9,623</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BigMouth,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0"/>
              </w:rPr>
              <w:t>Consumer Products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(9.0%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LIBOR + 8.5%, 0.5% Floor), Due</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11/14/21) </w:t>
            </w:r>
            <w:r>
              <w:rPr>
                <w:rFonts w:ascii="Arial" w:cs="Arial" w:eastAsia="Arial" w:hAnsi="Arial"/>
                <w:sz w:val="22"/>
                <w:szCs w:val="22"/>
                <w:color w:val="auto"/>
                <w:vertAlign w:val="superscript"/>
              </w:rPr>
              <w:t>(7)</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11/14/2016</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998</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BLST Operating Company,</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Online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Second Lien Debt (10.0%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Merchandise</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+ 8.5%, 1.5%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Retailer</w:t>
            </w: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8/28/25) </w:t>
            </w:r>
            <w:r>
              <w:rPr>
                <w:rFonts w:ascii="Arial" w:cs="Arial" w:eastAsia="Arial" w:hAnsi="Arial"/>
                <w:sz w:val="23"/>
                <w:szCs w:val="23"/>
                <w:color w:val="auto"/>
                <w:vertAlign w:val="superscript"/>
              </w:rPr>
              <w:t>(8)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8/28/2020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1,953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BLST Operating Company,</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Online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Common Units (217,013</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Merchandise</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units)</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Retailer</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8/28/2020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1,963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2,239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3,916</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Burke America Parts Group,</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Home Repair Parts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 (14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4/30/2015</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2,525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2,525</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ind w:right="80"/>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3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Acquisition</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5"/>
        </w:trPr>
        <w:tc>
          <w:tcPr>
            <w:tcW w:w="1820" w:type="dxa"/>
            <w:vAlign w:val="bottom"/>
            <w:gridSpan w:val="2"/>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23"/>
        </w:trPr>
        <w:tc>
          <w:tcPr>
            <w:tcW w:w="17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Chicken Soup for the Soul,</w:t>
            </w: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Multi-platform</w:t>
            </w:r>
          </w:p>
        </w:tc>
        <w:tc>
          <w:tcPr>
            <w:tcW w:w="12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4"/>
              </w:rPr>
              <w:t>First Lien Debt (10.0% Cash (1 month</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and</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+ 8.5%, 1.5%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4"/>
              </w:rPr>
              <w:t>consumer products</w:t>
            </w: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2/22/22)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12/14/2018  $</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10,045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10,045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10,045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10,045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10,045</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Chief Fire Intermediate,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(8.6%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Services</w:t>
            </w:r>
          </w:p>
        </w:tc>
        <w:tc>
          <w:tcPr>
            <w:tcW w:w="248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LIBOR + 7.0%, 1.6% Floor), Due</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11/8/24) </w:t>
            </w:r>
            <w:r>
              <w:rPr>
                <w:rFonts w:ascii="Arial" w:cs="Arial" w:eastAsia="Arial" w:hAnsi="Arial"/>
                <w:sz w:val="22"/>
                <w:szCs w:val="22"/>
                <w:color w:val="auto"/>
                <w:vertAlign w:val="superscript"/>
              </w:rPr>
              <w:t>(7)</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11/8/2019</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5,081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Chief Fire Intermediate,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Class A Preferred Units (34,740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11/8/2019</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Chief Fire Intermediate,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B Common Units (3,510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11/8/2019</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5,081</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CIS Secure Computing,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Government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(9.5%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Services</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+ 8.5%, 1.0% Floor), 1.0%</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PIK, Due 9/14/22)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9/14/2017</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8,219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CIS Secure Computing,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Government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(46,163 shares)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9/14/2017</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3,710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9,219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11,929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Sales &amp; Marketing</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Second Lien Debt (11.0%,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11/29/21) </w:t>
            </w:r>
            <w:r>
              <w:rPr>
                <w:rFonts w:ascii="Arial" w:cs="Arial" w:eastAsia="Arial" w:hAnsi="Arial"/>
                <w:sz w:val="23"/>
                <w:szCs w:val="23"/>
                <w:color w:val="auto"/>
                <w:vertAlign w:val="superscript"/>
              </w:rPr>
              <w:t>(9)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5/29/2015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19,425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19,425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19,425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Sales &amp; Marketing</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(15,750 shares)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5/29/2015</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21,954</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Electronic Machine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(7.0%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Repair</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+ 5.0%, 2.0%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12/20/23)</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6/1/2020</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2,684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Electronic Machine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(8.7%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Repair</w:t>
            </w: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12/20/23) </w:t>
            </w:r>
            <w:r>
              <w:rPr>
                <w:rFonts w:ascii="Arial" w:cs="Arial" w:eastAsia="Arial" w:hAnsi="Arial"/>
                <w:sz w:val="23"/>
                <w:szCs w:val="23"/>
                <w:color w:val="auto"/>
                <w:vertAlign w:val="superscript"/>
              </w:rPr>
              <w:t>(10)(11)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12/20/2018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5,855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Electronic Machine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 (181,818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Repair</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12/20/2018</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8,756</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HUMC Opco, LLC</w:t>
            </w:r>
          </w:p>
        </w:tc>
        <w:tc>
          <w:tcPr>
            <w:tcW w:w="11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First Lien Debt (9.0% Cash,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4/15/21) </w:t>
            </w:r>
            <w:r>
              <w:rPr>
                <w:rFonts w:ascii="Arial" w:cs="Arial" w:eastAsia="Arial" w:hAnsi="Arial"/>
                <w:sz w:val="22"/>
                <w:szCs w:val="22"/>
                <w:color w:val="auto"/>
                <w:vertAlign w:val="superscript"/>
              </w:rPr>
              <w:t>(6)</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8/8/2019</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4,833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4,833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4,833</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J5 Infrastructure Partners,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Wireless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(8.3%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Deployment</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+ 6.5%, 1.8%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12/20/24) </w:t>
            </w:r>
            <w:r>
              <w:rPr>
                <w:rFonts w:ascii="Arial" w:cs="Arial" w:eastAsia="Arial" w:hAnsi="Arial"/>
                <w:sz w:val="23"/>
                <w:szCs w:val="23"/>
                <w:color w:val="auto"/>
                <w:vertAlign w:val="superscript"/>
              </w:rPr>
              <w:t>(12)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12/20/2019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J5 Infrastructure Partners,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Wireless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(8.3%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Deployment</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+ 6.5%, 1.8%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12/20/24)</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12/20/2019</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5,844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5,844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5,844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5,844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5,844</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Jurassic Quest Holdings,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Entertainment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(9.5%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+ 7.5%, 2.0%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5/1/24)</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5/1/2019</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9,540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9,540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Jurassic Quest Holdings,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Entertainment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Preferred Units (467,784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5/1/2019</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10,020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10,867</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ind w:right="80"/>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2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vMerge w:val="restart"/>
          </w:tcPr>
          <w:p>
            <w:pPr>
              <w:spacing w:after="0"/>
              <w:rPr>
                <w:sz w:val="16"/>
                <w:szCs w:val="16"/>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Acquisition</w:t>
            </w:r>
          </w:p>
        </w:tc>
        <w:tc>
          <w:tcPr>
            <w:tcW w:w="13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Principal</w:t>
            </w: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6"/>
                <w:szCs w:val="16"/>
                <w:color w:val="auto"/>
              </w:rPr>
            </w:pP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1700" w:type="dxa"/>
            <w:vAlign w:val="bottom"/>
            <w:tcBorders>
              <w:bottom w:val="single" w:sz="8" w:color="auto"/>
            </w:tcBorders>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Net Assets</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MicroHoldco, LLC</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General Industrial</w:t>
            </w:r>
          </w:p>
        </w:tc>
        <w:tc>
          <w:tcPr>
            <w:tcW w:w="12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Preferred Units (838,042 units) </w:t>
            </w:r>
            <w:r>
              <w:rPr>
                <w:rFonts w:ascii="Arial" w:cs="Arial" w:eastAsia="Arial" w:hAnsi="Arial"/>
                <w:sz w:val="21"/>
                <w:szCs w:val="21"/>
                <w:color w:val="auto"/>
                <w:vertAlign w:val="superscript"/>
              </w:rPr>
              <w:t>(13)</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7/25/2019</w:t>
            </w:r>
          </w:p>
        </w:tc>
        <w:tc>
          <w:tcPr>
            <w:tcW w:w="12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838</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Rapid Fire Protection,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(5.5%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Services</w:t>
            </w:r>
          </w:p>
        </w:tc>
        <w:tc>
          <w:tcPr>
            <w:tcW w:w="248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LIBOR + 3.8%, 1.7% Floor), Due</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11/22/24) </w:t>
            </w:r>
            <w:r>
              <w:rPr>
                <w:rFonts w:ascii="Arial" w:cs="Arial" w:eastAsia="Arial" w:hAnsi="Arial"/>
                <w:sz w:val="22"/>
                <w:szCs w:val="22"/>
                <w:color w:val="auto"/>
                <w:vertAlign w:val="superscript"/>
              </w:rPr>
              <w:t>(14)</w:t>
            </w: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6/1/2020  $</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608</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Rapid Fire Protection,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(8.9%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11/22/24) </w:t>
            </w:r>
            <w:r>
              <w:rPr>
                <w:rFonts w:ascii="Arial" w:cs="Arial" w:eastAsia="Arial" w:hAnsi="Arial"/>
                <w:sz w:val="23"/>
                <w:szCs w:val="23"/>
                <w:color w:val="auto"/>
                <w:vertAlign w:val="superscript"/>
              </w:rPr>
              <w:t>(10)(15)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11/22/2019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7,111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Rapid Fire Protection,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(363 shares)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11/22/2019</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3,139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8,219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10,858</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Seitel,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Data Services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(9.3% Cash (3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+ 8.3%, 1.0% Floor), 2.0%</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PIK, Due 3/15/23)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3/15/2019</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4,685</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4,685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4,041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4,685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4,041</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Sequoia Healthcare</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(12.8%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Management,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Management</w:t>
            </w: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4/15/21) </w:t>
            </w:r>
            <w:r>
              <w:rPr>
                <w:rFonts w:ascii="Arial" w:cs="Arial" w:eastAsia="Arial" w:hAnsi="Arial"/>
                <w:sz w:val="23"/>
                <w:szCs w:val="23"/>
                <w:color w:val="auto"/>
                <w:vertAlign w:val="superscript"/>
              </w:rPr>
              <w:t>(6)(7)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8/21/2018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11,935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10,531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11,935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10,531</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Taylor Precision Products,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Household Product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Series C Preferred Stock (379 shares)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12/23/2014</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Testing</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(7.0% Cash (3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laboratories</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+ 5.0%, 2.0%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12/14/23)</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6/1/2020</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1,278</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1,278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Testing</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(9.3%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12/14/23) </w:t>
            </w:r>
            <w:r>
              <w:rPr>
                <w:rFonts w:ascii="Arial" w:cs="Arial" w:eastAsia="Arial" w:hAnsi="Arial"/>
                <w:sz w:val="23"/>
                <w:szCs w:val="23"/>
                <w:color w:val="auto"/>
                <w:vertAlign w:val="superscript"/>
              </w:rPr>
              <w:t>(10) (11)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12/14/2018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3,975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3,975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Testing</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Preferred Units (500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12/14/2018</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Testing</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C Units (578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12/14/2018</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Testing</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D Preferred Units (78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4/3/2020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5,993</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U.S. Well Services, Inc.</w:t>
            </w:r>
          </w:p>
        </w:tc>
        <w:tc>
          <w:tcPr>
            <w:tcW w:w="11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5"/>
              </w:rPr>
              <w:t>Oil &amp; Gas Services</w:t>
            </w:r>
          </w:p>
        </w:tc>
        <w:tc>
          <w:tcPr>
            <w:tcW w:w="248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Class A Common Stock (1,202,499</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22"/>
                <w:szCs w:val="22"/>
                <w:color w:val="auto"/>
                <w:vertAlign w:val="superscript"/>
              </w:rPr>
              <w:t>(16)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11/9/2018</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1,251</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Xirgo Technologies,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Information</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 (600,000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Technology</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12/1/2016</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2,799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2,799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82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Sub Total Non-control/non-</w:t>
            </w: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affiliated investments -</w:t>
            </w: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United States</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158,892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167,208</w:t>
            </w:r>
          </w:p>
        </w:tc>
        <w:tc>
          <w:tcPr>
            <w:tcW w:w="112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137.8</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center"/>
        <w:ind w:right="80"/>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3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Acquisition</w:t>
            </w:r>
          </w:p>
        </w:tc>
        <w:tc>
          <w:tcPr>
            <w:tcW w:w="13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Principal</w:t>
            </w: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1820" w:type="dxa"/>
            <w:vAlign w:val="bottom"/>
            <w:gridSpan w:val="2"/>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160" w:type="dxa"/>
            <w:vAlign w:val="bottom"/>
            <w:gridSpan w:val="3"/>
          </w:tcPr>
          <w:p>
            <w:pPr>
              <w:ind w:left="320"/>
              <w:spacing w:after="0"/>
              <w:rPr>
                <w:sz w:val="20"/>
                <w:szCs w:val="20"/>
                <w:color w:val="auto"/>
              </w:rPr>
            </w:pPr>
            <w:r>
              <w:rPr>
                <w:rFonts w:ascii="Arial" w:cs="Arial" w:eastAsia="Arial" w:hAnsi="Arial"/>
                <w:sz w:val="14"/>
                <w:szCs w:val="14"/>
                <w:b w:val="1"/>
                <w:bCs w:val="1"/>
                <w:color w:val="auto"/>
              </w:rPr>
              <w:t>Date</w:t>
            </w:r>
          </w:p>
        </w:tc>
        <w:tc>
          <w:tcPr>
            <w:tcW w:w="13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Amount</w:t>
            </w: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19"/>
        </w:trPr>
        <w:tc>
          <w:tcPr>
            <w:tcW w:w="170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Affiliate Investments -</w:t>
            </w: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68.1%</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Affiliate investments -</w:t>
            </w: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United States</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Class B (1,085,073</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5/7/2019</w:t>
            </w:r>
          </w:p>
        </w:tc>
        <w:tc>
          <w:tcPr>
            <w:tcW w:w="12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Automobile Part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Class A (1,253,198</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7/15/2014</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1,504</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1,866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Footwear Retail</w:t>
            </w:r>
          </w:p>
        </w:tc>
        <w:tc>
          <w:tcPr>
            <w:tcW w:w="24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3"/>
                <w:szCs w:val="13"/>
                <w:color w:val="auto"/>
              </w:rPr>
              <w:t xml:space="preserve">Membership Unit Warrants </w:t>
            </w:r>
            <w:r>
              <w:rPr>
                <w:rFonts w:ascii="Arial" w:cs="Arial" w:eastAsia="Arial" w:hAnsi="Arial"/>
                <w:sz w:val="21"/>
                <w:szCs w:val="21"/>
                <w:color w:val="auto"/>
                <w:vertAlign w:val="superscript"/>
              </w:rPr>
              <w:t>(13)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6/28/2012</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2,011</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Eastport Holdings,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Business Services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Second Lien Debt (13.5% Cash (3</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month LIBOR + 13.0%, 0.5% Floor),</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Due 12/29/21) </w:t>
            </w:r>
            <w:r>
              <w:rPr>
                <w:rFonts w:ascii="Arial" w:cs="Arial" w:eastAsia="Arial" w:hAnsi="Arial"/>
                <w:sz w:val="22"/>
                <w:szCs w:val="22"/>
                <w:color w:val="auto"/>
                <w:vertAlign w:val="superscript"/>
              </w:rPr>
              <w:t>(6)</w:t>
            </w:r>
          </w:p>
        </w:tc>
        <w:tc>
          <w:tcPr>
            <w:tcW w:w="11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1/12/2016  $</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16,500</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16,371</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Eastport Holdings, 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Business Services</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Membership Units (22.9% ownership)</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1/12/2016</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3,263</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21,906</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19,634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38,406</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Advertising &amp;</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A-1 Preferred Stock (1,998</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4"/>
              </w:rPr>
              <w:t>Marketing 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10/14/2011</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3,477</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4,145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Advertising &amp;</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B-1 Common Stock (200,000</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4"/>
              </w:rPr>
              <w:t>Marketing Services</w:t>
            </w: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10/14/2011</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4,442</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LJS Partners, 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QSR Franchisor</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Units (195,653 units)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8/12/2019</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437</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783</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LJS Partners,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QSR Franchisor</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Membership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(2,593,234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1/1/2012</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1,224</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4,896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1,661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5,679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Medical Device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(12.0%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Distributor</w:t>
            </w: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9/30/21)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10/17/2011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2,600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Medical Device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Second Lien Debt (6.0%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Distributor</w:t>
            </w: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9/30/21)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10/17/2011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Medical Device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Preferred Units (1,000 units, 6.0% PIK</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Distributor</w:t>
            </w:r>
          </w:p>
        </w:tc>
        <w:tc>
          <w:tcPr>
            <w:tcW w:w="2480" w:type="dxa"/>
            <w:vAlign w:val="bottom"/>
            <w:gridSpan w:val="3"/>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(17)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10/17/2011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1,703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1,841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Medical Device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Common Membership Units (45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Distributor</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10/17/2011</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4,691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4,939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ind w:right="80"/>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3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Acquisition</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5"/>
        </w:trPr>
        <w:tc>
          <w:tcPr>
            <w:tcW w:w="1820" w:type="dxa"/>
            <w:vAlign w:val="bottom"/>
            <w:gridSpan w:val="2"/>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23"/>
        </w:trPr>
        <w:tc>
          <w:tcPr>
            <w:tcW w:w="17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Navis Holdings, Inc.</w:t>
            </w: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9"/>
              </w:rPr>
              <w:t>Textile Equipment</w:t>
            </w:r>
          </w:p>
        </w:tc>
        <w:tc>
          <w:tcPr>
            <w:tcW w:w="12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First Lien Debt (9.0% Cash, 2.0%</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480" w:type="dxa"/>
            <w:vAlign w:val="bottom"/>
            <w:gridSpan w:val="3"/>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PIK, Due 6/30/23) </w:t>
            </w:r>
            <w:r>
              <w:rPr>
                <w:rFonts w:ascii="Arial" w:cs="Arial" w:eastAsia="Arial" w:hAnsi="Arial"/>
                <w:sz w:val="23"/>
                <w:szCs w:val="23"/>
                <w:color w:val="auto"/>
                <w:vertAlign w:val="superscript"/>
              </w:rPr>
              <w:t>(6)</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2/1/2011  $</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11,086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11,086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11,086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Textile Equipment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6"/>
              </w:rPr>
              <w:t>Class A Preferred Stock (1,000 shares)</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2/1/2011</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Textile Equipment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(60,000 shares)</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2/1/2011</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12,086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12,549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Nth Degree Investment</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Business Services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 (6,088,000 Units)</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Group, LLC</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12/3/2019</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6,088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6,088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RAM Payment,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Financial Services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(6.5% Cash (1 month</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+ 5.0%), 1.5% Floor), Due</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1/4/24)</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6/1/2020</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2,109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2,109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RAM Payment, LLC</w:t>
            </w:r>
          </w:p>
        </w:tc>
        <w:tc>
          <w:tcPr>
            <w:tcW w:w="11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8"/>
              </w:rPr>
              <w:t>Financial Services</w:t>
            </w:r>
          </w:p>
        </w:tc>
        <w:tc>
          <w:tcPr>
            <w:tcW w:w="248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First Lien Debt (9.8% Cash, Due</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1/4/24) </w:t>
            </w:r>
            <w:r>
              <w:rPr>
                <w:rFonts w:ascii="Arial" w:cs="Arial" w:eastAsia="Arial" w:hAnsi="Arial"/>
                <w:sz w:val="22"/>
                <w:szCs w:val="22"/>
                <w:color w:val="auto"/>
                <w:vertAlign w:val="superscript"/>
              </w:rPr>
              <w:t>(10)</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1/4/2019</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5,719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RAM Payment, LLC</w:t>
            </w:r>
          </w:p>
        </w:tc>
        <w:tc>
          <w:tcPr>
            <w:tcW w:w="11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8"/>
              </w:rPr>
              <w:t>Financial Services</w:t>
            </w:r>
          </w:p>
        </w:tc>
        <w:tc>
          <w:tcPr>
            <w:tcW w:w="248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Preferred Units (86,000 units, 8.0%</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PIK Dividend) </w:t>
            </w:r>
            <w:r>
              <w:rPr>
                <w:rFonts w:ascii="Arial" w:cs="Arial" w:eastAsia="Arial" w:hAnsi="Arial"/>
                <w:sz w:val="22"/>
                <w:szCs w:val="22"/>
                <w:color w:val="auto"/>
                <w:vertAlign w:val="superscript"/>
              </w:rPr>
              <w:t>(17)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1/4/2019</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11,051</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Sierra Hamilton Holdings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Second Lien Debt (15.0%, Due</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Corporation</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Engineering and</w:t>
            </w:r>
          </w:p>
        </w:tc>
        <w:tc>
          <w:tcPr>
            <w:tcW w:w="236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3"/>
                <w:szCs w:val="13"/>
                <w:color w:val="auto"/>
              </w:rPr>
              <w:t xml:space="preserve">9/12/23) </w:t>
            </w:r>
            <w:r>
              <w:rPr>
                <w:rFonts w:ascii="Arial" w:cs="Arial" w:eastAsia="Arial" w:hAnsi="Arial"/>
                <w:sz w:val="20"/>
                <w:szCs w:val="20"/>
                <w:color w:val="auto"/>
                <w:vertAlign w:val="superscript"/>
              </w:rPr>
              <w:t>(18)</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Consulting</w:t>
            </w:r>
          </w:p>
        </w:tc>
        <w:tc>
          <w:tcPr>
            <w:tcW w:w="12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9/12/2019</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Sierra Hamilton Holdings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(15,068,000 shares)</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Corporation</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Engineering and</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Consulting</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7/31/2017</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6,958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1">
            <w:col w:w="11240"/>
          </w:cols>
          <w:pgMar w:left="320" w:top="688" w:right="339" w:bottom="1440" w:gutter="0" w:footer="0" w:header="0"/>
        </w:sect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460" w:type="dxa"/>
            <w:vAlign w:val="bottom"/>
          </w:tcPr>
          <w:p>
            <w:pPr>
              <w:spacing w:after="0"/>
              <w:rPr>
                <w:sz w:val="20"/>
                <w:szCs w:val="20"/>
                <w:color w:val="auto"/>
              </w:rPr>
            </w:pPr>
            <w:r>
              <w:rPr>
                <w:rFonts w:ascii="Arial" w:cs="Arial" w:eastAsia="Arial" w:hAnsi="Arial"/>
                <w:sz w:val="14"/>
                <w:szCs w:val="14"/>
                <w:color w:val="auto"/>
              </w:rPr>
              <w:t>V12 Holdings, Inc.</w:t>
            </w:r>
          </w:p>
        </w:tc>
        <w:tc>
          <w:tcPr>
            <w:tcW w:w="1520" w:type="dxa"/>
            <w:vAlign w:val="bottom"/>
          </w:tcPr>
          <w:p>
            <w:pPr>
              <w:ind w:left="360"/>
              <w:spacing w:after="0"/>
              <w:rPr>
                <w:sz w:val="20"/>
                <w:szCs w:val="20"/>
                <w:color w:val="auto"/>
              </w:rPr>
            </w:pPr>
            <w:r>
              <w:rPr>
                <w:rFonts w:ascii="Arial" w:cs="Arial" w:eastAsia="Arial" w:hAnsi="Arial"/>
                <w:sz w:val="14"/>
                <w:szCs w:val="14"/>
                <w:color w:val="auto"/>
                <w:w w:val="98"/>
              </w:rPr>
              <w:t>Data Processing &amp;</w:t>
            </w:r>
          </w:p>
        </w:tc>
        <w:tc>
          <w:tcPr>
            <w:tcW w:w="1360" w:type="dxa"/>
            <w:vAlign w:val="bottom"/>
          </w:tcPr>
          <w:p>
            <w:pPr>
              <w:ind w:left="100"/>
              <w:spacing w:after="0"/>
              <w:rPr>
                <w:sz w:val="20"/>
                <w:szCs w:val="20"/>
                <w:color w:val="auto"/>
              </w:rPr>
            </w:pPr>
            <w:r>
              <w:rPr>
                <w:rFonts w:ascii="Arial" w:cs="Arial" w:eastAsia="Arial" w:hAnsi="Arial"/>
                <w:sz w:val="14"/>
                <w:szCs w:val="14"/>
                <w:color w:val="auto"/>
                <w:w w:val="87"/>
              </w:rPr>
              <w:t xml:space="preserve">Second Lien Debt </w:t>
            </w:r>
            <w:r>
              <w:rPr>
                <w:rFonts w:ascii="Arial" w:cs="Arial" w:eastAsia="Arial" w:hAnsi="Arial"/>
                <w:sz w:val="23"/>
                <w:szCs w:val="23"/>
                <w:color w:val="auto"/>
                <w:w w:val="87"/>
                <w:vertAlign w:val="superscript"/>
              </w:rPr>
              <w:t>(13)</w:t>
            </w:r>
          </w:p>
        </w:tc>
      </w:tr>
      <w:tr>
        <w:trPr>
          <w:trHeight w:val="182"/>
        </w:trPr>
        <w:tc>
          <w:tcPr>
            <w:tcW w:w="1460" w:type="dxa"/>
            <w:vAlign w:val="bottom"/>
          </w:tcPr>
          <w:p>
            <w:pPr>
              <w:spacing w:after="0"/>
              <w:rPr>
                <w:sz w:val="15"/>
                <w:szCs w:val="15"/>
                <w:color w:val="auto"/>
              </w:rPr>
            </w:pPr>
          </w:p>
        </w:tc>
        <w:tc>
          <w:tcPr>
            <w:tcW w:w="1520" w:type="dxa"/>
            <w:vAlign w:val="bottom"/>
          </w:tcPr>
          <w:p>
            <w:pPr>
              <w:ind w:left="360"/>
              <w:spacing w:after="0"/>
              <w:rPr>
                <w:sz w:val="20"/>
                <w:szCs w:val="20"/>
                <w:color w:val="auto"/>
              </w:rPr>
            </w:pPr>
            <w:r>
              <w:rPr>
                <w:rFonts w:ascii="Arial" w:cs="Arial" w:eastAsia="Arial" w:hAnsi="Arial"/>
                <w:sz w:val="14"/>
                <w:szCs w:val="14"/>
                <w:color w:val="auto"/>
              </w:rPr>
              <w:t>Digital Marketing</w:t>
            </w:r>
          </w:p>
        </w:tc>
        <w:tc>
          <w:tcPr>
            <w:tcW w:w="1360" w:type="dxa"/>
            <w:vAlign w:val="bottom"/>
          </w:tcPr>
          <w:p>
            <w:pPr>
              <w:spacing w:after="0"/>
              <w:rPr>
                <w:sz w:val="15"/>
                <w:szCs w:val="15"/>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 Total Affiliate</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 -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Control Investments -</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6.9%</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Control investments -</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United States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20"/>
                <w:szCs w:val="20"/>
                <w:color w:val="auto"/>
              </w:rPr>
            </w:pPr>
            <w:r>
              <w:rPr>
                <w:rFonts w:ascii="Arial" w:cs="Arial" w:eastAsia="Arial" w:hAnsi="Arial"/>
                <w:sz w:val="14"/>
                <w:szCs w:val="14"/>
                <w:color w:val="auto"/>
              </w:rPr>
              <w:t>Vology, Inc.</w:t>
            </w:r>
          </w:p>
        </w:tc>
        <w:tc>
          <w:tcPr>
            <w:tcW w:w="1520" w:type="dxa"/>
            <w:vAlign w:val="bottom"/>
          </w:tcPr>
          <w:p>
            <w:pPr>
              <w:ind w:left="560"/>
              <w:spacing w:after="0"/>
              <w:rPr>
                <w:sz w:val="20"/>
                <w:szCs w:val="20"/>
                <w:color w:val="auto"/>
              </w:rPr>
            </w:pPr>
            <w:r>
              <w:rPr>
                <w:rFonts w:ascii="Arial" w:cs="Arial" w:eastAsia="Arial" w:hAnsi="Arial"/>
                <w:sz w:val="14"/>
                <w:szCs w:val="14"/>
                <w:color w:val="auto"/>
              </w:rPr>
              <w:t>Information</w:t>
            </w:r>
          </w:p>
        </w:tc>
        <w:tc>
          <w:tcPr>
            <w:tcW w:w="2520" w:type="dxa"/>
            <w:vAlign w:val="bottom"/>
          </w:tcPr>
          <w:p>
            <w:pPr>
              <w:ind w:left="300"/>
              <w:spacing w:after="0"/>
              <w:rPr>
                <w:sz w:val="20"/>
                <w:szCs w:val="20"/>
                <w:color w:val="auto"/>
              </w:rPr>
            </w:pPr>
            <w:r>
              <w:rPr>
                <w:rFonts w:ascii="Arial" w:cs="Arial" w:eastAsia="Arial" w:hAnsi="Arial"/>
                <w:sz w:val="14"/>
                <w:szCs w:val="14"/>
                <w:color w:val="auto"/>
                <w:w w:val="93"/>
              </w:rPr>
              <w:t>First Lien Debt (10.5% Cash (1 month</w:t>
            </w:r>
          </w:p>
        </w:tc>
      </w:tr>
      <w:tr>
        <w:trPr>
          <w:trHeight w:val="149"/>
        </w:trPr>
        <w:tc>
          <w:tcPr>
            <w:tcW w:w="1260" w:type="dxa"/>
            <w:vAlign w:val="bottom"/>
          </w:tcPr>
          <w:p>
            <w:pPr>
              <w:spacing w:after="0"/>
              <w:rPr>
                <w:sz w:val="12"/>
                <w:szCs w:val="12"/>
                <w:color w:val="auto"/>
              </w:rPr>
            </w:pPr>
          </w:p>
        </w:tc>
        <w:tc>
          <w:tcPr>
            <w:tcW w:w="1520" w:type="dxa"/>
            <w:vAlign w:val="bottom"/>
          </w:tcPr>
          <w:p>
            <w:pPr>
              <w:ind w:left="560"/>
              <w:spacing w:after="0" w:line="149" w:lineRule="exact"/>
              <w:rPr>
                <w:sz w:val="20"/>
                <w:szCs w:val="20"/>
                <w:color w:val="auto"/>
              </w:rPr>
            </w:pPr>
            <w:r>
              <w:rPr>
                <w:rFonts w:ascii="Arial" w:cs="Arial" w:eastAsia="Arial" w:hAnsi="Arial"/>
                <w:sz w:val="14"/>
                <w:szCs w:val="14"/>
                <w:color w:val="auto"/>
              </w:rPr>
              <w:t>Technology</w:t>
            </w:r>
          </w:p>
        </w:tc>
        <w:tc>
          <w:tcPr>
            <w:tcW w:w="2520" w:type="dxa"/>
            <w:vAlign w:val="bottom"/>
          </w:tcPr>
          <w:p>
            <w:pPr>
              <w:ind w:left="300"/>
              <w:spacing w:after="0" w:line="149" w:lineRule="exact"/>
              <w:rPr>
                <w:sz w:val="20"/>
                <w:szCs w:val="20"/>
                <w:color w:val="auto"/>
              </w:rPr>
            </w:pPr>
            <w:r>
              <w:rPr>
                <w:rFonts w:ascii="Arial" w:cs="Arial" w:eastAsia="Arial" w:hAnsi="Arial"/>
                <w:sz w:val="14"/>
                <w:szCs w:val="14"/>
                <w:color w:val="auto"/>
              </w:rPr>
              <w:t>LIBOR + 8.5%, 2.0% Floor), Due</w:t>
            </w:r>
          </w:p>
        </w:tc>
      </w:tr>
      <w:tr>
        <w:trPr>
          <w:trHeight w:val="182"/>
        </w:trPr>
        <w:tc>
          <w:tcPr>
            <w:tcW w:w="1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520" w:type="dxa"/>
            <w:vAlign w:val="bottom"/>
          </w:tcPr>
          <w:p>
            <w:pPr>
              <w:ind w:left="300"/>
              <w:spacing w:after="0"/>
              <w:rPr>
                <w:sz w:val="20"/>
                <w:szCs w:val="20"/>
                <w:color w:val="auto"/>
              </w:rPr>
            </w:pPr>
            <w:r>
              <w:rPr>
                <w:rFonts w:ascii="Arial" w:cs="Arial" w:eastAsia="Arial" w:hAnsi="Arial"/>
                <w:sz w:val="14"/>
                <w:szCs w:val="14"/>
                <w:color w:val="auto"/>
              </w:rPr>
              <w:t>12/31/21)</w:t>
            </w:r>
          </w:p>
        </w:tc>
      </w:tr>
      <w:tr>
        <w:trPr>
          <w:trHeight w:val="263"/>
        </w:trPr>
        <w:tc>
          <w:tcPr>
            <w:tcW w:w="1260" w:type="dxa"/>
            <w:vAlign w:val="bottom"/>
          </w:tcPr>
          <w:p>
            <w:pPr>
              <w:spacing w:after="0"/>
              <w:rPr>
                <w:sz w:val="20"/>
                <w:szCs w:val="20"/>
                <w:color w:val="auto"/>
              </w:rPr>
            </w:pPr>
            <w:r>
              <w:rPr>
                <w:rFonts w:ascii="Arial" w:cs="Arial" w:eastAsia="Arial" w:hAnsi="Arial"/>
                <w:sz w:val="14"/>
                <w:szCs w:val="14"/>
                <w:color w:val="auto"/>
              </w:rPr>
              <w:t>Vology, Inc.</w:t>
            </w:r>
          </w:p>
        </w:tc>
        <w:tc>
          <w:tcPr>
            <w:tcW w:w="1520" w:type="dxa"/>
            <w:vAlign w:val="bottom"/>
          </w:tcPr>
          <w:p>
            <w:pPr>
              <w:ind w:left="560"/>
              <w:spacing w:after="0"/>
              <w:rPr>
                <w:sz w:val="20"/>
                <w:szCs w:val="20"/>
                <w:color w:val="auto"/>
              </w:rPr>
            </w:pPr>
            <w:r>
              <w:rPr>
                <w:rFonts w:ascii="Arial" w:cs="Arial" w:eastAsia="Arial" w:hAnsi="Arial"/>
                <w:sz w:val="14"/>
                <w:szCs w:val="14"/>
                <w:color w:val="auto"/>
              </w:rPr>
              <w:t>Information</w:t>
            </w:r>
          </w:p>
        </w:tc>
        <w:tc>
          <w:tcPr>
            <w:tcW w:w="2520" w:type="dxa"/>
            <w:vAlign w:val="bottom"/>
          </w:tcPr>
          <w:p>
            <w:pPr>
              <w:ind w:left="300"/>
              <w:spacing w:after="0"/>
              <w:rPr>
                <w:sz w:val="20"/>
                <w:szCs w:val="20"/>
                <w:color w:val="auto"/>
              </w:rPr>
            </w:pPr>
            <w:r>
              <w:rPr>
                <w:rFonts w:ascii="Arial" w:cs="Arial" w:eastAsia="Arial" w:hAnsi="Arial"/>
                <w:sz w:val="14"/>
                <w:szCs w:val="14"/>
                <w:color w:val="auto"/>
              </w:rPr>
              <w:t>Class A Preferred Units (9,041,810</w:t>
            </w:r>
          </w:p>
        </w:tc>
      </w:tr>
      <w:tr>
        <w:trPr>
          <w:trHeight w:val="182"/>
        </w:trPr>
        <w:tc>
          <w:tcPr>
            <w:tcW w:w="1260" w:type="dxa"/>
            <w:vAlign w:val="bottom"/>
          </w:tcPr>
          <w:p>
            <w:pPr>
              <w:spacing w:after="0"/>
              <w:rPr>
                <w:sz w:val="15"/>
                <w:szCs w:val="15"/>
                <w:color w:val="auto"/>
              </w:rPr>
            </w:pPr>
          </w:p>
        </w:tc>
        <w:tc>
          <w:tcPr>
            <w:tcW w:w="1520" w:type="dxa"/>
            <w:vAlign w:val="bottom"/>
          </w:tcPr>
          <w:p>
            <w:pPr>
              <w:ind w:left="560"/>
              <w:spacing w:after="0"/>
              <w:rPr>
                <w:sz w:val="20"/>
                <w:szCs w:val="20"/>
                <w:color w:val="auto"/>
              </w:rPr>
            </w:pPr>
            <w:r>
              <w:rPr>
                <w:rFonts w:ascii="Arial" w:cs="Arial" w:eastAsia="Arial" w:hAnsi="Arial"/>
                <w:sz w:val="14"/>
                <w:szCs w:val="14"/>
                <w:color w:val="auto"/>
              </w:rPr>
              <w:t>Technology</w:t>
            </w:r>
          </w:p>
        </w:tc>
        <w:tc>
          <w:tcPr>
            <w:tcW w:w="2520" w:type="dxa"/>
            <w:vAlign w:val="bottom"/>
          </w:tcPr>
          <w:p>
            <w:pPr>
              <w:ind w:left="300"/>
              <w:spacing w:after="0"/>
              <w:rPr>
                <w:sz w:val="20"/>
                <w:szCs w:val="20"/>
                <w:color w:val="auto"/>
              </w:rPr>
            </w:pPr>
            <w:r>
              <w:rPr>
                <w:rFonts w:ascii="Arial" w:cs="Arial" w:eastAsia="Arial" w:hAnsi="Arial"/>
                <w:sz w:val="14"/>
                <w:szCs w:val="14"/>
                <w:color w:val="auto"/>
              </w:rPr>
              <w:t>Units)</w:t>
            </w:r>
          </w:p>
        </w:tc>
      </w:tr>
      <w:tr>
        <w:trPr>
          <w:trHeight w:val="263"/>
        </w:trPr>
        <w:tc>
          <w:tcPr>
            <w:tcW w:w="1260" w:type="dxa"/>
            <w:vAlign w:val="bottom"/>
          </w:tcPr>
          <w:p>
            <w:pPr>
              <w:spacing w:after="0"/>
              <w:rPr>
                <w:sz w:val="20"/>
                <w:szCs w:val="20"/>
                <w:color w:val="auto"/>
              </w:rPr>
            </w:pPr>
            <w:r>
              <w:rPr>
                <w:rFonts w:ascii="Arial" w:cs="Arial" w:eastAsia="Arial" w:hAnsi="Arial"/>
                <w:sz w:val="14"/>
                <w:szCs w:val="14"/>
                <w:color w:val="auto"/>
              </w:rPr>
              <w:t>Vology, Inc.</w:t>
            </w:r>
          </w:p>
        </w:tc>
        <w:tc>
          <w:tcPr>
            <w:tcW w:w="1520" w:type="dxa"/>
            <w:vAlign w:val="bottom"/>
          </w:tcPr>
          <w:p>
            <w:pPr>
              <w:ind w:left="560"/>
              <w:spacing w:after="0"/>
              <w:rPr>
                <w:sz w:val="20"/>
                <w:szCs w:val="20"/>
                <w:color w:val="auto"/>
              </w:rPr>
            </w:pPr>
            <w:r>
              <w:rPr>
                <w:rFonts w:ascii="Arial" w:cs="Arial" w:eastAsia="Arial" w:hAnsi="Arial"/>
                <w:sz w:val="14"/>
                <w:szCs w:val="14"/>
                <w:color w:val="auto"/>
              </w:rPr>
              <w:t>Information</w:t>
            </w:r>
          </w:p>
        </w:tc>
        <w:tc>
          <w:tcPr>
            <w:tcW w:w="2520" w:type="dxa"/>
            <w:vAlign w:val="bottom"/>
          </w:tcPr>
          <w:p>
            <w:pPr>
              <w:ind w:left="300"/>
              <w:spacing w:after="0"/>
              <w:rPr>
                <w:sz w:val="20"/>
                <w:szCs w:val="20"/>
                <w:color w:val="auto"/>
              </w:rPr>
            </w:pPr>
            <w:r>
              <w:rPr>
                <w:rFonts w:ascii="Arial" w:cs="Arial" w:eastAsia="Arial" w:hAnsi="Arial"/>
                <w:sz w:val="14"/>
                <w:szCs w:val="14"/>
                <w:color w:val="auto"/>
                <w:w w:val="98"/>
              </w:rPr>
              <w:t>Membership Units (5,363,982 Units)</w:t>
            </w:r>
          </w:p>
        </w:tc>
      </w:tr>
      <w:tr>
        <w:trPr>
          <w:trHeight w:val="182"/>
        </w:trPr>
        <w:tc>
          <w:tcPr>
            <w:tcW w:w="1260" w:type="dxa"/>
            <w:vAlign w:val="bottom"/>
          </w:tcPr>
          <w:p>
            <w:pPr>
              <w:spacing w:after="0"/>
              <w:rPr>
                <w:sz w:val="15"/>
                <w:szCs w:val="15"/>
                <w:color w:val="auto"/>
              </w:rPr>
            </w:pPr>
          </w:p>
        </w:tc>
        <w:tc>
          <w:tcPr>
            <w:tcW w:w="1520" w:type="dxa"/>
            <w:vAlign w:val="bottom"/>
          </w:tcPr>
          <w:p>
            <w:pPr>
              <w:ind w:left="560"/>
              <w:spacing w:after="0"/>
              <w:rPr>
                <w:sz w:val="20"/>
                <w:szCs w:val="20"/>
                <w:color w:val="auto"/>
              </w:rPr>
            </w:pPr>
            <w:r>
              <w:rPr>
                <w:rFonts w:ascii="Arial" w:cs="Arial" w:eastAsia="Arial" w:hAnsi="Arial"/>
                <w:sz w:val="14"/>
                <w:szCs w:val="14"/>
                <w:color w:val="auto"/>
              </w:rPr>
              <w:t>Technology</w:t>
            </w:r>
          </w:p>
        </w:tc>
        <w:tc>
          <w:tcPr>
            <w:tcW w:w="2520" w:type="dxa"/>
            <w:vAlign w:val="bottom"/>
          </w:tcPr>
          <w:p>
            <w:pPr>
              <w:spacing w:after="0"/>
              <w:rPr>
                <w:sz w:val="15"/>
                <w:szCs w:val="15"/>
                <w:color w:val="auto"/>
              </w:rPr>
            </w:pP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 Total Control</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 -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INVESTMENTS -</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212.8%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98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1,340</w:t>
            </w:r>
          </w:p>
        </w:tc>
        <w:tc>
          <w:tcPr>
            <w:tcW w:w="22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454"/>
        </w:trPr>
        <w:tc>
          <w:tcPr>
            <w:tcW w:w="1980" w:type="dxa"/>
            <w:vAlign w:val="bottom"/>
          </w:tcPr>
          <w:p>
            <w:pPr>
              <w:jc w:val="right"/>
              <w:ind w:right="1248"/>
              <w:spacing w:after="0"/>
              <w:rPr>
                <w:sz w:val="20"/>
                <w:szCs w:val="20"/>
                <w:color w:val="auto"/>
              </w:rPr>
            </w:pPr>
            <w:r>
              <w:rPr>
                <w:rFonts w:ascii="Arial" w:cs="Arial" w:eastAsia="Arial" w:hAnsi="Arial"/>
                <w:sz w:val="14"/>
                <w:szCs w:val="14"/>
                <w:color w:val="auto"/>
                <w:w w:val="91"/>
              </w:rPr>
              <w:t>11/21/2016</w:t>
            </w:r>
          </w:p>
        </w:tc>
        <w:tc>
          <w:tcPr>
            <w:tcW w:w="3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490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7"/>
        </w:trPr>
        <w:tc>
          <w:tcPr>
            <w:tcW w:w="19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490</w:t>
            </w:r>
          </w:p>
        </w:tc>
        <w:tc>
          <w:tcPr>
            <w:tcW w:w="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490</w:t>
            </w:r>
          </w:p>
        </w:tc>
        <w:tc>
          <w:tcPr>
            <w:tcW w:w="220" w:type="dxa"/>
            <w:vAlign w:val="bottom"/>
            <w:vMerge w:val="continue"/>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0.4</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2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66,180</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82,616</w:t>
            </w:r>
          </w:p>
        </w:tc>
        <w:tc>
          <w:tcPr>
            <w:tcW w:w="1120" w:type="dxa"/>
            <w:vAlign w:val="bottom"/>
            <w:gridSpan w:val="2"/>
          </w:tcPr>
          <w:p>
            <w:pPr>
              <w:jc w:val="right"/>
              <w:spacing w:after="0" w:line="304" w:lineRule="exact"/>
              <w:rPr>
                <w:sz w:val="20"/>
                <w:szCs w:val="20"/>
                <w:color w:val="auto"/>
              </w:rPr>
            </w:pPr>
            <w:r>
              <w:rPr>
                <w:rFonts w:ascii="Arial" w:cs="Arial" w:eastAsia="Arial" w:hAnsi="Arial"/>
                <w:sz w:val="14"/>
                <w:szCs w:val="14"/>
                <w:color w:val="auto"/>
              </w:rPr>
              <w:t>68.1</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-933450</wp:posOffset>
            </wp:positionV>
            <wp:extent cx="71323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-728345</wp:posOffset>
            </wp:positionV>
            <wp:extent cx="71323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-436245</wp:posOffset>
            </wp:positionV>
            <wp:extent cx="713232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-231140</wp:posOffset>
            </wp:positionV>
            <wp:extent cx="713232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93980</wp:posOffset>
            </wp:positionV>
            <wp:extent cx="71323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377190</wp:posOffset>
            </wp:positionV>
            <wp:extent cx="71323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660400</wp:posOffset>
            </wp:positionV>
            <wp:extent cx="7132320" cy="93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40" w:type="dxa"/>
            <w:vAlign w:val="bottom"/>
          </w:tcPr>
          <w:p>
            <w:pPr>
              <w:spacing w:after="0"/>
              <w:rPr>
                <w:sz w:val="20"/>
                <w:szCs w:val="20"/>
                <w:color w:val="auto"/>
              </w:rPr>
            </w:pPr>
            <w:r>
              <w:rPr>
                <w:rFonts w:ascii="Arial" w:cs="Arial" w:eastAsia="Arial" w:hAnsi="Arial"/>
                <w:sz w:val="14"/>
                <w:szCs w:val="14"/>
                <w:color w:val="auto"/>
              </w:rPr>
              <w:t>11/25/2019  $</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3,683</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3,683</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3,683</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0"/>
                <w:szCs w:val="20"/>
                <w:color w:val="auto"/>
              </w:rPr>
            </w:pPr>
            <w:r>
              <w:rPr>
                <w:rFonts w:ascii="Arial" w:cs="Arial" w:eastAsia="Arial" w:hAnsi="Arial"/>
                <w:sz w:val="14"/>
                <w:szCs w:val="14"/>
                <w:color w:val="auto"/>
              </w:rPr>
              <w:t>11/25/2019</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5,215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4,663</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0"/>
                <w:szCs w:val="20"/>
                <w:color w:val="auto"/>
              </w:rPr>
            </w:pPr>
            <w:r>
              <w:rPr>
                <w:rFonts w:ascii="Arial" w:cs="Arial" w:eastAsia="Arial" w:hAnsi="Arial"/>
                <w:sz w:val="14"/>
                <w:szCs w:val="14"/>
                <w:color w:val="auto"/>
              </w:rPr>
              <w:t>11/25/2019</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1020" w:type="dxa"/>
            <w:vAlign w:val="bottom"/>
            <w:tcBorders>
              <w:bottom w:val="single" w:sz="8" w:color="auto"/>
            </w:tcBorders>
            <w:gridSpan w:val="2"/>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8,898</w:t>
            </w:r>
          </w:p>
        </w:tc>
        <w:tc>
          <w:tcPr>
            <w:tcW w:w="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8,346</w:t>
            </w:r>
          </w:p>
        </w:tc>
        <w:tc>
          <w:tcPr>
            <w:tcW w:w="220" w:type="dxa"/>
            <w:vAlign w:val="bottom"/>
            <w:vMerge w:val="continue"/>
          </w:tcPr>
          <w:p>
            <w:pPr>
              <w:spacing w:after="0"/>
              <w:rPr>
                <w:sz w:val="12"/>
                <w:szCs w:val="12"/>
                <w:color w:val="auto"/>
              </w:rPr>
            </w:pPr>
          </w:p>
        </w:tc>
        <w:tc>
          <w:tcPr>
            <w:tcW w:w="102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6.9</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8,898</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8,346</w:t>
            </w:r>
          </w:p>
        </w:tc>
        <w:tc>
          <w:tcPr>
            <w:tcW w:w="1140" w:type="dxa"/>
            <w:vAlign w:val="bottom"/>
            <w:gridSpan w:val="3"/>
          </w:tcPr>
          <w:p>
            <w:pPr>
              <w:jc w:val="right"/>
              <w:spacing w:after="0" w:line="304" w:lineRule="exact"/>
              <w:rPr>
                <w:sz w:val="20"/>
                <w:szCs w:val="20"/>
                <w:color w:val="auto"/>
              </w:rPr>
            </w:pPr>
            <w:r>
              <w:rPr>
                <w:rFonts w:ascii="Arial" w:cs="Arial" w:eastAsia="Arial" w:hAnsi="Arial"/>
                <w:sz w:val="14"/>
                <w:szCs w:val="14"/>
                <w:color w:val="auto"/>
              </w:rPr>
              <w:t>6.9</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233,970</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258,170</w:t>
            </w: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212.8</w:t>
            </w:r>
            <w:r>
              <w:rPr>
                <w:rFonts w:ascii="Arial" w:cs="Arial" w:eastAsia="Arial" w:hAnsi="Arial"/>
                <w:sz w:val="28"/>
                <w:szCs w:val="28"/>
                <w:b w:val="1"/>
                <w:bCs w:val="1"/>
                <w:color w:val="auto"/>
                <w:vertAlign w:val="superscript"/>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-1430655</wp:posOffset>
            </wp:positionV>
            <wp:extent cx="7132320" cy="94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-1148080</wp:posOffset>
            </wp:positionV>
            <wp:extent cx="7132320" cy="93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-864870</wp:posOffset>
            </wp:positionV>
            <wp:extent cx="713232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-659130</wp:posOffset>
            </wp:positionV>
            <wp:extent cx="713232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-342265</wp:posOffset>
            </wp:positionV>
            <wp:extent cx="7132320" cy="111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80"/>
            <w:col w:w="5560"/>
          </w:cols>
          <w:pgMar w:left="320" w:top="688"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1" w:name="page12"/>
    <w:bookmarkEnd w:id="11"/>
    <w:p>
      <w:pPr>
        <w:jc w:val="center"/>
        <w:ind w:right="80"/>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6"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 unless otherwise noted.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investments valued by Capitala Finance Corp.'s (the "Company") board of directors.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233" w:lineRule="exact"/>
        <w:rPr>
          <w:rFonts w:ascii="Arial" w:cs="Arial" w:eastAsia="Arial" w:hAnsi="Arial"/>
          <w:sz w:val="16"/>
          <w:szCs w:val="16"/>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Percentages are based on net assets of $121,301 as of March 31, 2021.</w:t>
      </w:r>
    </w:p>
    <w:p>
      <w:pPr>
        <w:spacing w:after="0" w:line="23" w:lineRule="exact"/>
        <w:rPr>
          <w:rFonts w:ascii="Arial" w:cs="Arial" w:eastAsia="Arial" w:hAnsi="Arial"/>
          <w:sz w:val="18"/>
          <w:szCs w:val="18"/>
          <w:color w:val="auto"/>
        </w:rPr>
      </w:pPr>
    </w:p>
    <w:p>
      <w:pPr>
        <w:jc w:val="both"/>
        <w:ind w:firstLine="8"/>
        <w:spacing w:after="0" w:line="250" w:lineRule="auto"/>
        <w:tabs>
          <w:tab w:leader="none" w:pos="2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right="20" w:firstLine="8"/>
        <w:spacing w:after="0" w:line="250"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1.0% interest rate payable in cash. 9.0% interest rate payable in cash or paid-in-kind at borrower's election. The borrower is currently paying all interest in cash.</w:t>
      </w:r>
    </w:p>
    <w:p>
      <w:pPr>
        <w:ind w:right="20" w:firstLine="8"/>
        <w:spacing w:after="0" w:line="250"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9.0% interest rate payable in cash. 2.0% interest rate payable in cash or paid-in-kind at borrower's election. The borrower is currently paying all interest in cash.</w:t>
      </w: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$3.5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been exited or sold. The residual value reflects estimated earnout, escrow, or other proceeds expected post-closing.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$3.0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$1.3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Investment is valued using observable inputs (Level 1). The stock of the company is traded on the NASDAQ Capital Market under the ticker "USWS."</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15.0% interest rate payable in cash or paid-in-kind at borrower's election. The borrower is currently paying all interest in cash.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3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Acquisition</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5"/>
        </w:trPr>
        <w:tc>
          <w:tcPr>
            <w:tcW w:w="1820" w:type="dxa"/>
            <w:vAlign w:val="bottom"/>
            <w:gridSpan w:val="2"/>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160" w:type="dxa"/>
            <w:vAlign w:val="bottom"/>
            <w:gridSpan w:val="3"/>
          </w:tcPr>
          <w:p>
            <w:pPr>
              <w:ind w:left="320"/>
              <w:spacing w:after="0"/>
              <w:rPr>
                <w:sz w:val="20"/>
                <w:szCs w:val="20"/>
                <w:color w:val="auto"/>
              </w:rPr>
            </w:pPr>
            <w:r>
              <w:rPr>
                <w:rFonts w:ascii="Arial" w:cs="Arial" w:eastAsia="Arial" w:hAnsi="Arial"/>
                <w:sz w:val="14"/>
                <w:szCs w:val="14"/>
                <w:b w:val="1"/>
                <w:bCs w:val="1"/>
                <w:color w:val="auto"/>
              </w:rPr>
              <w:t>Date</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19"/>
        </w:trPr>
        <w:tc>
          <w:tcPr>
            <w:tcW w:w="170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Non-control/non-affiliated</w:t>
            </w: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investments - 158.7%</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Non-control/non-affiliated</w:t>
            </w: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8"/>
              </w:rPr>
              <w:t>investments - United States</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3 Bridge Solutions,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IT Consulting</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(13.0%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12/4/22)</w:t>
            </w:r>
          </w:p>
        </w:tc>
        <w:tc>
          <w:tcPr>
            <w:tcW w:w="12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12/4/2017  $</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12,083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12,083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 Bridge Solutions, 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IT Consulting</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Units (965 units)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12/4/2017</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1,116</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 Bridge Solutions, 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IT Consulting</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Membership Units (39,000 units)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12/4/2017</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13,183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13,199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(8.0%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12/18/22)</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7,119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Series A Preferred Units (13,275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Series B Preferred Units (46,160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6"/>
              </w:rPr>
              <w:t>Series C Preferred Units (78,900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 (20,092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12/18/2017</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Alternative Biomedical</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 Warrants (49,295</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Solutions, LLC</w:t>
            </w:r>
          </w:p>
        </w:tc>
        <w:tc>
          <w:tcPr>
            <w:tcW w:w="114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6/25/2020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11,344</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Clinical Solutions,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(7.0%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12/31/22)</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12/31/2019</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Clinical Solutions,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(7.0%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6/30/21)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4/13/2020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Clinical Solutions,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Class A Membership Units (6,030,384</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4/13/2020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3,198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3,831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7,555</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AmeriMark Direct,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0"/>
              </w:rPr>
              <w:t>Consumer Products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(14.0% Cash, 1.3%</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PIK, Due 9/8/21)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9/8/2016</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14,649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14,649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14,649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BigMouth,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0"/>
              </w:rPr>
              <w:t>Consumer Products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(9.0%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LIBOR + 8.5%, 0.5% Floor), Due</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11/14/21) </w:t>
            </w:r>
            <w:r>
              <w:rPr>
                <w:rFonts w:ascii="Arial" w:cs="Arial" w:eastAsia="Arial" w:hAnsi="Arial"/>
                <w:sz w:val="22"/>
                <w:szCs w:val="22"/>
                <w:color w:val="auto"/>
                <w:vertAlign w:val="superscript"/>
              </w:rPr>
              <w:t>(7)</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11/14/2016</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BLST Operating Company,</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Online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Second Lien Debt (10.0%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Merchandise</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+ 8.5%, 1.5%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Retailer</w:t>
            </w: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8/28/25) </w:t>
            </w:r>
            <w:r>
              <w:rPr>
                <w:rFonts w:ascii="Arial" w:cs="Arial" w:eastAsia="Arial" w:hAnsi="Arial"/>
                <w:sz w:val="23"/>
                <w:szCs w:val="23"/>
                <w:color w:val="auto"/>
                <w:vertAlign w:val="superscript"/>
              </w:rPr>
              <w:t>(8)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8/28/2020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1,953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BLST Operating Company,</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Online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Common Units (217,013</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Merchandise</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units)</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Retailer</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8/28/2020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2,239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2,253</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Schedule of Investments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Portfolio Company,</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202"/>
        </w:trPr>
        <w:tc>
          <w:tcPr>
            <w:tcW w:w="1820" w:type="dxa"/>
            <w:vAlign w:val="bottom"/>
            <w:gridSpan w:val="2"/>
          </w:tcPr>
          <w:p>
            <w:pPr>
              <w:jc w:val="center"/>
              <w:ind w:right="120"/>
              <w:spacing w:after="0" w:line="202" w:lineRule="exact"/>
              <w:rPr>
                <w:sz w:val="20"/>
                <w:szCs w:val="20"/>
                <w:color w:val="auto"/>
              </w:rPr>
            </w:pPr>
            <w:r>
              <w:rPr>
                <w:rFonts w:ascii="Arial" w:cs="Arial" w:eastAsia="Arial" w:hAnsi="Arial"/>
                <w:sz w:val="23"/>
                <w:szCs w:val="23"/>
                <w:b w:val="1"/>
                <w:bCs w:val="1"/>
                <w:color w:val="auto"/>
                <w:w w:val="97"/>
                <w:vertAlign w:val="subscript"/>
              </w:rPr>
              <w:t>Country</w:t>
            </w:r>
            <w:r>
              <w:rPr>
                <w:rFonts w:ascii="Arial" w:cs="Arial" w:eastAsia="Arial" w:hAnsi="Arial"/>
                <w:sz w:val="11"/>
                <w:szCs w:val="11"/>
                <w:b w:val="1"/>
                <w:bCs w:val="1"/>
                <w:color w:val="auto"/>
                <w:w w:val="97"/>
              </w:rPr>
              <w:t xml:space="preserve"> (1), (2), (3), (4), (5)</w:t>
            </w: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7"/>
                <w:szCs w:val="17"/>
                <w:color w:val="auto"/>
              </w:rPr>
            </w:pPr>
          </w:p>
        </w:tc>
        <w:tc>
          <w:tcPr>
            <w:tcW w:w="2240" w:type="dxa"/>
            <w:vAlign w:val="bottom"/>
          </w:tcPr>
          <w:p>
            <w:pPr>
              <w:ind w:left="520"/>
              <w:spacing w:after="0"/>
              <w:rPr>
                <w:sz w:val="20"/>
                <w:szCs w:val="20"/>
                <w:color w:val="auto"/>
              </w:rPr>
            </w:pPr>
            <w:r>
              <w:rPr>
                <w:rFonts w:ascii="Arial" w:cs="Arial" w:eastAsia="Arial" w:hAnsi="Arial"/>
                <w:sz w:val="14"/>
                <w:szCs w:val="14"/>
                <w:b w:val="1"/>
                <w:bCs w:val="1"/>
                <w:color w:val="auto"/>
              </w:rPr>
              <w:t>Type of Investment</w:t>
            </w:r>
          </w:p>
        </w:tc>
      </w:tr>
      <w:tr>
        <w:trPr>
          <w:trHeight w:val="123"/>
        </w:trPr>
        <w:tc>
          <w:tcPr>
            <w:tcW w:w="170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5"/>
              </w:rPr>
              <w:t>Burke America Parts Group,</w:t>
            </w: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4"/>
              </w:rPr>
              <w:t>Home Repair Parts</w:t>
            </w:r>
          </w:p>
        </w:tc>
        <w:tc>
          <w:tcPr>
            <w:tcW w:w="120" w:type="dxa"/>
            <w:vAlign w:val="bottom"/>
          </w:tcPr>
          <w:p>
            <w:pPr>
              <w:spacing w:after="0"/>
              <w:rPr>
                <w:sz w:val="10"/>
                <w:szCs w:val="10"/>
                <w:color w:val="auto"/>
              </w:rPr>
            </w:pPr>
          </w:p>
        </w:tc>
        <w:tc>
          <w:tcPr>
            <w:tcW w:w="22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Membership Units (14 units)</w:t>
            </w:r>
          </w:p>
        </w:tc>
      </w:tr>
      <w:tr>
        <w:trPr>
          <w:trHeight w:val="182"/>
        </w:trPr>
        <w:tc>
          <w:tcPr>
            <w:tcW w:w="1820" w:type="dxa"/>
            <w:vAlign w:val="bottom"/>
            <w:gridSpan w:val="2"/>
          </w:tcPr>
          <w:p>
            <w:pPr>
              <w:spacing w:after="0"/>
              <w:rPr>
                <w:sz w:val="20"/>
                <w:szCs w:val="20"/>
                <w:color w:val="auto"/>
              </w:rPr>
            </w:pPr>
            <w:r>
              <w:rPr>
                <w:rFonts w:ascii="Arial" w:cs="Arial" w:eastAsia="Arial" w:hAnsi="Arial"/>
                <w:sz w:val="14"/>
                <w:szCs w:val="14"/>
                <w:color w:val="auto"/>
              </w:rPr>
              <w:t>LLC</w:t>
            </w:r>
          </w:p>
        </w:tc>
        <w:tc>
          <w:tcPr>
            <w:tcW w:w="1140" w:type="dxa"/>
            <w:vAlign w:val="bottom"/>
          </w:tcPr>
          <w:p>
            <w:pPr>
              <w:spacing w:after="0"/>
              <w:rPr>
                <w:sz w:val="20"/>
                <w:szCs w:val="20"/>
                <w:color w:val="auto"/>
              </w:rPr>
            </w:pPr>
            <w:r>
              <w:rPr>
                <w:rFonts w:ascii="Arial" w:cs="Arial" w:eastAsia="Arial" w:hAnsi="Arial"/>
                <w:sz w:val="14"/>
                <w:szCs w:val="14"/>
                <w:color w:val="auto"/>
              </w:rPr>
              <w:t>Manufacturer</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Acquisition</w:t>
            </w:r>
          </w:p>
        </w:tc>
        <w:tc>
          <w:tcPr>
            <w:tcW w:w="14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Principal</w:t>
            </w:r>
          </w:p>
        </w:tc>
        <w:tc>
          <w:tcPr>
            <w:tcW w:w="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4"/>
                <w:szCs w:val="14"/>
                <w:color w:val="auto"/>
              </w:rPr>
            </w:pPr>
          </w:p>
        </w:tc>
        <w:tc>
          <w:tcPr>
            <w:tcW w:w="1120" w:type="dxa"/>
            <w:vAlign w:val="bottom"/>
            <w:gridSpan w:val="3"/>
          </w:tcPr>
          <w:p>
            <w:pPr>
              <w:jc w:val="right"/>
              <w:ind w:right="41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Net Assets</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1040" w:type="dxa"/>
            <w:vAlign w:val="bottom"/>
            <w:gridSpan w:val="2"/>
          </w:tcPr>
          <w:p>
            <w:pPr>
              <w:ind w:left="320"/>
              <w:spacing w:after="0"/>
              <w:rPr>
                <w:sz w:val="20"/>
                <w:szCs w:val="20"/>
                <w:color w:val="auto"/>
              </w:rPr>
            </w:pPr>
            <w:r>
              <w:rPr>
                <w:rFonts w:ascii="Arial" w:cs="Arial" w:eastAsia="Arial" w:hAnsi="Arial"/>
                <w:sz w:val="14"/>
                <w:szCs w:val="14"/>
                <w:color w:val="auto"/>
              </w:rPr>
              <w:t>4/30/2015</w:t>
            </w:r>
          </w:p>
        </w:tc>
        <w:tc>
          <w:tcPr>
            <w:tcW w:w="14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720"/>
              <w:spacing w:after="0"/>
              <w:rPr>
                <w:sz w:val="20"/>
                <w:szCs w:val="20"/>
                <w:color w:val="auto"/>
              </w:rPr>
            </w:pPr>
            <w:r>
              <w:rPr>
                <w:rFonts w:ascii="Arial" w:cs="Arial" w:eastAsia="Arial" w:hAnsi="Arial"/>
                <w:sz w:val="14"/>
                <w:szCs w:val="14"/>
                <w:color w:val="auto"/>
              </w:rPr>
              <w:t>5</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2,461</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7"/>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720"/>
              <w:spacing w:after="0"/>
              <w:rPr>
                <w:sz w:val="20"/>
                <w:szCs w:val="20"/>
                <w:color w:val="auto"/>
              </w:rPr>
            </w:pPr>
            <w:r>
              <w:rPr>
                <w:rFonts w:ascii="Arial" w:cs="Arial" w:eastAsia="Arial" w:hAnsi="Arial"/>
                <w:sz w:val="10"/>
                <w:szCs w:val="10"/>
                <w:color w:val="auto"/>
                <w:w w:val="71"/>
              </w:rPr>
              <w:t>5</w:t>
            </w: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2,461</w:t>
            </w:r>
          </w:p>
        </w:tc>
        <w:tc>
          <w:tcPr>
            <w:tcW w:w="220" w:type="dxa"/>
            <w:vAlign w:val="bottom"/>
            <w:vMerge w:val="continue"/>
          </w:tcPr>
          <w:p>
            <w:pPr>
              <w:spacing w:after="0"/>
              <w:rPr>
                <w:sz w:val="12"/>
                <w:szCs w:val="12"/>
                <w:color w:val="auto"/>
              </w:rPr>
            </w:pPr>
          </w:p>
        </w:tc>
        <w:tc>
          <w:tcPr>
            <w:tcW w:w="10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2.3</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-410845</wp:posOffset>
            </wp:positionV>
            <wp:extent cx="7132320" cy="196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-110490</wp:posOffset>
            </wp:positionV>
            <wp:extent cx="713232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5320" w:space="120"/>
            <w:col w:w="580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Chicken Soup for the Soul,</w:t>
            </w:r>
          </w:p>
        </w:tc>
        <w:tc>
          <w:tcPr>
            <w:tcW w:w="1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Multi-platform</w:t>
            </w: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First Lien Debt (10.0% Cash (1 month</w:t>
            </w:r>
          </w:p>
        </w:tc>
        <w:tc>
          <w:tcPr>
            <w:tcW w:w="1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8"/>
        </w:trPr>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2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media and</w:t>
            </w:r>
          </w:p>
        </w:tc>
        <w:tc>
          <w:tcPr>
            <w:tcW w:w="25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LIBOR + 8.5%, 1.5% Floor), Due</w:t>
            </w:r>
          </w:p>
        </w:tc>
        <w:tc>
          <w:tcPr>
            <w:tcW w:w="1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208"/>
        </w:trPr>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ind w:left="80"/>
              <w:spacing w:after="0"/>
              <w:rPr>
                <w:sz w:val="20"/>
                <w:szCs w:val="20"/>
                <w:color w:val="auto"/>
              </w:rPr>
            </w:pPr>
            <w:r>
              <w:rPr>
                <w:rFonts w:ascii="Arial" w:cs="Arial" w:eastAsia="Arial" w:hAnsi="Arial"/>
                <w:sz w:val="14"/>
                <w:szCs w:val="14"/>
                <w:color w:val="auto"/>
                <w:w w:val="97"/>
              </w:rPr>
              <w:t>consumer products</w:t>
            </w:r>
          </w:p>
        </w:tc>
        <w:tc>
          <w:tcPr>
            <w:tcW w:w="2500" w:type="dxa"/>
            <w:vAlign w:val="bottom"/>
            <w:shd w:val="clear" w:color="auto" w:fill="CCEEFF"/>
          </w:tcPr>
          <w:p>
            <w:pPr>
              <w:ind w:left="80"/>
              <w:spacing w:after="0" w:line="208" w:lineRule="exact"/>
              <w:rPr>
                <w:sz w:val="20"/>
                <w:szCs w:val="20"/>
                <w:color w:val="auto"/>
              </w:rPr>
            </w:pPr>
            <w:r>
              <w:rPr>
                <w:rFonts w:ascii="Arial" w:cs="Arial" w:eastAsia="Arial" w:hAnsi="Arial"/>
                <w:sz w:val="14"/>
                <w:szCs w:val="14"/>
                <w:color w:val="auto"/>
              </w:rPr>
              <w:t xml:space="preserve">2/22/22) </w:t>
            </w:r>
            <w:r>
              <w:rPr>
                <w:rFonts w:ascii="Arial" w:cs="Arial" w:eastAsia="Arial" w:hAnsi="Arial"/>
                <w:sz w:val="23"/>
                <w:szCs w:val="23"/>
                <w:color w:val="auto"/>
                <w:vertAlign w:val="superscript"/>
              </w:rPr>
              <w:t>(6)</w:t>
            </w:r>
          </w:p>
        </w:tc>
        <w:tc>
          <w:tcPr>
            <w:tcW w:w="13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12/14/2018  $</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162"/>
        </w:trPr>
        <w:tc>
          <w:tcPr>
            <w:tcW w:w="17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17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13,000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13,000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Chief Fire Intermediate, Inc.</w:t>
            </w:r>
          </w:p>
        </w:tc>
        <w:tc>
          <w:tcPr>
            <w:tcW w:w="12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Security System</w:t>
            </w: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 (8.6% Cash (1 month</w:t>
            </w:r>
          </w:p>
        </w:tc>
        <w:tc>
          <w:tcPr>
            <w:tcW w:w="1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8"/>
        </w:trPr>
        <w:tc>
          <w:tcPr>
            <w:tcW w:w="1740" w:type="dxa"/>
            <w:vAlign w:val="bottom"/>
            <w:shd w:val="clear" w:color="auto" w:fill="CCEEFF"/>
          </w:tcPr>
          <w:p>
            <w:pPr>
              <w:spacing w:after="0"/>
              <w:rPr>
                <w:sz w:val="13"/>
                <w:szCs w:val="13"/>
                <w:color w:val="auto"/>
              </w:rPr>
            </w:pPr>
          </w:p>
        </w:tc>
        <w:tc>
          <w:tcPr>
            <w:tcW w:w="12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Services</w:t>
            </w:r>
          </w:p>
        </w:tc>
        <w:tc>
          <w:tcPr>
            <w:tcW w:w="250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LIBOR + 7.0%, 1.6% Floor), Due</w:t>
            </w:r>
          </w:p>
        </w:tc>
        <w:tc>
          <w:tcPr>
            <w:tcW w:w="1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98"/>
        </w:trPr>
        <w:tc>
          <w:tcPr>
            <w:tcW w:w="1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50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11/8/24) </w:t>
            </w:r>
            <w:r>
              <w:rPr>
                <w:rFonts w:ascii="Arial" w:cs="Arial" w:eastAsia="Arial" w:hAnsi="Arial"/>
                <w:sz w:val="22"/>
                <w:szCs w:val="22"/>
                <w:color w:val="auto"/>
                <w:vertAlign w:val="superscript"/>
              </w:rPr>
              <w:t>(7)</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11/8/2019</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8,100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5,344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48"/>
        </w:trPr>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Chief Fire Intermediate, Inc.</w:t>
            </w:r>
          </w:p>
        </w:tc>
        <w:tc>
          <w:tcPr>
            <w:tcW w:w="12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Security System</w:t>
            </w: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Class A Preferred Units (34,740 units)</w:t>
            </w:r>
          </w:p>
        </w:tc>
        <w:tc>
          <w:tcPr>
            <w:tcW w:w="1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1740" w:type="dxa"/>
            <w:vAlign w:val="bottom"/>
            <w:shd w:val="clear" w:color="auto" w:fill="CCEEFF"/>
          </w:tcPr>
          <w:p>
            <w:pPr>
              <w:spacing w:after="0"/>
              <w:rPr>
                <w:sz w:val="14"/>
                <w:szCs w:val="14"/>
                <w:color w:val="auto"/>
              </w:rPr>
            </w:pPr>
          </w:p>
        </w:tc>
        <w:tc>
          <w:tcPr>
            <w:tcW w:w="1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25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11/8/2019</w:t>
            </w:r>
          </w:p>
        </w:tc>
        <w:tc>
          <w:tcPr>
            <w:tcW w:w="8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r>
      <w:tr>
        <w:trPr>
          <w:trHeight w:val="148"/>
        </w:trPr>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Chief Fire Intermediate, Inc.</w:t>
            </w:r>
          </w:p>
        </w:tc>
        <w:tc>
          <w:tcPr>
            <w:tcW w:w="12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Security System</w:t>
            </w: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Class B Common Units (3,510 units)</w:t>
            </w:r>
          </w:p>
        </w:tc>
        <w:tc>
          <w:tcPr>
            <w:tcW w:w="1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1740" w:type="dxa"/>
            <w:vAlign w:val="bottom"/>
            <w:shd w:val="clear" w:color="auto" w:fill="CCEEFF"/>
          </w:tcPr>
          <w:p>
            <w:pPr>
              <w:spacing w:after="0"/>
              <w:rPr>
                <w:sz w:val="14"/>
                <w:szCs w:val="14"/>
                <w:color w:val="auto"/>
              </w:rPr>
            </w:pPr>
          </w:p>
        </w:tc>
        <w:tc>
          <w:tcPr>
            <w:tcW w:w="1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25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11/8/2019</w:t>
            </w:r>
          </w:p>
        </w:tc>
        <w:tc>
          <w:tcPr>
            <w:tcW w:w="8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r>
      <w:tr>
        <w:trPr>
          <w:trHeight w:val="162"/>
        </w:trPr>
        <w:tc>
          <w:tcPr>
            <w:tcW w:w="17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17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9,013</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5,344</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CIS Secure Computing, Inc.</w:t>
            </w:r>
          </w:p>
        </w:tc>
        <w:tc>
          <w:tcPr>
            <w:tcW w:w="12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Government</w:t>
            </w: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 (9.5% Cash (1 month</w:t>
            </w:r>
          </w:p>
        </w:tc>
        <w:tc>
          <w:tcPr>
            <w:tcW w:w="1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9"/>
        </w:trPr>
        <w:tc>
          <w:tcPr>
            <w:tcW w:w="1740" w:type="dxa"/>
            <w:vAlign w:val="bottom"/>
            <w:shd w:val="clear" w:color="auto" w:fill="CCEEFF"/>
          </w:tcPr>
          <w:p>
            <w:pPr>
              <w:spacing w:after="0"/>
              <w:rPr>
                <w:sz w:val="12"/>
                <w:szCs w:val="12"/>
                <w:color w:val="auto"/>
              </w:rPr>
            </w:pPr>
          </w:p>
        </w:tc>
        <w:tc>
          <w:tcPr>
            <w:tcW w:w="12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w:t>
            </w:r>
          </w:p>
        </w:tc>
        <w:tc>
          <w:tcPr>
            <w:tcW w:w="25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LIBOR + 8.5%, 1.0% Floor), 1.0%</w:t>
            </w:r>
          </w:p>
        </w:tc>
        <w:tc>
          <w:tcPr>
            <w:tcW w:w="1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7"/>
        </w:trPr>
        <w:tc>
          <w:tcPr>
            <w:tcW w:w="17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Due 9/14/22)</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9/14/2017</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8,322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8,322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48"/>
        </w:trPr>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CIS Secure Computing, Inc.</w:t>
            </w:r>
          </w:p>
        </w:tc>
        <w:tc>
          <w:tcPr>
            <w:tcW w:w="12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Government</w:t>
            </w: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(46,163 shares)</w:t>
            </w:r>
          </w:p>
        </w:tc>
        <w:tc>
          <w:tcPr>
            <w:tcW w:w="1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1740" w:type="dxa"/>
            <w:vAlign w:val="bottom"/>
            <w:shd w:val="clear" w:color="auto" w:fill="CCEEFF"/>
          </w:tcPr>
          <w:p>
            <w:pPr>
              <w:spacing w:after="0"/>
              <w:rPr>
                <w:sz w:val="14"/>
                <w:szCs w:val="14"/>
                <w:color w:val="auto"/>
              </w:rPr>
            </w:pPr>
          </w:p>
        </w:tc>
        <w:tc>
          <w:tcPr>
            <w:tcW w:w="1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25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9/14/2017</w:t>
            </w:r>
          </w:p>
        </w:tc>
        <w:tc>
          <w:tcPr>
            <w:tcW w:w="8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3,059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62"/>
        </w:trPr>
        <w:tc>
          <w:tcPr>
            <w:tcW w:w="17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17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9,322</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11,381</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2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Sales &amp; Marketing</w:t>
            </w: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Second Lien Debt (11.0%, Due</w:t>
            </w:r>
          </w:p>
        </w:tc>
        <w:tc>
          <w:tcPr>
            <w:tcW w:w="1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208"/>
        </w:trPr>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2500" w:type="dxa"/>
            <w:vAlign w:val="bottom"/>
            <w:shd w:val="clear" w:color="auto" w:fill="CCEEFF"/>
          </w:tcPr>
          <w:p>
            <w:pPr>
              <w:ind w:left="80"/>
              <w:spacing w:after="0" w:line="208" w:lineRule="exact"/>
              <w:rPr>
                <w:sz w:val="20"/>
                <w:szCs w:val="20"/>
                <w:color w:val="auto"/>
              </w:rPr>
            </w:pPr>
            <w:r>
              <w:rPr>
                <w:rFonts w:ascii="Arial" w:cs="Arial" w:eastAsia="Arial" w:hAnsi="Arial"/>
                <w:sz w:val="14"/>
                <w:szCs w:val="14"/>
                <w:color w:val="auto"/>
              </w:rPr>
              <w:t xml:space="preserve">11/29/21) </w:t>
            </w:r>
            <w:r>
              <w:rPr>
                <w:rFonts w:ascii="Arial" w:cs="Arial" w:eastAsia="Arial" w:hAnsi="Arial"/>
                <w:sz w:val="23"/>
                <w:szCs w:val="23"/>
                <w:color w:val="auto"/>
                <w:vertAlign w:val="superscript"/>
              </w:rPr>
              <w:t>(9)</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5/29/2015</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19,425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19,425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19,425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148"/>
        </w:trPr>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2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Sales &amp; Marketing</w:t>
            </w: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(15,750 shares)</w:t>
            </w:r>
          </w:p>
        </w:tc>
        <w:tc>
          <w:tcPr>
            <w:tcW w:w="1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1740" w:type="dxa"/>
            <w:vAlign w:val="bottom"/>
            <w:shd w:val="clear" w:color="auto" w:fill="CCEEFF"/>
          </w:tcPr>
          <w:p>
            <w:pPr>
              <w:spacing w:after="0"/>
              <w:rPr>
                <w:sz w:val="14"/>
                <w:szCs w:val="14"/>
                <w:color w:val="auto"/>
              </w:rPr>
            </w:pPr>
          </w:p>
        </w:tc>
        <w:tc>
          <w:tcPr>
            <w:tcW w:w="1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25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5/29/2015</w:t>
            </w:r>
          </w:p>
        </w:tc>
        <w:tc>
          <w:tcPr>
            <w:tcW w:w="8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62"/>
        </w:trPr>
        <w:tc>
          <w:tcPr>
            <w:tcW w:w="17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17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21,000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20,947</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Currency Capital, LLC</w:t>
            </w:r>
          </w:p>
        </w:tc>
        <w:tc>
          <w:tcPr>
            <w:tcW w:w="12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Financial Services</w:t>
            </w: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 (12.5% Cash (1 month</w:t>
            </w:r>
          </w:p>
        </w:tc>
        <w:tc>
          <w:tcPr>
            <w:tcW w:w="1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8"/>
        </w:trPr>
        <w:tc>
          <w:tcPr>
            <w:tcW w:w="17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50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LIBOR + 12.0%, 0.5% Floor), 4.0%</w:t>
            </w:r>
          </w:p>
        </w:tc>
        <w:tc>
          <w:tcPr>
            <w:tcW w:w="1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98"/>
        </w:trPr>
        <w:tc>
          <w:tcPr>
            <w:tcW w:w="1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50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PIK, Due 7/20/21) </w:t>
            </w:r>
            <w:r>
              <w:rPr>
                <w:rFonts w:ascii="Arial" w:cs="Arial" w:eastAsia="Arial" w:hAnsi="Arial"/>
                <w:sz w:val="22"/>
                <w:szCs w:val="22"/>
                <w:color w:val="auto"/>
                <w:vertAlign w:val="superscript"/>
              </w:rPr>
              <w:t>(6)(7)(10)</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1/20/2017</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16,500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16,172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48"/>
        </w:trPr>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0"/>
        </w:trPr>
        <w:tc>
          <w:tcPr>
            <w:tcW w:w="17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Currency Capital, LLC</w:t>
            </w:r>
          </w:p>
        </w:tc>
        <w:tc>
          <w:tcPr>
            <w:tcW w:w="126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Financial Services</w:t>
            </w:r>
          </w:p>
        </w:tc>
        <w:tc>
          <w:tcPr>
            <w:tcW w:w="250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Class A Preferred Units (2,000,000</w:t>
            </w:r>
          </w:p>
        </w:tc>
        <w:tc>
          <w:tcPr>
            <w:tcW w:w="1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98"/>
        </w:trPr>
        <w:tc>
          <w:tcPr>
            <w:tcW w:w="1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50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units) </w:t>
            </w:r>
            <w:r>
              <w:rPr>
                <w:rFonts w:ascii="Arial" w:cs="Arial" w:eastAsia="Arial" w:hAnsi="Arial"/>
                <w:sz w:val="22"/>
                <w:szCs w:val="22"/>
                <w:color w:val="auto"/>
                <w:vertAlign w:val="superscript"/>
              </w:rPr>
              <w:t>(10)</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1/20/2017</w:t>
            </w:r>
          </w:p>
        </w:tc>
        <w:tc>
          <w:tcPr>
            <w:tcW w:w="8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r>
      <w:tr>
        <w:trPr>
          <w:trHeight w:val="162"/>
        </w:trPr>
        <w:tc>
          <w:tcPr>
            <w:tcW w:w="17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17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18,172</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3,750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12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Electronic Machine</w:t>
            </w: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 (7.0% Cash (1 month</w:t>
            </w:r>
          </w:p>
        </w:tc>
        <w:tc>
          <w:tcPr>
            <w:tcW w:w="1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1740" w:type="dxa"/>
            <w:vAlign w:val="bottom"/>
            <w:shd w:val="clear" w:color="auto" w:fill="CCEEFF"/>
          </w:tcPr>
          <w:p>
            <w:pPr>
              <w:spacing w:after="0"/>
              <w:rPr>
                <w:sz w:val="12"/>
                <w:szCs w:val="12"/>
                <w:color w:val="auto"/>
              </w:rPr>
            </w:pPr>
          </w:p>
        </w:tc>
        <w:tc>
          <w:tcPr>
            <w:tcW w:w="12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Repair</w:t>
            </w:r>
          </w:p>
        </w:tc>
        <w:tc>
          <w:tcPr>
            <w:tcW w:w="25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LIBOR + 5.0%, 2.0% Floor), Due</w:t>
            </w:r>
          </w:p>
        </w:tc>
        <w:tc>
          <w:tcPr>
            <w:tcW w:w="1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7"/>
        </w:trPr>
        <w:tc>
          <w:tcPr>
            <w:tcW w:w="17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12/20/23)</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6/1/2020</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2,691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2,691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48"/>
        </w:trPr>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12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Electronic Machine</w:t>
            </w: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First Lien Debt (8.7% Cash, Due</w:t>
            </w:r>
          </w:p>
        </w:tc>
        <w:tc>
          <w:tcPr>
            <w:tcW w:w="1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208"/>
        </w:trPr>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Repair</w:t>
            </w:r>
          </w:p>
        </w:tc>
        <w:tc>
          <w:tcPr>
            <w:tcW w:w="2500" w:type="dxa"/>
            <w:vAlign w:val="bottom"/>
            <w:shd w:val="clear" w:color="auto" w:fill="CCEEFF"/>
          </w:tcPr>
          <w:p>
            <w:pPr>
              <w:ind w:left="80"/>
              <w:spacing w:after="0" w:line="208" w:lineRule="exact"/>
              <w:rPr>
                <w:sz w:val="20"/>
                <w:szCs w:val="20"/>
                <w:color w:val="auto"/>
              </w:rPr>
            </w:pPr>
            <w:r>
              <w:rPr>
                <w:rFonts w:ascii="Arial" w:cs="Arial" w:eastAsia="Arial" w:hAnsi="Arial"/>
                <w:sz w:val="14"/>
                <w:szCs w:val="14"/>
                <w:color w:val="auto"/>
              </w:rPr>
              <w:t xml:space="preserve">12/20/23) </w:t>
            </w:r>
            <w:r>
              <w:rPr>
                <w:rFonts w:ascii="Arial" w:cs="Arial" w:eastAsia="Arial" w:hAnsi="Arial"/>
                <w:sz w:val="23"/>
                <w:szCs w:val="23"/>
                <w:color w:val="auto"/>
                <w:vertAlign w:val="superscript"/>
              </w:rPr>
              <w:t>(11)(12)</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12/20/2018</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5,870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5,870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5,870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148"/>
        </w:trPr>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Freedom Electronics, LLC</w:t>
            </w:r>
          </w:p>
        </w:tc>
        <w:tc>
          <w:tcPr>
            <w:tcW w:w="12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Electronic Machine</w:t>
            </w: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 (181,818 units)</w:t>
            </w:r>
          </w:p>
        </w:tc>
        <w:tc>
          <w:tcPr>
            <w:tcW w:w="1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1740" w:type="dxa"/>
            <w:vAlign w:val="bottom"/>
            <w:shd w:val="clear" w:color="auto" w:fill="CCEEFF"/>
          </w:tcPr>
          <w:p>
            <w:pPr>
              <w:spacing w:after="0"/>
              <w:rPr>
                <w:sz w:val="14"/>
                <w:szCs w:val="14"/>
                <w:color w:val="auto"/>
              </w:rPr>
            </w:pPr>
          </w:p>
        </w:tc>
        <w:tc>
          <w:tcPr>
            <w:tcW w:w="1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Repair</w:t>
            </w:r>
          </w:p>
        </w:tc>
        <w:tc>
          <w:tcPr>
            <w:tcW w:w="25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12/20/2018</w:t>
            </w:r>
          </w:p>
        </w:tc>
        <w:tc>
          <w:tcPr>
            <w:tcW w:w="8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62"/>
        </w:trPr>
        <w:tc>
          <w:tcPr>
            <w:tcW w:w="17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17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8,743</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8,759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0"/>
        </w:trPr>
        <w:tc>
          <w:tcPr>
            <w:tcW w:w="17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HUMC Opco, LLC</w:t>
            </w:r>
          </w:p>
        </w:tc>
        <w:tc>
          <w:tcPr>
            <w:tcW w:w="126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Healthcare</w:t>
            </w:r>
          </w:p>
        </w:tc>
        <w:tc>
          <w:tcPr>
            <w:tcW w:w="250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rPr>
              <w:t>First Lien Debt (9.0% Cash, Due</w:t>
            </w:r>
          </w:p>
        </w:tc>
        <w:tc>
          <w:tcPr>
            <w:tcW w:w="1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98"/>
        </w:trPr>
        <w:tc>
          <w:tcPr>
            <w:tcW w:w="1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50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1/11/21) </w:t>
            </w:r>
            <w:r>
              <w:rPr>
                <w:rFonts w:ascii="Arial" w:cs="Arial" w:eastAsia="Arial" w:hAnsi="Arial"/>
                <w:sz w:val="22"/>
                <w:szCs w:val="22"/>
                <w:color w:val="auto"/>
                <w:vertAlign w:val="superscript"/>
              </w:rPr>
              <w:t>(6)</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8/8/2019</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62"/>
        </w:trPr>
        <w:tc>
          <w:tcPr>
            <w:tcW w:w="17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17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3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Acquisition</w:t>
            </w:r>
          </w:p>
        </w:tc>
        <w:tc>
          <w:tcPr>
            <w:tcW w:w="13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Principal</w:t>
            </w: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5"/>
        </w:trPr>
        <w:tc>
          <w:tcPr>
            <w:tcW w:w="1820" w:type="dxa"/>
            <w:vAlign w:val="bottom"/>
            <w:gridSpan w:val="2"/>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13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23"/>
        </w:trPr>
        <w:tc>
          <w:tcPr>
            <w:tcW w:w="17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J5 Infrastructure Partners,</w:t>
            </w: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Wireless</w:t>
            </w:r>
          </w:p>
        </w:tc>
        <w:tc>
          <w:tcPr>
            <w:tcW w:w="12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7"/>
              </w:rPr>
              <w:t>First Lien Debt (8.3% Cash (1 month</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Deployment</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+ 6.5%, 1.8%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12/20/24) </w:t>
            </w:r>
            <w:r>
              <w:rPr>
                <w:rFonts w:ascii="Arial" w:cs="Arial" w:eastAsia="Arial" w:hAnsi="Arial"/>
                <w:sz w:val="23"/>
                <w:szCs w:val="23"/>
                <w:color w:val="auto"/>
                <w:vertAlign w:val="superscript"/>
              </w:rPr>
              <w:t>(13)</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12/20/2019  $</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J5 Infrastructure Partners,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Wireless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(8.3%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Deployment</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+ 6.5%, 1.8%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12/20/24)</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12/20/2019</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6,948</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6,948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6,948</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Jurassic Quest Holdings,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Entertainment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(9.5%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+ 7.5%, 2.0%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5/1/24)</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5/1/2019</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9,665</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9,665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Jurassic Quest Holdings,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Entertainment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Preferred Units (467,784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5/1/2019</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10,145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10,241</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MicroHoldco,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General Industrial</w:t>
            </w:r>
          </w:p>
        </w:tc>
        <w:tc>
          <w:tcPr>
            <w:tcW w:w="24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3"/>
                <w:szCs w:val="13"/>
                <w:color w:val="auto"/>
              </w:rPr>
              <w:t xml:space="preserve">Preferred Units (838,042 units) </w:t>
            </w:r>
            <w:r>
              <w:rPr>
                <w:rFonts w:ascii="Arial" w:cs="Arial" w:eastAsia="Arial" w:hAnsi="Arial"/>
                <w:sz w:val="21"/>
                <w:szCs w:val="21"/>
                <w:color w:val="auto"/>
                <w:vertAlign w:val="superscript"/>
              </w:rPr>
              <w:t>(14)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7/25/2019</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Rapid Fire Protection,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(5.5%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Services</w:t>
            </w:r>
          </w:p>
        </w:tc>
        <w:tc>
          <w:tcPr>
            <w:tcW w:w="248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LIBOR + 3.8%, 1.7% Floor), Due</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11/22/24) </w:t>
            </w:r>
            <w:r>
              <w:rPr>
                <w:rFonts w:ascii="Arial" w:cs="Arial" w:eastAsia="Arial" w:hAnsi="Arial"/>
                <w:sz w:val="22"/>
                <w:szCs w:val="22"/>
                <w:color w:val="auto"/>
                <w:vertAlign w:val="superscript"/>
              </w:rPr>
              <w:t>(15)</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6/1/2020</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621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Rapid Fire Protection,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(8.9%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11/22/24) </w:t>
            </w:r>
            <w:r>
              <w:rPr>
                <w:rFonts w:ascii="Arial" w:cs="Arial" w:eastAsia="Arial" w:hAnsi="Arial"/>
                <w:sz w:val="23"/>
                <w:szCs w:val="23"/>
                <w:color w:val="auto"/>
                <w:vertAlign w:val="superscript"/>
              </w:rPr>
              <w:t>(11)(16)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11/22/2019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7,234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7,234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Rapid Fire Protection,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Security System</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(363 shares)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11/22/2019</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8,355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9,383</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Seitel,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Data Services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(9.3% Cash (3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+ 8.3%, 1.0% Floor) 2.0%</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PIK, Due 3/15/23)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3/15/2019</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4,662</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4,662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3,856</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Sequoia Healthcare</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(12.8%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Management, 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Management</w:t>
            </w: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1/11/21) </w:t>
            </w:r>
            <w:r>
              <w:rPr>
                <w:rFonts w:ascii="Arial" w:cs="Arial" w:eastAsia="Arial" w:hAnsi="Arial"/>
                <w:sz w:val="23"/>
                <w:szCs w:val="23"/>
                <w:color w:val="auto"/>
                <w:vertAlign w:val="superscript"/>
              </w:rPr>
              <w:t>(6)(7)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8/21/2018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11,935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10,673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11,935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10,673</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Taylor Precision Products,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Household Product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Series C Preferred Stock (379 shares)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12/23/2014</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Testing</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(7.0% Cash (3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laboratories</w:t>
            </w: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+ 5.0%, 2.0%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12/14/23)</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6/1/2020</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1,450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Testing</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(9.3%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12/14/23) </w:t>
            </w:r>
            <w:r>
              <w:rPr>
                <w:rFonts w:ascii="Arial" w:cs="Arial" w:eastAsia="Arial" w:hAnsi="Arial"/>
                <w:sz w:val="23"/>
                <w:szCs w:val="23"/>
                <w:color w:val="auto"/>
                <w:vertAlign w:val="superscript"/>
              </w:rPr>
              <w:t>(11) (12)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12/14/2018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4,511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Testing</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Preferred Units (500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12/14/2018</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Testing</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C Units (578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12/14/2018</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BioTek Laboratories,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Testing</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D Preferred Units (78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LLC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laboratories</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4/3/2020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6,580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6,449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Schedule of Investments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w:t>
      </w:r>
    </w:p>
    <w:p>
      <w:pPr>
        <w:sectPr>
          <w:pgSz w:w="11900" w:h="16838" w:orient="portrait"/>
          <w:cols w:equalWidth="0" w:num="1">
            <w:col w:w="11240"/>
          </w:cols>
          <w:pgMar w:left="320" w:top="688" w:right="3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Portfolio Company,</w:t>
      </w:r>
    </w:p>
    <w:p>
      <w:pPr>
        <w:ind w:left="100"/>
        <w:spacing w:after="0" w:line="186" w:lineRule="auto"/>
        <w:rPr>
          <w:sz w:val="20"/>
          <w:szCs w:val="20"/>
          <w:color w:val="auto"/>
        </w:rPr>
      </w:pPr>
      <w:r>
        <w:rPr>
          <w:rFonts w:ascii="Arial" w:cs="Arial" w:eastAsia="Arial" w:hAnsi="Arial"/>
          <w:sz w:val="23"/>
          <w:szCs w:val="23"/>
          <w:b w:val="1"/>
          <w:bCs w:val="1"/>
          <w:color w:val="auto"/>
          <w:vertAlign w:val="subscript"/>
        </w:rPr>
        <w:t>Country</w:t>
      </w:r>
      <w:r>
        <w:rPr>
          <w:rFonts w:ascii="Arial" w:cs="Arial" w:eastAsia="Arial" w:hAnsi="Arial"/>
          <w:sz w:val="11"/>
          <w:szCs w:val="11"/>
          <w:b w:val="1"/>
          <w:bCs w:val="1"/>
          <w:color w:val="auto"/>
        </w:rPr>
        <w:t xml:space="preserve"> (1), (2), (3), (4), (5)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U.S. Well Services, Inc.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Xirgo Technologies, LLC</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67" w:lineRule="auto"/>
        <w:rPr>
          <w:sz w:val="20"/>
          <w:szCs w:val="20"/>
          <w:color w:val="auto"/>
        </w:rPr>
      </w:pPr>
      <w:r>
        <w:rPr>
          <w:rFonts w:ascii="Arial" w:cs="Arial" w:eastAsia="Arial" w:hAnsi="Arial"/>
          <w:sz w:val="13"/>
          <w:szCs w:val="13"/>
          <w:b w:val="1"/>
          <w:bCs w:val="1"/>
          <w:color w:val="auto"/>
        </w:rPr>
        <w:t>Sub Total Non-control/non-affiliated investments - United States</w:t>
      </w:r>
    </w:p>
    <w:p>
      <w:pPr>
        <w:spacing w:after="0" w:line="163"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b w:val="1"/>
          <w:bCs w:val="1"/>
          <w:color w:val="auto"/>
        </w:rPr>
        <w:t>Affiliate Investments - 85.7%</w:t>
      </w:r>
    </w:p>
    <w:p>
      <w:pPr>
        <w:spacing w:after="0" w:line="99" w:lineRule="exact"/>
        <w:rPr>
          <w:sz w:val="20"/>
          <w:szCs w:val="20"/>
          <w:color w:val="auto"/>
        </w:rPr>
      </w:pPr>
    </w:p>
    <w:p>
      <w:pPr>
        <w:ind w:right="340"/>
        <w:spacing w:after="0" w:line="297" w:lineRule="auto"/>
        <w:rPr>
          <w:sz w:val="20"/>
          <w:szCs w:val="20"/>
          <w:color w:val="auto"/>
        </w:rPr>
      </w:pPr>
      <w:r>
        <w:rPr>
          <w:rFonts w:ascii="Arial" w:cs="Arial" w:eastAsia="Arial" w:hAnsi="Arial"/>
          <w:sz w:val="13"/>
          <w:szCs w:val="13"/>
          <w:b w:val="1"/>
          <w:bCs w:val="1"/>
          <w:color w:val="auto"/>
        </w:rPr>
        <w:t>Affiliate investments - United States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23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Acquisition</w:t>
            </w:r>
          </w:p>
        </w:tc>
        <w:tc>
          <w:tcPr>
            <w:tcW w:w="14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5"/>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040" w:type="dxa"/>
            <w:vAlign w:val="bottom"/>
            <w:gridSpan w:val="2"/>
          </w:tcPr>
          <w:p>
            <w:pPr>
              <w:ind w:left="320"/>
              <w:spacing w:after="0"/>
              <w:rPr>
                <w:sz w:val="20"/>
                <w:szCs w:val="20"/>
                <w:color w:val="auto"/>
              </w:rPr>
            </w:pPr>
            <w:r>
              <w:rPr>
                <w:rFonts w:ascii="Arial" w:cs="Arial" w:eastAsia="Arial" w:hAnsi="Arial"/>
                <w:sz w:val="14"/>
                <w:szCs w:val="14"/>
                <w:b w:val="1"/>
                <w:bCs w:val="1"/>
                <w:color w:val="auto"/>
              </w:rPr>
              <w:t>Date</w:t>
            </w:r>
          </w:p>
        </w:tc>
        <w:tc>
          <w:tcPr>
            <w:tcW w:w="14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33"/>
        </w:trPr>
        <w:tc>
          <w:tcPr>
            <w:tcW w:w="1140" w:type="dxa"/>
            <w:vAlign w:val="bottom"/>
            <w:tcBorders>
              <w:top w:val="single" w:sz="8" w:color="auto"/>
            </w:tcBorders>
          </w:tcPr>
          <w:p>
            <w:pPr>
              <w:spacing w:after="0" w:line="133" w:lineRule="exact"/>
              <w:rPr>
                <w:sz w:val="20"/>
                <w:szCs w:val="20"/>
                <w:color w:val="auto"/>
              </w:rPr>
            </w:pPr>
            <w:r>
              <w:rPr>
                <w:rFonts w:ascii="Arial" w:cs="Arial" w:eastAsia="Arial" w:hAnsi="Arial"/>
                <w:sz w:val="14"/>
                <w:szCs w:val="14"/>
                <w:color w:val="auto"/>
                <w:w w:val="95"/>
              </w:rPr>
              <w:t>Oil &amp; Gas Services</w:t>
            </w:r>
          </w:p>
        </w:tc>
        <w:tc>
          <w:tcPr>
            <w:tcW w:w="120" w:type="dxa"/>
            <w:vAlign w:val="bottom"/>
          </w:tcPr>
          <w:p>
            <w:pPr>
              <w:spacing w:after="0"/>
              <w:rPr>
                <w:sz w:val="11"/>
                <w:szCs w:val="11"/>
                <w:color w:val="auto"/>
              </w:rPr>
            </w:pPr>
          </w:p>
        </w:tc>
        <w:tc>
          <w:tcPr>
            <w:tcW w:w="2240" w:type="dxa"/>
            <w:vAlign w:val="bottom"/>
            <w:tcBorders>
              <w:top w:val="single" w:sz="8" w:color="auto"/>
            </w:tcBorders>
          </w:tcPr>
          <w:p>
            <w:pPr>
              <w:spacing w:after="0" w:line="133" w:lineRule="exact"/>
              <w:rPr>
                <w:sz w:val="20"/>
                <w:szCs w:val="20"/>
                <w:color w:val="auto"/>
              </w:rPr>
            </w:pPr>
            <w:r>
              <w:rPr>
                <w:rFonts w:ascii="Arial" w:cs="Arial" w:eastAsia="Arial" w:hAnsi="Arial"/>
                <w:sz w:val="14"/>
                <w:szCs w:val="14"/>
                <w:color w:val="auto"/>
              </w:rPr>
              <w:t>Class A Common Stock (1,202,499</w:t>
            </w:r>
          </w:p>
        </w:tc>
        <w:tc>
          <w:tcPr>
            <w:tcW w:w="1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1140" w:type="dxa"/>
            <w:vAlign w:val="bottom"/>
          </w:tcPr>
          <w:p>
            <w:pPr>
              <w:spacing w:after="0"/>
              <w:rPr>
                <w:sz w:val="24"/>
                <w:szCs w:val="24"/>
                <w:color w:val="auto"/>
              </w:rPr>
            </w:pPr>
          </w:p>
        </w:tc>
        <w:tc>
          <w:tcPr>
            <w:tcW w:w="2480" w:type="dxa"/>
            <w:vAlign w:val="bottom"/>
            <w:gridSpan w:val="3"/>
          </w:tcPr>
          <w:p>
            <w:pPr>
              <w:ind w:left="120"/>
              <w:spacing w:after="0"/>
              <w:rPr>
                <w:sz w:val="20"/>
                <w:szCs w:val="20"/>
                <w:color w:val="auto"/>
              </w:rPr>
            </w:pPr>
            <w:r>
              <w:rPr>
                <w:rFonts w:ascii="Arial" w:cs="Arial" w:eastAsia="Arial" w:hAnsi="Arial"/>
                <w:sz w:val="14"/>
                <w:szCs w:val="14"/>
                <w:color w:val="auto"/>
              </w:rPr>
              <w:t xml:space="preserve">shares) </w:t>
            </w:r>
            <w:r>
              <w:rPr>
                <w:rFonts w:ascii="Arial" w:cs="Arial" w:eastAsia="Arial" w:hAnsi="Arial"/>
                <w:sz w:val="23"/>
                <w:szCs w:val="23"/>
                <w:color w:val="auto"/>
                <w:vertAlign w:val="superscript"/>
              </w:rPr>
              <w:t>(17)</w:t>
            </w:r>
          </w:p>
        </w:tc>
        <w:tc>
          <w:tcPr>
            <w:tcW w:w="1040" w:type="dxa"/>
            <w:vAlign w:val="bottom"/>
            <w:gridSpan w:val="2"/>
          </w:tcPr>
          <w:p>
            <w:pPr>
              <w:ind w:left="340"/>
              <w:spacing w:after="0"/>
              <w:rPr>
                <w:sz w:val="20"/>
                <w:szCs w:val="20"/>
                <w:color w:val="auto"/>
              </w:rPr>
            </w:pPr>
            <w:r>
              <w:rPr>
                <w:rFonts w:ascii="Arial" w:cs="Arial" w:eastAsia="Arial" w:hAnsi="Arial"/>
                <w:sz w:val="14"/>
                <w:szCs w:val="14"/>
                <w:color w:val="auto"/>
              </w:rPr>
              <w:t>11/9/2018</w:t>
            </w:r>
          </w:p>
        </w:tc>
        <w:tc>
          <w:tcPr>
            <w:tcW w:w="14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1,244</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493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1,244</w:t>
            </w: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493</w:t>
            </w:r>
          </w:p>
        </w:tc>
        <w:tc>
          <w:tcPr>
            <w:tcW w:w="220" w:type="dxa"/>
            <w:vAlign w:val="bottom"/>
            <w:vMerge w:val="continue"/>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0.5</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4"/>
                <w:szCs w:val="14"/>
                <w:color w:val="auto"/>
              </w:rPr>
              <w:t>Information</w:t>
            </w:r>
          </w:p>
        </w:tc>
        <w:tc>
          <w:tcPr>
            <w:tcW w:w="2480" w:type="dxa"/>
            <w:vAlign w:val="bottom"/>
            <w:gridSpan w:val="3"/>
          </w:tcPr>
          <w:p>
            <w:pPr>
              <w:ind w:left="120"/>
              <w:spacing w:after="0"/>
              <w:rPr>
                <w:sz w:val="20"/>
                <w:szCs w:val="20"/>
                <w:color w:val="auto"/>
              </w:rPr>
            </w:pPr>
            <w:r>
              <w:rPr>
                <w:rFonts w:ascii="Arial" w:cs="Arial" w:eastAsia="Arial" w:hAnsi="Arial"/>
                <w:sz w:val="14"/>
                <w:szCs w:val="14"/>
                <w:color w:val="auto"/>
              </w:rPr>
              <w:t>Membership Units (600,000 units)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320"/>
              <w:spacing w:after="0"/>
              <w:rPr>
                <w:sz w:val="20"/>
                <w:szCs w:val="20"/>
                <w:color w:val="auto"/>
              </w:rPr>
            </w:pPr>
            <w:r>
              <w:rPr>
                <w:rFonts w:ascii="Arial" w:cs="Arial" w:eastAsia="Arial" w:hAnsi="Arial"/>
                <w:sz w:val="14"/>
                <w:szCs w:val="14"/>
                <w:color w:val="auto"/>
              </w:rPr>
              <w:t>12/1/2016</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2,735</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w:t>
            </w: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2,735</w:t>
            </w:r>
          </w:p>
        </w:tc>
        <w:tc>
          <w:tcPr>
            <w:tcW w:w="220" w:type="dxa"/>
            <w:vAlign w:val="bottom"/>
            <w:vMerge w:val="continue"/>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187,744</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172,848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158.7</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-1028065</wp:posOffset>
            </wp:positionV>
            <wp:extent cx="713232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-822325</wp:posOffset>
            </wp:positionV>
            <wp:extent cx="713232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-530860</wp:posOffset>
            </wp:positionV>
            <wp:extent cx="713232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-325120</wp:posOffset>
            </wp:positionV>
            <wp:extent cx="7132320"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93980</wp:posOffset>
            </wp:positionV>
            <wp:extent cx="713232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377190</wp:posOffset>
            </wp:positionV>
            <wp:extent cx="71323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-1353820</wp:posOffset>
            </wp:positionV>
            <wp:extent cx="7132320"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008" w:lineRule="exact"/>
        <w:rPr>
          <w:sz w:val="20"/>
          <w:szCs w:val="20"/>
          <w:color w:val="auto"/>
        </w:rPr>
      </w:pPr>
    </w:p>
    <w:p>
      <w:pPr>
        <w:sectPr>
          <w:pgSz w:w="11900" w:h="16838" w:orient="portrait"/>
          <w:cols w:equalWidth="0" w:num="2">
            <w:col w:w="1700" w:space="120"/>
            <w:col w:w="942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1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Automobile Part</w:t>
            </w: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First Lien Debt (12.0% Cash, 3.0%</w:t>
            </w:r>
          </w:p>
        </w:tc>
        <w:tc>
          <w:tcPr>
            <w:tcW w:w="1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1680" w:type="dxa"/>
            <w:vAlign w:val="bottom"/>
            <w:shd w:val="clear" w:color="auto" w:fill="CCEEFF"/>
          </w:tcPr>
          <w:p>
            <w:pPr>
              <w:spacing w:after="0"/>
              <w:rPr>
                <w:sz w:val="14"/>
                <w:szCs w:val="14"/>
                <w:color w:val="auto"/>
              </w:rPr>
            </w:pPr>
          </w:p>
        </w:tc>
        <w:tc>
          <w:tcPr>
            <w:tcW w:w="1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Manufacturer</w:t>
            </w: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Due 3/23/21)</w:t>
            </w:r>
          </w:p>
        </w:tc>
        <w:tc>
          <w:tcPr>
            <w:tcW w:w="13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3/23/2018  $</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13,597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13,597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13,597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149"/>
        </w:trPr>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3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Automobile Part</w:t>
            </w: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Class B (1,085,073</w:t>
            </w:r>
          </w:p>
        </w:tc>
        <w:tc>
          <w:tcPr>
            <w:tcW w:w="1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Manufacturer</w:t>
            </w: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5/7/2019</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48"/>
        </w:trPr>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3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Automobile Part</w:t>
            </w: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Class A (1,253,198</w:t>
            </w:r>
          </w:p>
        </w:tc>
        <w:tc>
          <w:tcPr>
            <w:tcW w:w="1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Manufacturer</w:t>
            </w: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7/15/2014</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r>
      <w:tr>
        <w:trPr>
          <w:trHeight w:val="162"/>
        </w:trPr>
        <w:tc>
          <w:tcPr>
            <w:tcW w:w="16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16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15,463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14,935</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9"/>
        </w:trPr>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rPr>
              <w:t>City Gear, LLC</w:t>
            </w:r>
          </w:p>
        </w:tc>
        <w:tc>
          <w:tcPr>
            <w:tcW w:w="1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Footwear Retail</w:t>
            </w:r>
          </w:p>
        </w:tc>
        <w:tc>
          <w:tcPr>
            <w:tcW w:w="2500" w:type="dxa"/>
            <w:vAlign w:val="bottom"/>
            <w:shd w:val="clear" w:color="auto" w:fill="CCEEFF"/>
          </w:tcPr>
          <w:p>
            <w:pPr>
              <w:ind w:left="80"/>
              <w:spacing w:after="0" w:line="189" w:lineRule="exact"/>
              <w:rPr>
                <w:sz w:val="20"/>
                <w:szCs w:val="20"/>
                <w:color w:val="auto"/>
              </w:rPr>
            </w:pPr>
            <w:r>
              <w:rPr>
                <w:rFonts w:ascii="Arial" w:cs="Arial" w:eastAsia="Arial" w:hAnsi="Arial"/>
                <w:sz w:val="13"/>
                <w:szCs w:val="13"/>
                <w:color w:val="auto"/>
              </w:rPr>
              <w:t xml:space="preserve">Membership Unit Warrants </w:t>
            </w:r>
            <w:r>
              <w:rPr>
                <w:rFonts w:ascii="Arial" w:cs="Arial" w:eastAsia="Arial" w:hAnsi="Arial"/>
                <w:sz w:val="21"/>
                <w:szCs w:val="21"/>
                <w:color w:val="auto"/>
                <w:vertAlign w:val="superscript"/>
              </w:rPr>
              <w:t>(14)</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6/28/2012</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62"/>
        </w:trPr>
        <w:tc>
          <w:tcPr>
            <w:tcW w:w="16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16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2,011</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Eastport Holdings, LLC</w:t>
            </w:r>
          </w:p>
        </w:tc>
        <w:tc>
          <w:tcPr>
            <w:tcW w:w="13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Business Services</w:t>
            </w: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Second Lien Debt (13.5% Cash (3</w:t>
            </w:r>
          </w:p>
        </w:tc>
        <w:tc>
          <w:tcPr>
            <w:tcW w:w="1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8"/>
        </w:trPr>
        <w:tc>
          <w:tcPr>
            <w:tcW w:w="16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50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month LIBOR + 13.0%, 0.5% Floor),</w:t>
            </w:r>
          </w:p>
        </w:tc>
        <w:tc>
          <w:tcPr>
            <w:tcW w:w="1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98"/>
        </w:trPr>
        <w:tc>
          <w:tcPr>
            <w:tcW w:w="16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500" w:type="dxa"/>
            <w:vAlign w:val="bottom"/>
            <w:shd w:val="clear" w:color="auto" w:fill="CCEEFF"/>
          </w:tcPr>
          <w:p>
            <w:pPr>
              <w:ind w:left="80"/>
              <w:spacing w:after="0" w:line="198" w:lineRule="exact"/>
              <w:rPr>
                <w:sz w:val="20"/>
                <w:szCs w:val="20"/>
                <w:color w:val="auto"/>
              </w:rPr>
            </w:pPr>
            <w:r>
              <w:rPr>
                <w:rFonts w:ascii="Arial" w:cs="Arial" w:eastAsia="Arial" w:hAnsi="Arial"/>
                <w:sz w:val="14"/>
                <w:szCs w:val="14"/>
                <w:color w:val="auto"/>
              </w:rPr>
              <w:t xml:space="preserve">Due 12/29/21) </w:t>
            </w:r>
            <w:r>
              <w:rPr>
                <w:rFonts w:ascii="Arial" w:cs="Arial" w:eastAsia="Arial" w:hAnsi="Arial"/>
                <w:sz w:val="22"/>
                <w:szCs w:val="22"/>
                <w:color w:val="auto"/>
                <w:vertAlign w:val="superscript"/>
              </w:rPr>
              <w:t>(6)</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1/12/2016</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16,329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48"/>
        </w:trPr>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Eastport Holdings, LLC</w:t>
            </w:r>
          </w:p>
        </w:tc>
        <w:tc>
          <w:tcPr>
            <w:tcW w:w="1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Business Services</w:t>
            </w:r>
          </w:p>
        </w:tc>
        <w:tc>
          <w:tcPr>
            <w:tcW w:w="25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Membership Units (22.9% ownership)</w:t>
            </w:r>
          </w:p>
        </w:tc>
        <w:tc>
          <w:tcPr>
            <w:tcW w:w="132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1/12/2016</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3,263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20,294</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r>
      <w:tr>
        <w:trPr>
          <w:trHeight w:val="162"/>
        </w:trPr>
        <w:tc>
          <w:tcPr>
            <w:tcW w:w="16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16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19,592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36,794</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3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Advertising &amp;</w:t>
            </w: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A-1 Preferred Stock (1,998</w:t>
            </w:r>
          </w:p>
        </w:tc>
        <w:tc>
          <w:tcPr>
            <w:tcW w:w="1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3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Marketing Services</w:t>
            </w: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10/14/2011</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3,477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4,066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49"/>
        </w:trPr>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3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Advertising &amp;</w:t>
            </w: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B-1 Common Stock (200,000</w:t>
            </w:r>
          </w:p>
        </w:tc>
        <w:tc>
          <w:tcPr>
            <w:tcW w:w="1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3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Marketing Services</w:t>
            </w: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10/14/2011</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62"/>
        </w:trPr>
        <w:tc>
          <w:tcPr>
            <w:tcW w:w="16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16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4,212</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LJS Partners, LLC</w:t>
            </w:r>
          </w:p>
        </w:tc>
        <w:tc>
          <w:tcPr>
            <w:tcW w:w="1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QSR Franchisor</w:t>
            </w:r>
          </w:p>
        </w:tc>
        <w:tc>
          <w:tcPr>
            <w:tcW w:w="25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Preferred Units (189,044 units)</w:t>
            </w:r>
          </w:p>
        </w:tc>
        <w:tc>
          <w:tcPr>
            <w:tcW w:w="132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8/12/2019</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756</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r>
      <w:tr>
        <w:trPr>
          <w:trHeight w:val="149"/>
        </w:trPr>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LJS Partners, LLC</w:t>
            </w:r>
          </w:p>
        </w:tc>
        <w:tc>
          <w:tcPr>
            <w:tcW w:w="13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QSR Franchisor</w:t>
            </w: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Membership Units</w:t>
            </w:r>
          </w:p>
        </w:tc>
        <w:tc>
          <w:tcPr>
            <w:tcW w:w="1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(2,593,234 units)</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1/1/2012</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3,951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62"/>
        </w:trPr>
        <w:tc>
          <w:tcPr>
            <w:tcW w:w="16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42"/>
        </w:trPr>
        <w:tc>
          <w:tcPr>
            <w:tcW w:w="16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1,661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4,707</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3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Acquisition</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1820" w:type="dxa"/>
            <w:vAlign w:val="bottom"/>
            <w:gridSpan w:val="2"/>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160" w:type="dxa"/>
            <w:vAlign w:val="bottom"/>
            <w:gridSpan w:val="3"/>
          </w:tcPr>
          <w:p>
            <w:pPr>
              <w:ind w:left="320"/>
              <w:spacing w:after="0"/>
              <w:rPr>
                <w:sz w:val="20"/>
                <w:szCs w:val="20"/>
                <w:color w:val="auto"/>
              </w:rPr>
            </w:pPr>
            <w:r>
              <w:rPr>
                <w:rFonts w:ascii="Arial" w:cs="Arial" w:eastAsia="Arial" w:hAnsi="Arial"/>
                <w:sz w:val="14"/>
                <w:szCs w:val="14"/>
                <w:b w:val="1"/>
                <w:bCs w:val="1"/>
                <w:color w:val="auto"/>
              </w:rPr>
              <w:t>Date</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23"/>
        </w:trPr>
        <w:tc>
          <w:tcPr>
            <w:tcW w:w="17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MMI Holdings, LLC</w:t>
            </w: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Medical Device</w:t>
            </w:r>
          </w:p>
        </w:tc>
        <w:tc>
          <w:tcPr>
            <w:tcW w:w="12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First Lien Debt (12.0% Cash, Due</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Distributor</w:t>
            </w: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9/30/21)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10/17/2011  $</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Medical Device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Second Lien Debt (6.0% Cash,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Distributor</w:t>
            </w:r>
          </w:p>
        </w:tc>
        <w:tc>
          <w:tcPr>
            <w:tcW w:w="236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9/30/21)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10/17/2011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Medical Device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Preferred Units (1,000 units, 6.0% PIK</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Distributor</w:t>
            </w:r>
          </w:p>
        </w:tc>
        <w:tc>
          <w:tcPr>
            <w:tcW w:w="2480" w:type="dxa"/>
            <w:vAlign w:val="bottom"/>
            <w:gridSpan w:val="3"/>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(18)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10/17/2011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1,815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Medical Device</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Common Membership Units (45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Distributor</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10/17/2011</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4,664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5,019</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Textile Equipment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(9.0% Cash, 2.0%</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4"/>
                <w:szCs w:val="14"/>
                <w:color w:val="auto"/>
              </w:rPr>
              <w:t>10.0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480" w:type="dxa"/>
            <w:vAlign w:val="bottom"/>
            <w:gridSpan w:val="3"/>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PIK, Due 6/30/23) </w:t>
            </w:r>
            <w:r>
              <w:rPr>
                <w:rFonts w:ascii="Arial" w:cs="Arial" w:eastAsia="Arial" w:hAnsi="Arial"/>
                <w:sz w:val="23"/>
                <w:szCs w:val="23"/>
                <w:color w:val="auto"/>
                <w:vertAlign w:val="superscript"/>
              </w:rPr>
              <w:t>(6)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2/1/2011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11,031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10,882</w:t>
            </w: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Textile Equipment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6"/>
              </w:rPr>
              <w:t>Class A Preferred Stock (1,000 shares)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2/1/2011</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Textile Equipment</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(60,000 shares)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2/1/2011</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12,031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11,868</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Nth Degree Investment</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Business Services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 (6,088,000 Units)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Group, LLC</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12/3/2019</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6,088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6,088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RAM Payment,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Financial Services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(6.5% Cash (1 month</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+ 5.0%, 1.5% Floor),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1/4/24)</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6/1/2020</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2,451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2,451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RAM Payment, LLC</w:t>
            </w:r>
          </w:p>
        </w:tc>
        <w:tc>
          <w:tcPr>
            <w:tcW w:w="11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8"/>
              </w:rPr>
              <w:t>Financial Services</w:t>
            </w:r>
          </w:p>
        </w:tc>
        <w:tc>
          <w:tcPr>
            <w:tcW w:w="248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First Lien Debt (9.8% Cash, Due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1/4/24) </w:t>
            </w:r>
            <w:r>
              <w:rPr>
                <w:rFonts w:ascii="Arial" w:cs="Arial" w:eastAsia="Arial" w:hAnsi="Arial"/>
                <w:sz w:val="22"/>
                <w:szCs w:val="22"/>
                <w:color w:val="auto"/>
                <w:vertAlign w:val="superscript"/>
              </w:rPr>
              <w:t>(11)</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1/4/2019</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6,646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RAM Payment, LLC</w:t>
            </w:r>
          </w:p>
        </w:tc>
        <w:tc>
          <w:tcPr>
            <w:tcW w:w="11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8"/>
              </w:rPr>
              <w:t>Financial Services</w:t>
            </w:r>
          </w:p>
        </w:tc>
        <w:tc>
          <w:tcPr>
            <w:tcW w:w="248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Preferred Units (86,000 units, 8.0%</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PIK Dividend) </w:t>
            </w:r>
            <w:r>
              <w:rPr>
                <w:rFonts w:ascii="Arial" w:cs="Arial" w:eastAsia="Arial" w:hAnsi="Arial"/>
                <w:sz w:val="22"/>
                <w:szCs w:val="22"/>
                <w:color w:val="auto"/>
                <w:vertAlign w:val="superscript"/>
              </w:rPr>
              <w:t>(18)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1/4/2019</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11,971</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Sierra Hamilton Holdings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Second Lien Debt (15.0% PIK, Due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Corporation</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Engineering and</w:t>
            </w:r>
          </w:p>
        </w:tc>
        <w:tc>
          <w:tcPr>
            <w:tcW w:w="2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9/12/23)</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Consulting</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9/12/2019</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Sierra Hamilton Holdings</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w:t>
            </w:r>
          </w:p>
        </w:tc>
        <w:tc>
          <w:tcPr>
            <w:tcW w:w="24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(15,068,000 shares)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Corporation</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Engineering and</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Consulting</w:t>
            </w: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7/31/2017</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7,399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1,418</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V12 Holdings, Inc.</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w w:val="96"/>
              </w:rPr>
              <w:t>Data Processing &amp;</w:t>
            </w:r>
          </w:p>
        </w:tc>
        <w:tc>
          <w:tcPr>
            <w:tcW w:w="248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2"/>
                <w:szCs w:val="12"/>
                <w:color w:val="auto"/>
              </w:rPr>
              <w:t xml:space="preserve">Second Lien Debt </w:t>
            </w:r>
            <w:r>
              <w:rPr>
                <w:rFonts w:ascii="Arial" w:cs="Arial" w:eastAsia="Arial" w:hAnsi="Arial"/>
                <w:sz w:val="18"/>
                <w:szCs w:val="18"/>
                <w:color w:val="auto"/>
                <w:vertAlign w:val="superscript"/>
              </w:rPr>
              <w:t>(14)</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11/21/2016</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490</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Digital Marketing</w:t>
            </w:r>
          </w:p>
        </w:tc>
        <w:tc>
          <w:tcPr>
            <w:tcW w:w="1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gridSpan w:val="2"/>
            <w:vMerge w:val="continue"/>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490</w:t>
            </w: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82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Sub Total Affiliate</w:t>
            </w: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8"/>
              </w:rPr>
              <w:t>investments - United States</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80,961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93,425</w:t>
            </w:r>
          </w:p>
        </w:tc>
        <w:tc>
          <w:tcPr>
            <w:tcW w:w="112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85.7</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3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Type of Investment</w:t>
            </w: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Acquisition</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5"/>
        </w:trPr>
        <w:tc>
          <w:tcPr>
            <w:tcW w:w="1820" w:type="dxa"/>
            <w:vAlign w:val="bottom"/>
            <w:gridSpan w:val="2"/>
          </w:tcPr>
          <w:p>
            <w:pPr>
              <w:ind w:left="100"/>
              <w:spacing w:after="0" w:line="176" w:lineRule="exact"/>
              <w:rPr>
                <w:sz w:val="20"/>
                <w:szCs w:val="20"/>
                <w:color w:val="auto"/>
              </w:rPr>
            </w:pPr>
            <w:r>
              <w:rPr>
                <w:rFonts w:ascii="Arial" w:cs="Arial" w:eastAsia="Arial" w:hAnsi="Arial"/>
                <w:sz w:val="20"/>
                <w:szCs w:val="20"/>
                <w:b w:val="1"/>
                <w:bCs w:val="1"/>
                <w:color w:val="auto"/>
                <w:vertAlign w:val="subscript"/>
              </w:rPr>
              <w:t>Country</w:t>
            </w:r>
            <w:r>
              <w:rPr>
                <w:rFonts w:ascii="Arial" w:cs="Arial" w:eastAsia="Arial" w:hAnsi="Arial"/>
                <w:sz w:val="10"/>
                <w:szCs w:val="10"/>
                <w:b w:val="1"/>
                <w:bCs w:val="1"/>
                <w:color w:val="auto"/>
              </w:rPr>
              <w:t xml:space="preserve"> (1), (2), (3), (4), (5)</w:t>
            </w: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19"/>
        </w:trPr>
        <w:tc>
          <w:tcPr>
            <w:tcW w:w="170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Control Investments -</w:t>
            </w: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7.7%</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Control investments -</w:t>
            </w: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United States</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tcPr>
          <w:p>
            <w:pPr>
              <w:spacing w:after="0" w:line="130" w:lineRule="exact"/>
              <w:rPr>
                <w:sz w:val="20"/>
                <w:szCs w:val="20"/>
                <w:color w:val="auto"/>
              </w:rPr>
            </w:pPr>
            <w:r>
              <w:rPr>
                <w:rFonts w:ascii="Arial" w:cs="Arial" w:eastAsia="Arial" w:hAnsi="Arial"/>
                <w:sz w:val="14"/>
                <w:szCs w:val="14"/>
                <w:color w:val="auto"/>
              </w:rPr>
              <w:t>Vology, Inc.</w:t>
            </w: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Information</w:t>
            </w:r>
          </w:p>
        </w:tc>
        <w:tc>
          <w:tcPr>
            <w:tcW w:w="248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9"/>
              </w:rPr>
              <w:t>First Lien Debt (10.5% Cash (1 month</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Technology</w:t>
            </w:r>
          </w:p>
        </w:tc>
        <w:tc>
          <w:tcPr>
            <w:tcW w:w="24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LIBOR + 8.5%, 2.0% Floor), Due</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60" w:type="dxa"/>
            <w:vAlign w:val="bottom"/>
            <w:gridSpan w:val="2"/>
          </w:tcPr>
          <w:p>
            <w:pPr>
              <w:ind w:left="120"/>
              <w:spacing w:after="0"/>
              <w:rPr>
                <w:sz w:val="20"/>
                <w:szCs w:val="20"/>
                <w:color w:val="auto"/>
              </w:rPr>
            </w:pPr>
            <w:r>
              <w:rPr>
                <w:rFonts w:ascii="Arial" w:cs="Arial" w:eastAsia="Arial" w:hAnsi="Arial"/>
                <w:sz w:val="14"/>
                <w:szCs w:val="14"/>
                <w:color w:val="auto"/>
              </w:rPr>
              <w:t>12/31/21)</w:t>
            </w:r>
          </w:p>
        </w:tc>
        <w:tc>
          <w:tcPr>
            <w:tcW w:w="120" w:type="dxa"/>
            <w:vAlign w:val="bottom"/>
          </w:tcPr>
          <w:p>
            <w:pPr>
              <w:spacing w:after="0"/>
              <w:rPr>
                <w:sz w:val="14"/>
                <w:szCs w:val="14"/>
                <w:color w:val="auto"/>
              </w:rPr>
            </w:pPr>
          </w:p>
        </w:tc>
        <w:tc>
          <w:tcPr>
            <w:tcW w:w="1140" w:type="dxa"/>
            <w:vAlign w:val="bottom"/>
            <w:gridSpan w:val="3"/>
          </w:tcPr>
          <w:p>
            <w:pPr>
              <w:ind w:left="240"/>
              <w:spacing w:after="0"/>
              <w:rPr>
                <w:sz w:val="20"/>
                <w:szCs w:val="20"/>
                <w:color w:val="auto"/>
              </w:rPr>
            </w:pPr>
            <w:r>
              <w:rPr>
                <w:rFonts w:ascii="Arial" w:cs="Arial" w:eastAsia="Arial" w:hAnsi="Arial"/>
                <w:sz w:val="14"/>
                <w:szCs w:val="14"/>
                <w:color w:val="auto"/>
              </w:rPr>
              <w:t>11/25/2019  $</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3,732</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3,732</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3,732</w:t>
            </w:r>
          </w:p>
        </w:tc>
        <w:tc>
          <w:tcPr>
            <w:tcW w:w="1140" w:type="dxa"/>
            <w:vAlign w:val="bottom"/>
            <w:gridSpan w:val="3"/>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tcPr>
          <w:p>
            <w:pPr>
              <w:spacing w:after="0" w:line="130" w:lineRule="exact"/>
              <w:rPr>
                <w:sz w:val="20"/>
                <w:szCs w:val="20"/>
                <w:color w:val="auto"/>
              </w:rPr>
            </w:pPr>
            <w:r>
              <w:rPr>
                <w:rFonts w:ascii="Arial" w:cs="Arial" w:eastAsia="Arial" w:hAnsi="Arial"/>
                <w:sz w:val="14"/>
                <w:szCs w:val="14"/>
                <w:color w:val="auto"/>
              </w:rPr>
              <w:t>Vology, Inc.</w:t>
            </w: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Information</w:t>
            </w:r>
          </w:p>
        </w:tc>
        <w:tc>
          <w:tcPr>
            <w:tcW w:w="24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Class A Preferred Units (9,041,810</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Technology</w:t>
            </w:r>
          </w:p>
        </w:tc>
        <w:tc>
          <w:tcPr>
            <w:tcW w:w="2480" w:type="dxa"/>
            <w:vAlign w:val="bottom"/>
            <w:gridSpan w:val="3"/>
          </w:tcPr>
          <w:p>
            <w:pPr>
              <w:ind w:left="120"/>
              <w:spacing w:after="0"/>
              <w:rPr>
                <w:sz w:val="20"/>
                <w:szCs w:val="20"/>
                <w:color w:val="auto"/>
              </w:rPr>
            </w:pPr>
            <w:r>
              <w:rPr>
                <w:rFonts w:ascii="Arial" w:cs="Arial" w:eastAsia="Arial" w:hAnsi="Arial"/>
                <w:sz w:val="14"/>
                <w:szCs w:val="14"/>
                <w:color w:val="auto"/>
              </w:rPr>
              <w:t>Units)</w:t>
            </w:r>
          </w:p>
        </w:tc>
        <w:tc>
          <w:tcPr>
            <w:tcW w:w="1000" w:type="dxa"/>
            <w:vAlign w:val="bottom"/>
            <w:gridSpan w:val="2"/>
          </w:tcPr>
          <w:p>
            <w:pPr>
              <w:ind w:left="240"/>
              <w:spacing w:after="0"/>
              <w:rPr>
                <w:sz w:val="20"/>
                <w:szCs w:val="20"/>
                <w:color w:val="auto"/>
              </w:rPr>
            </w:pPr>
            <w:r>
              <w:rPr>
                <w:rFonts w:ascii="Arial" w:cs="Arial" w:eastAsia="Arial" w:hAnsi="Arial"/>
                <w:sz w:val="14"/>
                <w:szCs w:val="14"/>
                <w:color w:val="auto"/>
              </w:rPr>
              <w:t>11/25/2019</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5,215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4,687</w:t>
            </w:r>
          </w:p>
        </w:tc>
        <w:tc>
          <w:tcPr>
            <w:tcW w:w="1140" w:type="dxa"/>
            <w:vAlign w:val="bottom"/>
            <w:gridSpan w:val="3"/>
          </w:tcPr>
          <w:p>
            <w:pPr>
              <w:jc w:val="right"/>
              <w:ind w:right="2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tcPr>
          <w:p>
            <w:pPr>
              <w:spacing w:after="0" w:line="130" w:lineRule="exact"/>
              <w:rPr>
                <w:sz w:val="20"/>
                <w:szCs w:val="20"/>
                <w:color w:val="auto"/>
              </w:rPr>
            </w:pPr>
            <w:r>
              <w:rPr>
                <w:rFonts w:ascii="Arial" w:cs="Arial" w:eastAsia="Arial" w:hAnsi="Arial"/>
                <w:sz w:val="14"/>
                <w:szCs w:val="14"/>
                <w:color w:val="auto"/>
              </w:rPr>
              <w:t>Vology, Inc.</w:t>
            </w: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Information</w:t>
            </w:r>
          </w:p>
        </w:tc>
        <w:tc>
          <w:tcPr>
            <w:tcW w:w="24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Membership Units (5,363,982 Units)</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color w:val="auto"/>
              </w:rPr>
              <w:t>11/25/2019</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8,947</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8,419</w:t>
            </w: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w:t>
            </w:r>
          </w:p>
        </w:tc>
        <w:tc>
          <w:tcPr>
            <w:tcW w:w="140" w:type="dxa"/>
            <w:vAlign w:val="bottom"/>
            <w:tcBorders>
              <w:bottom w:val="single" w:sz="8" w:color="CCEEFF"/>
            </w:tcBorders>
            <w:gridSpan w:val="2"/>
          </w:tcPr>
          <w:p>
            <w:pPr>
              <w:jc w:val="right"/>
              <w:ind w:right="20"/>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820" w:type="dxa"/>
            <w:vAlign w:val="bottom"/>
            <w:gridSpan w:val="2"/>
          </w:tcPr>
          <w:p>
            <w:pPr>
              <w:spacing w:after="0" w:line="106" w:lineRule="exact"/>
              <w:rPr>
                <w:sz w:val="20"/>
                <w:szCs w:val="20"/>
                <w:color w:val="auto"/>
              </w:rPr>
            </w:pPr>
            <w:r>
              <w:rPr>
                <w:rFonts w:ascii="Arial" w:cs="Arial" w:eastAsia="Arial" w:hAnsi="Arial"/>
                <w:sz w:val="12"/>
                <w:szCs w:val="12"/>
                <w:b w:val="1"/>
                <w:bCs w:val="1"/>
                <w:color w:val="auto"/>
              </w:rPr>
              <w:t>Sub Total Control</w:t>
            </w: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w w:val="98"/>
              </w:rPr>
              <w:t>investments - United States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8,947</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8,419</w:t>
            </w:r>
          </w:p>
        </w:tc>
        <w:tc>
          <w:tcPr>
            <w:tcW w:w="1140" w:type="dxa"/>
            <w:vAlign w:val="bottom"/>
            <w:gridSpan w:val="3"/>
          </w:tcPr>
          <w:p>
            <w:pPr>
              <w:jc w:val="right"/>
              <w:ind w:right="20"/>
              <w:spacing w:after="0" w:line="199" w:lineRule="exact"/>
              <w:rPr>
                <w:sz w:val="20"/>
                <w:szCs w:val="20"/>
                <w:color w:val="auto"/>
              </w:rPr>
            </w:pPr>
            <w:r>
              <w:rPr>
                <w:rFonts w:ascii="Arial" w:cs="Arial" w:eastAsia="Arial" w:hAnsi="Arial"/>
                <w:sz w:val="12"/>
                <w:szCs w:val="12"/>
                <w:color w:val="auto"/>
              </w:rPr>
              <w:t>7.7</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129"/>
        </w:trPr>
        <w:tc>
          <w:tcPr>
            <w:tcW w:w="17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TOTAL INVESTMENTS -</w:t>
            </w: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700" w:type="dxa"/>
            <w:vAlign w:val="bottom"/>
          </w:tcPr>
          <w:p>
            <w:pPr>
              <w:spacing w:after="0"/>
              <w:rPr>
                <w:sz w:val="20"/>
                <w:szCs w:val="20"/>
                <w:color w:val="auto"/>
              </w:rPr>
            </w:pPr>
            <w:r>
              <w:rPr>
                <w:rFonts w:ascii="Arial" w:cs="Arial" w:eastAsia="Arial" w:hAnsi="Arial"/>
                <w:sz w:val="14"/>
                <w:szCs w:val="14"/>
                <w:b w:val="1"/>
                <w:bCs w:val="1"/>
                <w:color w:val="auto"/>
              </w:rPr>
              <w:t>252.1%</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277,652</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274,692</w:t>
            </w:r>
          </w:p>
        </w:tc>
        <w:tc>
          <w:tcPr>
            <w:tcW w:w="1140" w:type="dxa"/>
            <w:vAlign w:val="bottom"/>
            <w:gridSpan w:val="3"/>
          </w:tcPr>
          <w:p>
            <w:pPr>
              <w:jc w:val="right"/>
              <w:spacing w:after="0" w:line="199" w:lineRule="exact"/>
              <w:rPr>
                <w:sz w:val="20"/>
                <w:szCs w:val="20"/>
                <w:color w:val="auto"/>
              </w:rPr>
            </w:pPr>
            <w:r>
              <w:rPr>
                <w:rFonts w:ascii="Arial" w:cs="Arial" w:eastAsia="Arial" w:hAnsi="Arial"/>
                <w:sz w:val="12"/>
                <w:szCs w:val="12"/>
                <w:b w:val="1"/>
                <w:bCs w:val="1"/>
                <w:color w:val="auto"/>
              </w:rPr>
              <w:t>252.1</w:t>
            </w:r>
            <w:r>
              <w:rPr>
                <w:rFonts w:ascii="Arial" w:cs="Arial" w:eastAsia="Arial" w:hAnsi="Arial"/>
                <w:sz w:val="22"/>
                <w:szCs w:val="22"/>
                <w:b w:val="1"/>
                <w:bCs w:val="1"/>
                <w:color w:val="auto"/>
                <w:vertAlign w:val="superscript"/>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 unless otherwise noted.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investments valued by Capitala Finance Corp.'s (the "Company") board of directors.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Percentages are based on net assets of $108,947 as of December 31, 2020.</w:t>
      </w:r>
    </w:p>
    <w:p>
      <w:pPr>
        <w:spacing w:after="0" w:line="9" w:lineRule="exact"/>
        <w:rPr>
          <w:rFonts w:ascii="Arial" w:cs="Arial" w:eastAsia="Arial" w:hAnsi="Arial"/>
          <w:sz w:val="18"/>
          <w:szCs w:val="18"/>
          <w:color w:val="auto"/>
        </w:rPr>
      </w:pPr>
    </w:p>
    <w:p>
      <w:pPr>
        <w:ind w:right="360" w:firstLine="8"/>
        <w:spacing w:after="0" w:line="250"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right="540" w:firstLine="8"/>
        <w:spacing w:after="0" w:line="250"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1.0% interest rate payable in cash. 9.0% interest rate payable in cash or paid-in-kind at borrower's election. The borrower is currently paying all interest in cash.</w:t>
      </w:r>
    </w:p>
    <w:p>
      <w:pPr>
        <w:ind w:right="540" w:firstLine="8"/>
        <w:spacing w:after="0" w:line="250"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9.0% interest rate payable in cash. 2.0% interest rate payable in cash or paid-in-kind at borrower's election. The borrower is currently paying all interest in cash.</w:t>
      </w:r>
    </w:p>
    <w:p>
      <w:pPr>
        <w:ind w:right="120" w:firstLine="8"/>
        <w:spacing w:after="0" w:line="250" w:lineRule="auto"/>
        <w:tabs>
          <w:tab w:leader="none" w:pos="34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2020, 1.1% of the Company's total assets were non-qualifying assets.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investment has a $3.5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investment has been exited or sold. The residual value reflects estimated earnout, escrow, or other proceeds expected post-closing.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investment has a $3.0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investment has a $1.3 million unfunded commitment.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Investment is valued using observable inputs (Level 1). The stock of the company is traded on the NASDAQ Capital Market under the ticker "USWS."</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March 31, 2021</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and Capitala Advisors Corp.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Both directly and through our subsidiary that is licensed by the U.S. Small Business Administration (“SBA”) under the Small Business Investment Act of 1958, as amended,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w:t>
      </w:r>
    </w:p>
    <w:p>
      <w:pPr>
        <w:spacing w:after="0" w:line="2" w:lineRule="exact"/>
        <w:rPr>
          <w:sz w:val="20"/>
          <w:szCs w:val="20"/>
          <w:color w:val="auto"/>
        </w:rPr>
      </w:pPr>
    </w:p>
    <w:p>
      <w:pPr>
        <w:jc w:val="both"/>
        <w:ind w:firstLine="8"/>
        <w:spacing w:after="0" w:line="270" w:lineRule="auto"/>
        <w:tabs>
          <w:tab w:leader="none" w:pos="167" w:val="left"/>
        </w:tabs>
        <w:numPr>
          <w:ilvl w:val="0"/>
          <w:numId w:val="8"/>
        </w:numPr>
        <w:rPr>
          <w:rFonts w:ascii="Arial" w:cs="Arial" w:eastAsia="Arial" w:hAnsi="Arial"/>
          <w:sz w:val="17"/>
          <w:szCs w:val="17"/>
          <w:color w:val="auto"/>
        </w:rPr>
      </w:pPr>
      <w:r>
        <w:rPr>
          <w:rFonts w:ascii="Arial" w:cs="Arial" w:eastAsia="Arial" w:hAnsi="Arial"/>
          <w:sz w:val="17"/>
          <w:szCs w:val="17"/>
          <w:color w:val="auto"/>
        </w:rPr>
        <w:t>and Fund III retained their small business investment company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(the “SBA-guaranteed debentures”) and relinquished its SBIC license.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firstLine="648"/>
        <w:spacing w:after="0" w:line="259" w:lineRule="auto"/>
        <w:rPr>
          <w:sz w:val="20"/>
          <w:szCs w:val="20"/>
          <w:color w:val="auto"/>
        </w:rPr>
      </w:pPr>
      <w:r>
        <w:rPr>
          <w:rFonts w:ascii="Arial" w:cs="Arial" w:eastAsia="Arial" w:hAnsi="Arial"/>
          <w:sz w:val="18"/>
          <w:szCs w:val="18"/>
          <w:color w:val="auto"/>
        </w:rPr>
        <w:t>Capitala Business Lending, LLC (“CBL”), a wholly-owned subsidiary of the Company, was established on October 30, 2020, for the sole purpose of holding certain investments pledged as collateral under a senior secured revolving credit agreement with KeyBank National Association (the “KeyBank Credit Facility”). See Note 8 for more details about the KeyBank Credit Facility. The financial statements of CBL are consolidated with those of Capitala Finance Corp.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July 30, 2020, the Company’s board of directors (the “Board”) approved a one-for-six reverse stock split of the Company’s shares of common stock. Accordingly, on August 3, 2020, the Company filed Articles of Amendment (the “Articles of Amendment”) to its Articles of Amendment and Restatement with the State Department of Assessments and Taxation of the State of Maryland to effectuate a one-for-six reverse stock split (the “Reverse Stock Split”) of the Company’s shares of common stock, par value $0.01 per share (the “Shares”). The Reverse Stock Split became effective at 5:00 p.m. Eastern Time on August 21, 2020 (the “Effective Time”). At the Effective Time, every six (6) issued and outstanding Shares were converted into one (1) Share. The Articles of Amendment also provided that there was no change in the par value of $0.01 per Share as a result of the Reverse Stock Split.</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fractional shares of common stock were issued in connection with the Reverse Stock Split and fractional shares of common stock were eliminated by paying cash for the fair value of a fractional portion of Shares. The Reverse Stock Split applied to all of the Company’s outstanding Shares and therefore did not affect any shareholder’s relative ownership percentage.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is considered an investment company as defined in Accounting Standards Codification (“ASC”) Topic 946 — </w:t>
      </w:r>
      <w:r>
        <w:rPr>
          <w:rFonts w:ascii="Arial" w:cs="Arial" w:eastAsia="Arial" w:hAnsi="Arial"/>
          <w:sz w:val="17"/>
          <w:szCs w:val="17"/>
          <w:i w:val="1"/>
          <w:iCs w:val="1"/>
          <w:color w:val="auto"/>
        </w:rPr>
        <w:t>Financial Services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Companies </w:t>
      </w:r>
      <w:r>
        <w:rPr>
          <w:rFonts w:ascii="Arial" w:cs="Arial" w:eastAsia="Arial" w:hAnsi="Arial"/>
          <w:sz w:val="17"/>
          <w:szCs w:val="17"/>
          <w:color w:val="auto"/>
        </w:rPr>
        <w:t>(“ASC 946”)</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unaudited consolidated financial statements have been prepared on the accrual basis of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financial statements as of March 31, 2021 and December 31, 2020 and for the three months ended March 31, 2021 and 2020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2020, filed with the U.S. Securities and Exchange Commission (“SEC”) on March 8,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 The Company did not consolidate its interest in Capitala Senior Loan Fund II, LLC (“CSLF II”) during the periods it was in existence because the investment was not considered a substantially wholly owned investment company subsidiary. Further, CSLF II was a joint venture for which shared power existed relating to the decisions that most significantly impacted the economic performance of the entity. See Note 4 to the consolidated financial statements for a description of the Company’s investment in CSLF II.</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In accordance with ASC Topic 280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(“ASC 820”). ASC 820 defines fair value, establishes a framework used to measure fair value, and requires disclosures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measurements. In accordance with ASC 820, the Company has categorized its financial instruments carried at fair value, based on the priority of the valuation technique, into a three-level fair value hierarchy, as discussed in Note 4.</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determining fair value,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648"/>
        <w:spacing w:after="0" w:line="289"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practical expedient, the Company used net asset value (“NAV”) as the fair value for its equity investment in CSLF II. CSLF II recorded its underlying investments at fair value on a quarterly basis in accordance with the 1940 Act and ASC 820.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valuation methodologies summarized below are utilized by the Company in estimating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asset approach values an investment based on the value of the underlying collateral securing the investment.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Interest income and paid-in-kind interest income: </w:t>
      </w:r>
      <w:r>
        <w:rPr>
          <w:rFonts w:ascii="Arial" w:cs="Arial" w:eastAsia="Arial" w:hAnsi="Arial"/>
          <w:sz w:val="17"/>
          <w:szCs w:val="17"/>
          <w:color w:val="auto"/>
        </w:rPr>
        <w:t>Interest income is recorded on the accrual basis to the extent that such amounts are expected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collected. The Company has loans in the portfolio that contain a PIK interest provision.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Non-accrual investments: </w:t>
      </w:r>
      <w:r>
        <w:rPr>
          <w:rFonts w:ascii="Arial" w:cs="Arial" w:eastAsia="Arial" w:hAnsi="Arial"/>
          <w:sz w:val="18"/>
          <w:szCs w:val="18"/>
          <w:color w:val="auto"/>
        </w:rPr>
        <w:t>Management reviews all loans that become 90 days or more past due, or when there is reasonable doubt that principal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investments in portfolio companies are recognized as income when the investment transaction closes. Prepayment penalties received by the Company for debt instruments repaid prior to maturity date are recorded as income upon receipt.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Sales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follows the guidance in ASC Topic 860 — </w:t>
      </w:r>
      <w:r>
        <w:rPr>
          <w:rFonts w:ascii="Arial" w:cs="Arial" w:eastAsia="Arial" w:hAnsi="Arial"/>
          <w:sz w:val="18"/>
          <w:szCs w:val="18"/>
          <w:i w:val="1"/>
          <w:iCs w:val="1"/>
          <w:color w:val="auto"/>
        </w:rPr>
        <w:t>Transfers and Servicing</w:t>
      </w:r>
      <w:r>
        <w:rPr>
          <w:rFonts w:ascii="Arial" w:cs="Arial" w:eastAsia="Arial" w:hAnsi="Arial"/>
          <w:sz w:val="18"/>
          <w:szCs w:val="18"/>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follows the guidance of ASC Topic 460 —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(“ASC 460”). ASC 460 elaborates on the disclosure requirements of a guarantor in its interim and annual consolidated financial statements about its obligations under certain guarantees that it has issued. It also requires a guarantor to recognize, at the inception of a guarantee, for those guarantees that are covered by ASC 460, the fair value of the obligation undertaken in issuing certain guarantees.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earnings per share (“EPS”) amounts have been computed based on the weighted-average number of shares of the Company’s common stock outstanding for the period. Basic EPS is computed by dividing net increase (decrease) in net assets resulting from operations by the weighted average number of shares of the Company’s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the Company’s common stock assuming all potentially dilutive shares had been issued. Diluted EPS reflects the potential dilution, using the as-if-converted method for convertible debt, which could occur if all potentially dilutive securities were exercised.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Retroactive Adjustments for Reverse Stock Split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share amount and per share amount of the Company’s common stock in the consolidated financial statements and notes have been retroactively adjusted for the Reverse Stock Split effected on August 21, 2020 for the three months ended March 31, 2020. See Note 1 for more information regarding the Reverse Stock Split.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2021 and December 31, 2020, the Company had outstanding unfunded commitments related to debt investments in existing portfolio companies of $4.3 million (Rapid Fire Protection, Inc.), $3.5 million (J5 Infrastructure Partners, LLC), $1.0 million (Freedom Electronics, LLC), and $1.0 million (U.S. BioTek Laboratories, LLC).</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ind w:firstLine="648"/>
        <w:spacing w:after="0" w:line="259" w:lineRule="auto"/>
        <w:rPr>
          <w:sz w:val="20"/>
          <w:szCs w:val="20"/>
          <w:color w:val="auto"/>
        </w:rPr>
      </w:pPr>
      <w:r>
        <w:rPr>
          <w:rFonts w:ascii="Arial" w:cs="Arial" w:eastAsia="Arial" w:hAnsi="Arial"/>
          <w:sz w:val="18"/>
          <w:szCs w:val="18"/>
          <w:color w:val="auto"/>
        </w:rPr>
        <w:t>In management’s opinion, no direct losses with respect to litigation contingencies were probable as of March 31, 2021 and December 31, 2020.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tax years ended December 31, 2020, 2019, 2018, and 2017 remain subject to examination by U.S. federal, state, and local tax authorities. No interest expense or penalties have been assessed for the three months ended March 31, 2021 and 2020. If the Company was required to recognize interest and penalties, if any, related to unrecognized tax benefits this would be recognized as income tax expense in the consolidated statements of operations.</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U.S. federal income tax purposes, as of March 31, 2021, the aggregate net unrealized appreciation for all securities was $0.8 million. As of March 31, 2021, gross unrealized appreciation was $23.4 million and gross unrealized depreciation was $(22.6) million. The aggregate cost of securities for U.S. federal income tax purposes was $257.4 million as of March 31, 2021. For U.S. federal income tax purposes, as of December 31, 2020, the aggregate net unrealized depreciation for all securities was $(23.4) million. As of December 31, 2020, gross unrealized appreciation was $14.3 million and gross unrealized depreciation was $(37.7) million. The aggregate cost of securities for U.S. federal income tax purposes was $298.1 million as of December 31, 2020.</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Taxable Subsidiaries record deferred tax assets or liabilities related to temporary book versus tax differences on the income or loss generated by the underlying equity investments held by the Taxable Subsidiaries. As of March 31, 2021 and December 31, 2020, the Company recorded a net deferred tax asset of $0.0. For the three months ended March 31, 2021 and 2020, the Company recorded a tax provision of $0.0. As of March 31, 2021 and December 31, 2020, the valuation allowance on the Company’s deferred tax asset was $3.6 million and $4.6 million, respectively. During the three months ended March 31, 2021 and 2020, the Company recognized a (decrease) increase in the valuation allowance of $(1.0) million and $0.8 million, respectively.</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w:t>
      </w:r>
    </w:p>
    <w:p>
      <w:pPr>
        <w:spacing w:after="0" w:line="2" w:lineRule="exact"/>
        <w:rPr>
          <w:sz w:val="20"/>
          <w:szCs w:val="20"/>
          <w:color w:val="auto"/>
        </w:rPr>
      </w:pPr>
    </w:p>
    <w:p>
      <w:pPr>
        <w:jc w:val="both"/>
        <w:ind w:firstLine="8"/>
        <w:spacing w:after="0" w:line="255" w:lineRule="auto"/>
        <w:tabs>
          <w:tab w:leader="none" w:pos="24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ind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2021 and December 31, 2020, there were no uncertain tax positions.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Coronavirus Aid, Relief, and Economic Security Act (the “CARES Act”) was enacted on March 27, 2020 and made significant prospective and retroactive changes to the U.S. federal income tax laws (and certain corresponding state and local conformity measures) including: 1) 5-year net operating loss (“NOL”) carrybacks with no taxable income limitation, 2) relaxation of the limitations on interest expense deductions, 3) qualified improvement property eligible for bonus depreciation, 4) acceleration of alternative minimum tax credits and related quick tax refunds, and 5) indirect tax measures, including workplace tax credits and deferral of social security payroll tax. Management has considered the impact of the CARES Act on the Company, its Taxable Subsidiaries, and the underlying portfolio companies, and the Company has reflected these potential impacts in the consolidated financial statements, related tax disclosures, and the value of the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Distributions to the Company’s common stockholders are recorded on the record date. The amount to be paid out as a dividend is determined by the Board. Net capital gains, if any, are generally distributed at least annually, although we may decide to retain such capital gains for reinvestment.</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 Risk, Concentration of Credit Risk, Liquidity Risk, and COVID-19 Risk</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ind w:firstLine="648"/>
        <w:spacing w:after="0" w:line="257" w:lineRule="auto"/>
        <w:rPr>
          <w:sz w:val="20"/>
          <w:szCs w:val="20"/>
          <w:color w:val="auto"/>
        </w:rPr>
      </w:pPr>
      <w:r>
        <w:rPr>
          <w:rFonts w:ascii="Arial" w:cs="Arial" w:eastAsia="Arial" w:hAnsi="Arial"/>
          <w:sz w:val="18"/>
          <w:szCs w:val="18"/>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Company’s operating results and portfolio companies may be negatively impacted by the COVID-19 pandemic. While several countries, as well as certain states, counties and cities in the United States, have relaxed initial public health restrictions with the view to partially or fully reopening their economies, many cities have since experienced a surge in the reported number of cases, hospitalizations and deaths related to the COVID-19 pandemic. These surges have led to the re-introduction of such restrictions and business shutdowns in certain states in the United States and globally and could continue to lead to the re-introduction of such restrictions elsewhere. Health advisors warn that recurring COVID-19 outbreaks will continue if reopening is pursued too soon or in the wrong manner, which may lead to the re-introduction or continuation of certain public health restrictions (such as instituting quarantines, prohibitions on travel and the closure of offices, businesses, schools, retail stores and other public venues). Additionally, travelers from the United States are restricted from visiting many countries including countries in Europe, Asia, Africa and South America. These continued travel restrictions may prolong the global economic downturn. In addition, although the Federal Food and Drug Administration authorized vaccines beginning in December 2020 and a significant portion of the U.S. population have been vaccinated, and it remains unclear how quickly the vaccines will continue to be distributed nationwide and globally, or when “herd immunity” will be achieved and the restrictions that were imposed to slow the spread of the virus will be lifted entirely. Any delay in distributing the vaccines could lead people to continue to self-isolate and not participate in the economy at pre-pandemic levels for a prolonged period of time. Even after the COVID-19 pandemic subsides, the U.S. economy and most other major global economies may continue to experience a recession, and we anticipate our business and operations could be materially adversely affected by a prolonged recession in the United States and other major markets.</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This outbreak is having, and any future outbreaks could have, an adverse impact on the markets and the economy in general, which could have a material adverse impact on, among other things, the ability of lenders to originate loans, the volume and type of loans originated, and the volume and type of amendments and waivers granted to borrowers and remedial actions taken in the event of a borrower default, each of which could negatively impact the amount and quality of loans available for investment by the Company and returns to the Company, among other things. As of the date of this Quarterly Report on Form 10-Q, it is impossible to determine the scope of this outbreak, or any future outbreaks, how long any such outbreak, market disruption or uncertainties may last, the effect any governmental actions will have or the full potential impact on the Company and our portfolio companies. Any potential impact to our results of operations will depend to a large extent on future developments and new information that could emerge regarding the duration and severity of COVID-19 and the actions taken by authorities and other entities to contain COVID-19 or treat its impact, all of which are beyond our control. These potential impacts, while uncertain, could adversely affect our and our portfolio companies’ operating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March 2020, the Financial Accounting Standards Board (the “FASB”) issued ASU 2020-04, Reference Rate Reform. The amendments in ASU 2020-04 provide optional expedients and exceptions for applying U.S. GAAP to contracts, hedging relationships, and other transactions affected by reference rate reform if certain criteria are met. The standard is effective as of March 12, 2020 through December 31, 2022. Management is currently evaluating the impact of the optional guidance on the Company’s consolidated financial statements and disclosures. The Company did not utilize the optional expedients and exceptions provided by ASU 2020-04 during the three months ended March 31, 2021 and 2020.</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2020, the FASB issued ASU 2020-06, Accounting for Convertible Instruments and Contracts in an Entity’s Own Equity. The FASB issued the amendments to reduce the number of accounting models used for convertible debt instruments and convertible preferred stock, simplify the derivative scope exception for contracts in an entity’s own equity, and to improve guidance related to earnings per share disclosures. The standard is effective for fiscal years ending after December 15, 2021. Early adoption is permitted, but no earlier than fiscal years beginning after December 15, 2020. Management is currently evaluating the impact of adoption of ASU 2020-06.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 As of March 31, 2021, our portfolio consisted of investments in 35 portfolio companies with a fair value of approximately $258.2 million.</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March 31, 2021, 16.4% of the fair value of our first lien loans consisted of last-out loans. As of December 31, 2020, 14.5% of the fair value of our first lien loans consisted of last-out loans. In some cases, first lien loans may be subordinated, solely with respect to the payment of cash interest, to an asset based revolving credit facility.</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March 31, 2021, the Company made no investments and had approximately $29.9 million in repayments and sales, resulting in net repayments and sales of approximately $29.9 million for the period. During the three months ended March 31, 2020, the Company made approximately $8.3 million of investments and had approximately $7.8 million in repayments and sales, resulting in net investments of approximately $0.5 million for the period.</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three months ended March 31, 2020, the Company funded $3.4 million of previously committed capital to existing portfolio companies. During the three months ended March 31, 2020, the Company funded $4.9 million of investments in portfolio companies for which it was not previously committed to fund. During the three months ended March 31, 2021 and 2020, the Company did not lead any syndicates.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March 31, 2021, the Company’s Board approved the fair value of the Company’s investment portfolio of approximately $258.2 million in good faith in accordance with the Company’s valuation procedures. The Company’s Board approved the fair value of the Company’s investment portfolio as of March 31, 2021 with input from a third-party valuation firm and the Investment Advisor based on information known or knowable as of the valuation date, including trailing and forward looking data. The COVID-19 pandemic is an unprecedented circumstance that materially impacts the fair value of the Company’s investments. As a result, the fair value of the Company’s portfolio investments may be further negatively impacted after March 31, 2021 by circumstances and events that are not yet known.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8"/>
          <w:szCs w:val="18"/>
          <w:color w:val="auto"/>
        </w:rPr>
        <w:t>The COVID-19 pandemic may also impact the Company’s portfolio companies’ ability to pay their respective contractual obligations, including principal and interest due to the Company, and some portfolio companies may require interest or principal deferrals in order to fulfill short-term liquidity needs in response to the COVID-19 pandemic. As deemed necessary, the Company is working with each of its portfolio companies to help them access short-term liquidity through interest deferrals, funding on unused lines of credit, and other sources of liquidity.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March 31, 2021,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7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Amortized Cost</w:t>
            </w: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Investments</w:t>
            </w: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7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at</w:t>
            </w: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46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143,395</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61.3%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138,058</w:t>
            </w:r>
          </w:p>
        </w:tc>
        <w:tc>
          <w:tcPr>
            <w:tcW w:w="2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53.5%</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Second Lien Debt</w:t>
            </w: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39,012</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39,153</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15.2</w:t>
            </w: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51,563</w:t>
            </w:r>
          </w:p>
        </w:tc>
        <w:tc>
          <w:tcPr>
            <w:tcW w:w="1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80,959</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233,970</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258,170</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December 31, 2020,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7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Amortized Cost</w:t>
            </w: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Investments</w:t>
            </w: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7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at</w:t>
            </w: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46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185,108</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167,418</w:t>
            </w:r>
          </w:p>
        </w:tc>
        <w:tc>
          <w:tcPr>
            <w:tcW w:w="2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Second Lien Debt</w:t>
            </w: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39,026</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39,209</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14.3</w:t>
            </w: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53,518</w:t>
            </w:r>
          </w:p>
        </w:tc>
        <w:tc>
          <w:tcPr>
            <w:tcW w:w="1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68,065</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277,652</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274,692</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1 — Valuations based on quoted prices in active markets for identical assets or liabilities that the Company has the ability to access.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measurements of investments, by major class, as of March 31, 2021, according to the fair value hierarchy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rPr>
              <w:t>Fair Value Measurements</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138,058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Second Lien Debt</w:t>
            </w:r>
          </w:p>
        </w:tc>
        <w:tc>
          <w:tcPr>
            <w:tcW w:w="10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39,153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39,153</w:t>
            </w: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1,251</w:t>
            </w:r>
          </w:p>
        </w:tc>
        <w:tc>
          <w:tcPr>
            <w:tcW w:w="1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79,708</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80,959</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1,251</w:t>
            </w: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9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256,919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258,170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2020, according to the fair value hierarchy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rPr>
              <w:t>Fair Value Measurements</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167,418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Second Lien Debt</w:t>
            </w:r>
          </w:p>
        </w:tc>
        <w:tc>
          <w:tcPr>
            <w:tcW w:w="11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39,209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39,209</w:t>
            </w: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493</w:t>
            </w:r>
          </w:p>
        </w:tc>
        <w:tc>
          <w:tcPr>
            <w:tcW w:w="1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67,572</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68,065</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9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274,199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0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March 31, 2021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First Lien</w:t>
            </w:r>
          </w:p>
        </w:tc>
        <w:tc>
          <w:tcPr>
            <w:tcW w:w="18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Second Lien</w:t>
            </w:r>
          </w:p>
        </w:tc>
        <w:tc>
          <w:tcPr>
            <w:tcW w:w="14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Equity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0"/>
                <w:szCs w:val="20"/>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20"/>
                <w:szCs w:val="20"/>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and Warrants</w:t>
            </w: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167,418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67,572</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Repayments/sales</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(29,847)</w:t>
            </w: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(29,906)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dividends accrued</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(12,023)</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(14,023)</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w w:val="99"/>
              </w:rPr>
              <w:t>Net unrealized appreciation (depreciation) on investments</w:t>
            </w:r>
          </w:p>
        </w:tc>
        <w:tc>
          <w:tcPr>
            <w:tcW w:w="2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12,353</w:t>
            </w: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14,092</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26,402</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2021</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138,058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79,708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0" w:name="page31"/>
    <w:bookmarkEnd w:id="30"/>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March 31, 2020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First Lien</w:t>
            </w:r>
          </w:p>
        </w:tc>
        <w:tc>
          <w:tcPr>
            <w:tcW w:w="18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Second Lien</w:t>
            </w:r>
          </w:p>
        </w:tc>
        <w:tc>
          <w:tcPr>
            <w:tcW w:w="14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vMerge w:val="restart"/>
          </w:tcPr>
          <w:p>
            <w:pPr>
              <w:jc w:val="right"/>
              <w:ind w:right="52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0"/>
                <w:szCs w:val="20"/>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20"/>
                <w:szCs w:val="20"/>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and Warrants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2020</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231,203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Repayments/sales</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(6,850)</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(918)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8,030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Payment-in-kind interest and dividends accrued</w:t>
            </w:r>
          </w:p>
        </w:tc>
        <w:tc>
          <w:tcPr>
            <w:tcW w:w="2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2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918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(21,834)</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(2,543)</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(17,261)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(41,638)</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Balance as of March 31 2020</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210,984</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51,509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44,587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(1) Excludes the Company’s $13.8 million investment in CSLF II, measured at NAV.</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net change in unrealized appreciation (depreciation) on investments held was $12.7 million and $(43.4) million for the three months ended March 31, 2021 and 2020, respectively, and is included in net unrealized appreciation (depreciation) on investments on the consolidated statements of operations.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March 31, 2021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3120" w:type="dxa"/>
            <w:vAlign w:val="bottom"/>
            <w:gridSpan w:val="2"/>
          </w:tcPr>
          <w:p>
            <w:pPr>
              <w:ind w:left="1080"/>
              <w:spacing w:after="0"/>
              <w:rPr>
                <w:sz w:val="20"/>
                <w:szCs w:val="20"/>
                <w:color w:val="auto"/>
              </w:rPr>
            </w:pPr>
            <w:r>
              <w:rPr>
                <w:rFonts w:ascii="Arial" w:cs="Arial" w:eastAsia="Arial" w:hAnsi="Arial"/>
                <w:sz w:val="18"/>
                <w:szCs w:val="18"/>
                <w:b w:val="1"/>
                <w:bCs w:val="1"/>
                <w:color w:val="auto"/>
              </w:rPr>
              <w:t>Valuation</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(in millions)</w:t>
            </w:r>
          </w:p>
        </w:tc>
        <w:tc>
          <w:tcPr>
            <w:tcW w:w="3120" w:type="dxa"/>
            <w:vAlign w:val="bottom"/>
            <w:gridSpan w:val="2"/>
          </w:tcPr>
          <w:p>
            <w:pPr>
              <w:ind w:left="1080"/>
              <w:spacing w:after="0"/>
              <w:rPr>
                <w:sz w:val="20"/>
                <w:szCs w:val="20"/>
                <w:color w:val="auto"/>
              </w:rPr>
            </w:pPr>
            <w:r>
              <w:rPr>
                <w:rFonts w:ascii="Arial" w:cs="Arial" w:eastAsia="Arial" w:hAnsi="Arial"/>
                <w:sz w:val="18"/>
                <w:szCs w:val="18"/>
                <w:b w:val="1"/>
                <w:bCs w:val="1"/>
                <w:color w:val="auto"/>
              </w:rPr>
              <w:t>Approach</w:t>
            </w:r>
          </w:p>
        </w:tc>
        <w:tc>
          <w:tcPr>
            <w:tcW w:w="2240" w:type="dxa"/>
            <w:vAlign w:val="bottom"/>
            <w:gridSpan w:val="2"/>
          </w:tcPr>
          <w:p>
            <w:pPr>
              <w:ind w:left="300"/>
              <w:spacing w:after="0"/>
              <w:rPr>
                <w:sz w:val="20"/>
                <w:szCs w:val="20"/>
                <w:color w:val="auto"/>
              </w:rPr>
            </w:pPr>
            <w:r>
              <w:rPr>
                <w:rFonts w:ascii="Arial" w:cs="Arial" w:eastAsia="Arial" w:hAnsi="Arial"/>
                <w:sz w:val="18"/>
                <w:szCs w:val="18"/>
                <w:b w:val="1"/>
                <w:bCs w:val="1"/>
                <w:color w:val="auto"/>
              </w:rPr>
              <w:t>Unobservable Input</w:t>
            </w:r>
          </w:p>
        </w:tc>
        <w:tc>
          <w:tcPr>
            <w:tcW w:w="340" w:type="dxa"/>
            <w:vAlign w:val="bottom"/>
          </w:tcPr>
          <w:p>
            <w:pPr>
              <w:spacing w:after="0"/>
              <w:rPr>
                <w:sz w:val="20"/>
                <w:szCs w:val="20"/>
                <w:color w:val="auto"/>
              </w:rPr>
            </w:pPr>
          </w:p>
        </w:tc>
        <w:tc>
          <w:tcPr>
            <w:tcW w:w="2580" w:type="dxa"/>
            <w:vAlign w:val="bottom"/>
          </w:tcPr>
          <w:p>
            <w:pPr>
              <w:ind w:left="100"/>
              <w:spacing w:after="0"/>
              <w:rPr>
                <w:sz w:val="20"/>
                <w:szCs w:val="20"/>
                <w:color w:val="auto"/>
              </w:rPr>
            </w:pPr>
            <w:r>
              <w:rPr>
                <w:rFonts w:ascii="Arial" w:cs="Arial" w:eastAsia="Arial" w:hAnsi="Arial"/>
                <w:sz w:val="18"/>
                <w:szCs w:val="18"/>
                <w:b w:val="1"/>
                <w:bCs w:val="1"/>
                <w:color w:val="auto"/>
              </w:rPr>
              <w:t>Range (Weighted Average)</w:t>
            </w:r>
          </w:p>
        </w:tc>
      </w:tr>
      <w:tr>
        <w:trPr>
          <w:trHeight w:val="209"/>
        </w:trPr>
        <w:tc>
          <w:tcPr>
            <w:tcW w:w="1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Required Rate of Return</w:t>
            </w:r>
          </w:p>
        </w:tc>
        <w:tc>
          <w:tcPr>
            <w:tcW w:w="10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7.0% – 20.0% (10.3%)</w:t>
            </w: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0.7x</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14.4x (2.5x)</w:t>
            </w:r>
          </w:p>
        </w:tc>
      </w:tr>
      <w:tr>
        <w:trPr>
          <w:trHeight w:val="202"/>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($2.4) million – $52.2 million ($12.4</w:t>
            </w:r>
          </w:p>
        </w:tc>
      </w:tr>
      <w:tr>
        <w:trPr>
          <w:trHeight w:val="230"/>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42"/>
        </w:trPr>
        <w:tc>
          <w:tcPr>
            <w:tcW w:w="1480" w:type="dxa"/>
            <w:vAlign w:val="bottom"/>
          </w:tcPr>
          <w:p>
            <w:pPr>
              <w:spacing w:after="0"/>
              <w:rPr>
                <w:sz w:val="20"/>
                <w:szCs w:val="20"/>
                <w:color w:val="auto"/>
              </w:rPr>
            </w:pPr>
            <w:r>
              <w:rPr>
                <w:rFonts w:ascii="Arial" w:cs="Arial" w:eastAsia="Arial" w:hAnsi="Arial"/>
                <w:sz w:val="18"/>
                <w:szCs w:val="18"/>
                <w:color w:val="auto"/>
              </w:rPr>
              <w:t>First lien debt</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3120" w:type="dxa"/>
            <w:vAlign w:val="bottom"/>
            <w:gridSpan w:val="2"/>
          </w:tcPr>
          <w:p>
            <w:pPr>
              <w:spacing w:after="0" w:line="242" w:lineRule="exact"/>
              <w:rPr>
                <w:sz w:val="20"/>
                <w:szCs w:val="20"/>
                <w:color w:val="auto"/>
              </w:rPr>
            </w:pPr>
            <w:r>
              <w:rPr>
                <w:rFonts w:ascii="Arial" w:cs="Arial" w:eastAsia="Arial" w:hAnsi="Arial"/>
                <w:sz w:val="17"/>
                <w:szCs w:val="17"/>
                <w:color w:val="auto"/>
              </w:rPr>
              <w:t>Enterprise Value Waterfall and Asset</w:t>
            </w:r>
            <w:r>
              <w:rPr>
                <w:rFonts w:ascii="Arial" w:cs="Arial" w:eastAsia="Arial" w:hAnsi="Arial"/>
                <w:sz w:val="28"/>
                <w:szCs w:val="28"/>
                <w:color w:val="auto"/>
                <w:vertAlign w:val="superscript"/>
              </w:rPr>
              <w:t>(1)</w:t>
            </w:r>
          </w:p>
        </w:tc>
        <w:tc>
          <w:tcPr>
            <w:tcW w:w="2240" w:type="dxa"/>
            <w:vAlign w:val="bottom"/>
            <w:gridSpan w:val="2"/>
          </w:tcPr>
          <w:p>
            <w:pPr>
              <w:spacing w:after="0"/>
              <w:rPr>
                <w:sz w:val="20"/>
                <w:szCs w:val="20"/>
                <w:color w:val="auto"/>
              </w:rPr>
            </w:pPr>
            <w:r>
              <w:rPr>
                <w:rFonts w:ascii="Arial" w:cs="Arial" w:eastAsia="Arial" w:hAnsi="Arial"/>
                <w:sz w:val="18"/>
                <w:szCs w:val="18"/>
                <w:color w:val="auto"/>
              </w:rPr>
              <w:t>EBITDA Multiple</w:t>
            </w:r>
          </w:p>
        </w:tc>
        <w:tc>
          <w:tcPr>
            <w:tcW w:w="340" w:type="dxa"/>
            <w:vAlign w:val="bottom"/>
          </w:tcPr>
          <w:p>
            <w:pPr>
              <w:spacing w:after="0"/>
              <w:rPr>
                <w:sz w:val="20"/>
                <w:szCs w:val="20"/>
                <w:color w:val="auto"/>
              </w:rPr>
            </w:pPr>
            <w:r>
              <w:rPr>
                <w:rFonts w:ascii="Arial" w:cs="Arial" w:eastAsia="Arial" w:hAnsi="Arial"/>
                <w:sz w:val="18"/>
                <w:szCs w:val="18"/>
                <w:color w:val="auto"/>
                <w:w w:val="93"/>
              </w:rPr>
              <w:t>4.3x</w:t>
            </w:r>
          </w:p>
        </w:tc>
        <w:tc>
          <w:tcPr>
            <w:tcW w:w="2580" w:type="dxa"/>
            <w:vAlign w:val="bottom"/>
          </w:tcPr>
          <w:p>
            <w:pPr>
              <w:ind w:left="20"/>
              <w:spacing w:after="0"/>
              <w:rPr>
                <w:sz w:val="20"/>
                <w:szCs w:val="20"/>
                <w:color w:val="auto"/>
              </w:rPr>
            </w:pPr>
            <w:r>
              <w:rPr>
                <w:rFonts w:ascii="Arial" w:cs="Arial" w:eastAsia="Arial" w:hAnsi="Arial"/>
                <w:sz w:val="18"/>
                <w:szCs w:val="18"/>
                <w:color w:val="auto"/>
              </w:rPr>
              <w:t>– 4.3x (4.3x)</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920" w:type="dxa"/>
            <w:vAlign w:val="bottom"/>
            <w:gridSpan w:val="2"/>
          </w:tcPr>
          <w:p>
            <w:pPr>
              <w:spacing w:after="0"/>
              <w:rPr>
                <w:sz w:val="20"/>
                <w:szCs w:val="20"/>
                <w:color w:val="auto"/>
              </w:rPr>
            </w:pPr>
            <w:r>
              <w:rPr>
                <w:rFonts w:ascii="Arial" w:cs="Arial" w:eastAsia="Arial" w:hAnsi="Arial"/>
                <w:sz w:val="18"/>
                <w:szCs w:val="18"/>
                <w:color w:val="auto"/>
              </w:rPr>
              <w:t>$20.4 million – $20.4 million</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($20.4 million)</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Revenue Multiple</w:t>
            </w:r>
          </w:p>
        </w:tc>
        <w:tc>
          <w:tcPr>
            <w:tcW w:w="340" w:type="dxa"/>
            <w:vAlign w:val="bottom"/>
          </w:tcPr>
          <w:p>
            <w:pPr>
              <w:spacing w:after="0"/>
              <w:rPr>
                <w:sz w:val="20"/>
                <w:szCs w:val="20"/>
                <w:color w:val="auto"/>
              </w:rPr>
            </w:pPr>
            <w:r>
              <w:rPr>
                <w:rFonts w:ascii="Arial" w:cs="Arial" w:eastAsia="Arial" w:hAnsi="Arial"/>
                <w:sz w:val="18"/>
                <w:szCs w:val="18"/>
                <w:color w:val="auto"/>
                <w:w w:val="93"/>
              </w:rPr>
              <w:t>0.3x</w:t>
            </w:r>
          </w:p>
        </w:tc>
        <w:tc>
          <w:tcPr>
            <w:tcW w:w="2580" w:type="dxa"/>
            <w:vAlign w:val="bottom"/>
          </w:tcPr>
          <w:p>
            <w:pPr>
              <w:ind w:left="20"/>
              <w:spacing w:after="0"/>
              <w:rPr>
                <w:sz w:val="20"/>
                <w:szCs w:val="20"/>
                <w:color w:val="auto"/>
              </w:rPr>
            </w:pPr>
            <w:r>
              <w:rPr>
                <w:rFonts w:ascii="Arial" w:cs="Arial" w:eastAsia="Arial" w:hAnsi="Arial"/>
                <w:sz w:val="18"/>
                <w:szCs w:val="18"/>
                <w:color w:val="auto"/>
              </w:rPr>
              <w:t>– 1.3x (0.9x)</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920" w:type="dxa"/>
            <w:vAlign w:val="bottom"/>
            <w:gridSpan w:val="2"/>
          </w:tcPr>
          <w:p>
            <w:pPr>
              <w:spacing w:after="0"/>
              <w:rPr>
                <w:sz w:val="20"/>
                <w:szCs w:val="20"/>
                <w:color w:val="auto"/>
              </w:rPr>
            </w:pPr>
            <w:r>
              <w:rPr>
                <w:rFonts w:ascii="Arial" w:cs="Arial" w:eastAsia="Arial" w:hAnsi="Arial"/>
                <w:sz w:val="18"/>
                <w:szCs w:val="18"/>
                <w:color w:val="auto"/>
              </w:rPr>
              <w:t>$8.4 million – $62.4 million</w:t>
            </w:r>
          </w:p>
        </w:tc>
      </w:tr>
      <w:tr>
        <w:trPr>
          <w:trHeight w:val="230"/>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($31.1 million)</w:t>
            </w:r>
          </w:p>
        </w:tc>
      </w:tr>
      <w:tr>
        <w:trPr>
          <w:trHeight w:val="216"/>
        </w:trPr>
        <w:tc>
          <w:tcPr>
            <w:tcW w:w="14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2"/>
          </w:tcPr>
          <w:p>
            <w:pPr>
              <w:spacing w:after="0"/>
              <w:rPr>
                <w:sz w:val="18"/>
                <w:szCs w:val="18"/>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w:t>
            </w: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Rate of Return</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 13.5% (12.0%)</w:t>
            </w: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0.6x</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3.3x (3.1x)</w:t>
            </w:r>
          </w:p>
        </w:tc>
      </w:tr>
      <w:tr>
        <w:trPr>
          <w:trHeight w:val="202"/>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$17.1 million – $212.6 million ($30.8</w:t>
            </w:r>
          </w:p>
        </w:tc>
      </w:tr>
      <w:tr>
        <w:trPr>
          <w:trHeight w:val="230"/>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3120" w:type="dxa"/>
            <w:vAlign w:val="bottom"/>
            <w:gridSpan w:val="2"/>
          </w:tcPr>
          <w:p>
            <w:pPr>
              <w:spacing w:after="0" w:line="202" w:lineRule="exact"/>
              <w:rPr>
                <w:sz w:val="20"/>
                <w:szCs w:val="20"/>
                <w:color w:val="auto"/>
              </w:rPr>
            </w:pPr>
            <w:r>
              <w:rPr>
                <w:rFonts w:ascii="Arial" w:cs="Arial" w:eastAsia="Arial" w:hAnsi="Arial"/>
                <w:sz w:val="15"/>
                <w:szCs w:val="15"/>
                <w:color w:val="auto"/>
              </w:rPr>
              <w:t>Enterprise Value Waterfall and Asset</w:t>
            </w:r>
            <w:r>
              <w:rPr>
                <w:rFonts w:ascii="Arial" w:cs="Arial" w:eastAsia="Arial" w:hAnsi="Arial"/>
                <w:sz w:val="23"/>
                <w:szCs w:val="23"/>
                <w:color w:val="auto"/>
                <w:vertAlign w:val="superscript"/>
              </w:rPr>
              <w:t>(1)</w:t>
            </w:r>
          </w:p>
        </w:tc>
        <w:tc>
          <w:tcPr>
            <w:tcW w:w="2240" w:type="dxa"/>
            <w:vAlign w:val="bottom"/>
            <w:gridSpan w:val="2"/>
          </w:tcPr>
          <w:p>
            <w:pPr>
              <w:spacing w:after="0" w:line="202" w:lineRule="exact"/>
              <w:rPr>
                <w:sz w:val="20"/>
                <w:szCs w:val="20"/>
                <w:color w:val="auto"/>
              </w:rPr>
            </w:pPr>
            <w:r>
              <w:rPr>
                <w:rFonts w:ascii="Arial" w:cs="Arial" w:eastAsia="Arial" w:hAnsi="Arial"/>
                <w:sz w:val="18"/>
                <w:szCs w:val="18"/>
                <w:color w:val="auto"/>
              </w:rPr>
              <w:t>EBITDA Multiple</w:t>
            </w:r>
          </w:p>
        </w:tc>
        <w:tc>
          <w:tcPr>
            <w:tcW w:w="340" w:type="dxa"/>
            <w:vAlign w:val="bottom"/>
          </w:tcPr>
          <w:p>
            <w:pPr>
              <w:spacing w:after="0" w:line="202" w:lineRule="exact"/>
              <w:rPr>
                <w:sz w:val="20"/>
                <w:szCs w:val="20"/>
                <w:color w:val="auto"/>
              </w:rPr>
            </w:pPr>
            <w:r>
              <w:rPr>
                <w:rFonts w:ascii="Arial" w:cs="Arial" w:eastAsia="Arial" w:hAnsi="Arial"/>
                <w:sz w:val="18"/>
                <w:szCs w:val="18"/>
                <w:color w:val="auto"/>
                <w:w w:val="93"/>
              </w:rPr>
              <w:t>5.8x</w:t>
            </w:r>
          </w:p>
        </w:tc>
        <w:tc>
          <w:tcPr>
            <w:tcW w:w="2580" w:type="dxa"/>
            <w:vAlign w:val="bottom"/>
          </w:tcPr>
          <w:p>
            <w:pPr>
              <w:ind w:left="20"/>
              <w:spacing w:after="0" w:line="202" w:lineRule="exact"/>
              <w:rPr>
                <w:sz w:val="20"/>
                <w:szCs w:val="20"/>
                <w:color w:val="auto"/>
              </w:rPr>
            </w:pPr>
            <w:r>
              <w:rPr>
                <w:rFonts w:ascii="Arial" w:cs="Arial" w:eastAsia="Arial" w:hAnsi="Arial"/>
                <w:sz w:val="18"/>
                <w:szCs w:val="18"/>
                <w:color w:val="auto"/>
              </w:rPr>
              <w:t>– 5.8x (5.8x)</w:t>
            </w:r>
          </w:p>
        </w:tc>
      </w:tr>
      <w:tr>
        <w:trPr>
          <w:trHeight w:val="215"/>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920" w:type="dxa"/>
            <w:vAlign w:val="bottom"/>
            <w:gridSpan w:val="2"/>
          </w:tcPr>
          <w:p>
            <w:pPr>
              <w:spacing w:after="0"/>
              <w:rPr>
                <w:sz w:val="20"/>
                <w:szCs w:val="20"/>
                <w:color w:val="auto"/>
              </w:rPr>
            </w:pPr>
            <w:r>
              <w:rPr>
                <w:rFonts w:ascii="Arial" w:cs="Arial" w:eastAsia="Arial" w:hAnsi="Arial"/>
                <w:sz w:val="18"/>
                <w:szCs w:val="18"/>
                <w:color w:val="auto"/>
              </w:rPr>
              <w:t>$1.6 million – $1.6 million ($1.6</w:t>
            </w:r>
          </w:p>
        </w:tc>
      </w:tr>
      <w:tr>
        <w:trPr>
          <w:trHeight w:val="230"/>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million)</w:t>
            </w:r>
          </w:p>
        </w:tc>
      </w:tr>
      <w:tr>
        <w:trPr>
          <w:trHeight w:val="216"/>
        </w:trPr>
        <w:tc>
          <w:tcPr>
            <w:tcW w:w="14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57"/>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1"/>
              </w:rPr>
              <w:t>Equity and warrants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w:t>
            </w:r>
          </w:p>
        </w:tc>
        <w:tc>
          <w:tcPr>
            <w:tcW w:w="31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7"/>
              </w:rPr>
              <w:t>Enterprise Value Waterfall and Asset</w:t>
            </w:r>
            <w:r>
              <w:rPr>
                <w:rFonts w:ascii="Arial" w:cs="Arial" w:eastAsia="Arial" w:hAnsi="Arial"/>
                <w:sz w:val="29"/>
                <w:szCs w:val="29"/>
                <w:color w:val="auto"/>
                <w:w w:val="97"/>
                <w:vertAlign w:val="superscript"/>
              </w:rPr>
              <w:t>(1)</w:t>
            </w: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1.8x</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19.0x (9.2x)</w:t>
            </w:r>
          </w:p>
        </w:tc>
      </w:tr>
      <w:tr>
        <w:trPr>
          <w:trHeight w:val="202"/>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$1.6 million – $212.6 million ($24.3</w:t>
            </w:r>
          </w:p>
        </w:tc>
      </w:tr>
      <w:tr>
        <w:trPr>
          <w:trHeight w:val="230"/>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Multiple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3"/>
              </w:rPr>
              <w:t>0.3x</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1.3x (0.9x)</w:t>
            </w:r>
          </w:p>
        </w:tc>
      </w:tr>
      <w:tr>
        <w:trPr>
          <w:trHeight w:val="202"/>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$11.7 million – $62.4 million ($29.4</w:t>
            </w:r>
          </w:p>
        </w:tc>
      </w:tr>
      <w:tr>
        <w:trPr>
          <w:trHeight w:val="230"/>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7" w:lineRule="exact"/>
        <w:rPr>
          <w:sz w:val="20"/>
          <w:szCs w:val="20"/>
          <w:color w:val="auto"/>
        </w:rPr>
      </w:pPr>
    </w:p>
    <w:p>
      <w:pPr>
        <w:ind w:left="5540" w:right="840" w:hanging="5532"/>
        <w:spacing w:after="0" w:line="527" w:lineRule="auto"/>
        <w:tabs>
          <w:tab w:leader="none" w:pos="2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 million in first lien debt, $0.9 million in second lien debt, and $4.6 million in equity and warrants were valued using the asset approach.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both"/>
        <w:ind w:right="2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December 31, 2020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960" w:type="dxa"/>
            <w:vAlign w:val="bottom"/>
            <w:gridSpan w:val="2"/>
          </w:tcPr>
          <w:p>
            <w:pPr>
              <w:ind w:left="580"/>
              <w:spacing w:after="0"/>
              <w:rPr>
                <w:sz w:val="20"/>
                <w:szCs w:val="20"/>
                <w:color w:val="auto"/>
              </w:rPr>
            </w:pPr>
            <w:r>
              <w:rPr>
                <w:rFonts w:ascii="Arial" w:cs="Arial" w:eastAsia="Arial" w:hAnsi="Arial"/>
                <w:sz w:val="18"/>
                <w:szCs w:val="18"/>
                <w:b w:val="1"/>
                <w:bCs w:val="1"/>
                <w:color w:val="auto"/>
              </w:rPr>
              <w:t>Valuation</w:t>
            </w:r>
          </w:p>
        </w:tc>
        <w:tc>
          <w:tcPr>
            <w:tcW w:w="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(in millions)</w:t>
            </w:r>
          </w:p>
        </w:tc>
        <w:tc>
          <w:tcPr>
            <w:tcW w:w="1960" w:type="dxa"/>
            <w:vAlign w:val="bottom"/>
            <w:gridSpan w:val="2"/>
          </w:tcPr>
          <w:p>
            <w:pPr>
              <w:ind w:left="580"/>
              <w:spacing w:after="0"/>
              <w:rPr>
                <w:sz w:val="20"/>
                <w:szCs w:val="20"/>
                <w:color w:val="auto"/>
              </w:rPr>
            </w:pPr>
            <w:r>
              <w:rPr>
                <w:rFonts w:ascii="Arial" w:cs="Arial" w:eastAsia="Arial" w:hAnsi="Arial"/>
                <w:sz w:val="18"/>
                <w:szCs w:val="18"/>
                <w:b w:val="1"/>
                <w:bCs w:val="1"/>
                <w:color w:val="auto"/>
              </w:rPr>
              <w:t>Approach</w:t>
            </w:r>
          </w:p>
        </w:tc>
        <w:tc>
          <w:tcPr>
            <w:tcW w:w="60" w:type="dxa"/>
            <w:vAlign w:val="bottom"/>
          </w:tcPr>
          <w:p>
            <w:pPr>
              <w:spacing w:after="0"/>
              <w:rPr>
                <w:sz w:val="20"/>
                <w:szCs w:val="20"/>
                <w:color w:val="auto"/>
              </w:rPr>
            </w:pPr>
          </w:p>
        </w:tc>
        <w:tc>
          <w:tcPr>
            <w:tcW w:w="2340" w:type="dxa"/>
            <w:vAlign w:val="bottom"/>
          </w:tcPr>
          <w:p>
            <w:pPr>
              <w:ind w:left="400"/>
              <w:spacing w:after="0"/>
              <w:rPr>
                <w:sz w:val="20"/>
                <w:szCs w:val="20"/>
                <w:color w:val="auto"/>
              </w:rPr>
            </w:pPr>
            <w:r>
              <w:rPr>
                <w:rFonts w:ascii="Arial" w:cs="Arial" w:eastAsia="Arial" w:hAnsi="Arial"/>
                <w:sz w:val="18"/>
                <w:szCs w:val="18"/>
                <w:b w:val="1"/>
                <w:bCs w:val="1"/>
                <w:color w:val="auto"/>
              </w:rPr>
              <w:t>Unobservable Input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tcPr>
          <w:p>
            <w:pPr>
              <w:ind w:left="700"/>
              <w:spacing w:after="0"/>
              <w:rPr>
                <w:sz w:val="20"/>
                <w:szCs w:val="20"/>
                <w:color w:val="auto"/>
              </w:rPr>
            </w:pPr>
            <w:r>
              <w:rPr>
                <w:rFonts w:ascii="Arial" w:cs="Arial" w:eastAsia="Arial" w:hAnsi="Arial"/>
                <w:sz w:val="18"/>
                <w:szCs w:val="18"/>
                <w:b w:val="1"/>
                <w:bCs w:val="1"/>
                <w:color w:val="auto"/>
              </w:rPr>
              <w:t>Range (Weighted Average)</w:t>
            </w:r>
          </w:p>
        </w:tc>
        <w:tc>
          <w:tcPr>
            <w:tcW w:w="0" w:type="dxa"/>
            <w:vAlign w:val="bottom"/>
          </w:tcPr>
          <w:p>
            <w:pPr>
              <w:spacing w:after="0"/>
              <w:rPr>
                <w:sz w:val="1"/>
                <w:szCs w:val="1"/>
                <w:color w:val="auto"/>
              </w:rPr>
            </w:pPr>
          </w:p>
        </w:tc>
      </w:tr>
      <w:tr>
        <w:trPr>
          <w:trHeight w:val="210"/>
        </w:trPr>
        <w:tc>
          <w:tcPr>
            <w:tcW w:w="1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Required Rate of Return</w:t>
            </w:r>
          </w:p>
        </w:tc>
        <w:tc>
          <w:tcPr>
            <w:tcW w:w="12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6.9% – 15.0% (10.5%)</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Leverage Ratio</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0.9x</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3.5x (2.0x)</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Adjusted EBITDA</w:t>
            </w:r>
          </w:p>
        </w:tc>
        <w:tc>
          <w:tcPr>
            <w:tcW w:w="4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$(1.6) million – $51.7 million ($13.1 million)</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line="206" w:lineRule="exact"/>
              <w:rPr>
                <w:sz w:val="20"/>
                <w:szCs w:val="20"/>
                <w:color w:val="auto"/>
              </w:rPr>
            </w:pPr>
            <w:r>
              <w:rPr>
                <w:rFonts w:ascii="Arial" w:cs="Arial" w:eastAsia="Arial" w:hAnsi="Arial"/>
                <w:sz w:val="18"/>
                <w:szCs w:val="18"/>
                <w:color w:val="auto"/>
              </w:rPr>
              <w:t>First lien debt</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line="206" w:lineRule="exact"/>
              <w:rPr>
                <w:sz w:val="20"/>
                <w:szCs w:val="20"/>
                <w:color w:val="auto"/>
              </w:rPr>
            </w:pPr>
            <w:r>
              <w:rPr>
                <w:rFonts w:ascii="Arial" w:cs="Arial" w:eastAsia="Arial" w:hAnsi="Arial"/>
                <w:sz w:val="18"/>
                <w:szCs w:val="18"/>
                <w:color w:val="auto"/>
              </w:rPr>
              <w:t>28.3</w:t>
            </w:r>
          </w:p>
        </w:tc>
        <w:tc>
          <w:tcPr>
            <w:tcW w:w="1960" w:type="dxa"/>
            <w:vAlign w:val="bottom"/>
            <w:gridSpan w:val="2"/>
          </w:tcPr>
          <w:p>
            <w:pPr>
              <w:spacing w:after="0" w:line="206" w:lineRule="exact"/>
              <w:rPr>
                <w:sz w:val="20"/>
                <w:szCs w:val="20"/>
                <w:color w:val="auto"/>
              </w:rPr>
            </w:pPr>
            <w:r>
              <w:rPr>
                <w:rFonts w:ascii="Arial" w:cs="Arial" w:eastAsia="Arial" w:hAnsi="Arial"/>
                <w:sz w:val="18"/>
                <w:szCs w:val="18"/>
                <w:color w:val="auto"/>
                <w:w w:val="92"/>
              </w:rPr>
              <w:t>Enterprise Value Waterfall</w:t>
            </w:r>
          </w:p>
        </w:tc>
        <w:tc>
          <w:tcPr>
            <w:tcW w:w="2400" w:type="dxa"/>
            <w:vAlign w:val="bottom"/>
            <w:gridSpan w:val="2"/>
          </w:tcPr>
          <w:p>
            <w:pPr>
              <w:ind w:left="60"/>
              <w:spacing w:after="0" w:line="206" w:lineRule="exact"/>
              <w:rPr>
                <w:sz w:val="20"/>
                <w:szCs w:val="20"/>
                <w:color w:val="auto"/>
              </w:rPr>
            </w:pPr>
            <w:r>
              <w:rPr>
                <w:rFonts w:ascii="Arial" w:cs="Arial" w:eastAsia="Arial" w:hAnsi="Arial"/>
                <w:sz w:val="18"/>
                <w:szCs w:val="18"/>
                <w:color w:val="auto"/>
              </w:rPr>
              <w:t>EBITDA Multiple</w:t>
            </w:r>
          </w:p>
        </w:tc>
        <w:tc>
          <w:tcPr>
            <w:tcW w:w="460" w:type="dxa"/>
            <w:vAlign w:val="bottom"/>
            <w:gridSpan w:val="2"/>
          </w:tcPr>
          <w:p>
            <w:pPr>
              <w:ind w:left="120"/>
              <w:spacing w:after="0" w:line="206" w:lineRule="exact"/>
              <w:rPr>
                <w:sz w:val="20"/>
                <w:szCs w:val="20"/>
                <w:color w:val="auto"/>
              </w:rPr>
            </w:pPr>
            <w:r>
              <w:rPr>
                <w:rFonts w:ascii="Arial" w:cs="Arial" w:eastAsia="Arial" w:hAnsi="Arial"/>
                <w:sz w:val="18"/>
                <w:szCs w:val="18"/>
                <w:color w:val="auto"/>
                <w:w w:val="93"/>
              </w:rPr>
              <w:t>4.0x</w:t>
            </w:r>
          </w:p>
        </w:tc>
        <w:tc>
          <w:tcPr>
            <w:tcW w:w="3800" w:type="dxa"/>
            <w:vAlign w:val="bottom"/>
          </w:tcPr>
          <w:p>
            <w:pPr>
              <w:ind w:left="20"/>
              <w:spacing w:after="0" w:line="206" w:lineRule="exact"/>
              <w:rPr>
                <w:sz w:val="20"/>
                <w:szCs w:val="20"/>
                <w:color w:val="auto"/>
              </w:rPr>
            </w:pPr>
            <w:r>
              <w:rPr>
                <w:rFonts w:ascii="Arial" w:cs="Arial" w:eastAsia="Arial" w:hAnsi="Arial"/>
                <w:sz w:val="18"/>
                <w:szCs w:val="18"/>
                <w:color w:val="auto"/>
              </w:rPr>
              <w:t>– 4.0x (4.0x)</w:t>
            </w:r>
          </w:p>
        </w:tc>
        <w:tc>
          <w:tcPr>
            <w:tcW w:w="0" w:type="dxa"/>
            <w:vAlign w:val="bottom"/>
          </w:tcPr>
          <w:p>
            <w:pPr>
              <w:spacing w:after="0"/>
              <w:rPr>
                <w:sz w:val="1"/>
                <w:szCs w:val="1"/>
                <w:color w:val="auto"/>
              </w:rPr>
            </w:pPr>
          </w:p>
        </w:tc>
      </w:tr>
      <w:tr>
        <w:trPr>
          <w:trHeight w:val="390"/>
        </w:trPr>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 xml:space="preserve">and Asset </w:t>
            </w:r>
            <w:r>
              <w:rPr>
                <w:rFonts w:ascii="Arial" w:cs="Arial" w:eastAsia="Arial" w:hAnsi="Arial"/>
                <w:sz w:val="29"/>
                <w:szCs w:val="29"/>
                <w:color w:val="auto"/>
                <w:vertAlign w:val="superscript"/>
              </w:rPr>
              <w:t>(1)</w:t>
            </w:r>
          </w:p>
        </w:tc>
        <w:tc>
          <w:tcPr>
            <w:tcW w:w="2400" w:type="dxa"/>
            <w:vAlign w:val="bottom"/>
            <w:gridSpan w:val="2"/>
            <w:vMerge w:val="restart"/>
          </w:tcPr>
          <w:p>
            <w:pPr>
              <w:ind w:left="60"/>
              <w:spacing w:after="0"/>
              <w:rPr>
                <w:sz w:val="20"/>
                <w:szCs w:val="20"/>
                <w:color w:val="auto"/>
              </w:rPr>
            </w:pPr>
            <w:r>
              <w:rPr>
                <w:rFonts w:ascii="Arial" w:cs="Arial" w:eastAsia="Arial" w:hAnsi="Arial"/>
                <w:sz w:val="18"/>
                <w:szCs w:val="18"/>
                <w:color w:val="auto"/>
              </w:rPr>
              <w:t>Adjusted EBITDA</w:t>
            </w:r>
          </w:p>
        </w:tc>
        <w:tc>
          <w:tcPr>
            <w:tcW w:w="4260" w:type="dxa"/>
            <w:vAlign w:val="bottom"/>
            <w:gridSpan w:val="3"/>
            <w:vMerge w:val="restart"/>
          </w:tcPr>
          <w:p>
            <w:pPr>
              <w:ind w:left="120"/>
              <w:spacing w:after="0"/>
              <w:rPr>
                <w:sz w:val="20"/>
                <w:szCs w:val="20"/>
                <w:color w:val="auto"/>
              </w:rPr>
            </w:pPr>
            <w:r>
              <w:rPr>
                <w:rFonts w:ascii="Arial" w:cs="Arial" w:eastAsia="Arial" w:hAnsi="Arial"/>
                <w:sz w:val="18"/>
                <w:szCs w:val="18"/>
                <w:color w:val="auto"/>
              </w:rPr>
              <w:t>$19.8 million – $19.8 million ($19.8 million)</w:t>
            </w:r>
          </w:p>
        </w:tc>
        <w:tc>
          <w:tcPr>
            <w:tcW w:w="0" w:type="dxa"/>
            <w:vAlign w:val="bottom"/>
          </w:tcPr>
          <w:p>
            <w:pPr>
              <w:spacing w:after="0"/>
              <w:rPr>
                <w:sz w:val="1"/>
                <w:szCs w:val="1"/>
                <w:color w:val="auto"/>
              </w:rPr>
            </w:pPr>
          </w:p>
        </w:tc>
      </w:tr>
      <w:tr>
        <w:trPr>
          <w:trHeight w:val="79"/>
        </w:trPr>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0" w:type="dxa"/>
            <w:vAlign w:val="bottom"/>
            <w:gridSpan w:val="2"/>
            <w:vMerge w:val="continue"/>
          </w:tcPr>
          <w:p>
            <w:pPr>
              <w:spacing w:after="0"/>
              <w:rPr>
                <w:sz w:val="6"/>
                <w:szCs w:val="6"/>
                <w:color w:val="auto"/>
              </w:rPr>
            </w:pPr>
          </w:p>
        </w:tc>
        <w:tc>
          <w:tcPr>
            <w:tcW w:w="42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Revenue Multiple</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w w:val="93"/>
              </w:rPr>
              <w:t>0.2x</w:t>
            </w:r>
          </w:p>
        </w:tc>
        <w:tc>
          <w:tcPr>
            <w:tcW w:w="3800" w:type="dxa"/>
            <w:vAlign w:val="bottom"/>
          </w:tcPr>
          <w:p>
            <w:pPr>
              <w:ind w:left="20"/>
              <w:spacing w:after="0"/>
              <w:rPr>
                <w:sz w:val="20"/>
                <w:szCs w:val="20"/>
                <w:color w:val="auto"/>
              </w:rPr>
            </w:pPr>
            <w:r>
              <w:rPr>
                <w:rFonts w:ascii="Arial" w:cs="Arial" w:eastAsia="Arial" w:hAnsi="Arial"/>
                <w:sz w:val="18"/>
                <w:szCs w:val="18"/>
                <w:color w:val="auto"/>
              </w:rPr>
              <w:t>– 4.8x (2.0x)</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Revenue</w:t>
            </w:r>
          </w:p>
        </w:tc>
        <w:tc>
          <w:tcPr>
            <w:tcW w:w="4260" w:type="dxa"/>
            <w:vAlign w:val="bottom"/>
            <w:gridSpan w:val="3"/>
          </w:tcPr>
          <w:p>
            <w:pPr>
              <w:ind w:left="120"/>
              <w:spacing w:after="0"/>
              <w:rPr>
                <w:sz w:val="20"/>
                <w:szCs w:val="20"/>
                <w:color w:val="auto"/>
              </w:rPr>
            </w:pPr>
            <w:r>
              <w:rPr>
                <w:rFonts w:ascii="Arial" w:cs="Arial" w:eastAsia="Arial" w:hAnsi="Arial"/>
                <w:sz w:val="18"/>
                <w:szCs w:val="18"/>
                <w:color w:val="auto"/>
              </w:rPr>
              <w:t>$8.4 million – $67.4 million ($27.3 million)</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0"/>
              </w:rPr>
              <w:t>Second lien debt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w:t>
            </w:r>
          </w:p>
        </w:tc>
        <w:tc>
          <w:tcPr>
            <w:tcW w:w="19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Income and Asset</w:t>
            </w:r>
            <w:r>
              <w:rPr>
                <w:rFonts w:ascii="Arial" w:cs="Arial" w:eastAsia="Arial" w:hAnsi="Arial"/>
                <w:sz w:val="29"/>
                <w:szCs w:val="29"/>
                <w:color w:val="auto"/>
                <w:vertAlign w:val="superscript"/>
              </w:rPr>
              <w:t>(1)</w:t>
            </w:r>
          </w:p>
        </w:tc>
        <w:tc>
          <w:tcPr>
            <w:tcW w:w="2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Required Rate of Return</w:t>
            </w:r>
          </w:p>
        </w:tc>
        <w:tc>
          <w:tcPr>
            <w:tcW w:w="4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6.0% – 13.5% (12.0%)</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Leverage Ratio</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0.9x</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4.2x (3.7x)</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Adjusted EBITDA</w:t>
            </w:r>
          </w:p>
        </w:tc>
        <w:tc>
          <w:tcPr>
            <w:tcW w:w="4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$1.7 million – $185.3 million ($26.5 million)</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40" w:type="dxa"/>
            <w:vAlign w:val="bottom"/>
          </w:tcPr>
          <w:p>
            <w:pPr>
              <w:spacing w:after="0" w:line="201" w:lineRule="exact"/>
              <w:rPr>
                <w:sz w:val="20"/>
                <w:szCs w:val="20"/>
                <w:color w:val="auto"/>
              </w:rPr>
            </w:pPr>
            <w:r>
              <w:rPr>
                <w:rFonts w:ascii="Arial" w:cs="Arial" w:eastAsia="Arial" w:hAnsi="Arial"/>
                <w:sz w:val="18"/>
                <w:szCs w:val="18"/>
                <w:color w:val="auto"/>
              </w:rPr>
              <w:t>Equity and</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67.6</w:t>
            </w:r>
          </w:p>
        </w:tc>
        <w:tc>
          <w:tcPr>
            <w:tcW w:w="1960" w:type="dxa"/>
            <w:vAlign w:val="bottom"/>
            <w:gridSpan w:val="2"/>
          </w:tcPr>
          <w:p>
            <w:pPr>
              <w:spacing w:after="0" w:line="201" w:lineRule="exact"/>
              <w:rPr>
                <w:sz w:val="20"/>
                <w:szCs w:val="20"/>
                <w:color w:val="auto"/>
              </w:rPr>
            </w:pPr>
            <w:r>
              <w:rPr>
                <w:rFonts w:ascii="Arial" w:cs="Arial" w:eastAsia="Arial" w:hAnsi="Arial"/>
                <w:sz w:val="18"/>
                <w:szCs w:val="18"/>
                <w:color w:val="auto"/>
                <w:w w:val="92"/>
              </w:rPr>
              <w:t>Enterprise Value Waterfall</w:t>
            </w:r>
          </w:p>
        </w:tc>
        <w:tc>
          <w:tcPr>
            <w:tcW w:w="24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EBITDA Multiple</w:t>
            </w:r>
          </w:p>
        </w:tc>
        <w:tc>
          <w:tcPr>
            <w:tcW w:w="4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6.0x</w:t>
            </w:r>
          </w:p>
        </w:tc>
        <w:tc>
          <w:tcPr>
            <w:tcW w:w="3800" w:type="dxa"/>
            <w:vAlign w:val="bottom"/>
          </w:tcPr>
          <w:p>
            <w:pPr>
              <w:ind w:left="20"/>
              <w:spacing w:after="0" w:line="201" w:lineRule="exact"/>
              <w:rPr>
                <w:sz w:val="20"/>
                <w:szCs w:val="20"/>
                <w:color w:val="auto"/>
              </w:rPr>
            </w:pPr>
            <w:r>
              <w:rPr>
                <w:rFonts w:ascii="Arial" w:cs="Arial" w:eastAsia="Arial" w:hAnsi="Arial"/>
                <w:sz w:val="18"/>
                <w:szCs w:val="18"/>
                <w:color w:val="auto"/>
              </w:rPr>
              <w:t>– 21.0x (9.5x)</w:t>
            </w:r>
          </w:p>
        </w:tc>
        <w:tc>
          <w:tcPr>
            <w:tcW w:w="0" w:type="dxa"/>
            <w:vAlign w:val="bottom"/>
          </w:tcPr>
          <w:p>
            <w:pPr>
              <w:spacing w:after="0"/>
              <w:rPr>
                <w:sz w:val="1"/>
                <w:szCs w:val="1"/>
                <w:color w:val="auto"/>
              </w:rPr>
            </w:pPr>
          </w:p>
        </w:tc>
      </w:tr>
      <w:tr>
        <w:trPr>
          <w:trHeight w:val="394"/>
        </w:trPr>
        <w:tc>
          <w:tcPr>
            <w:tcW w:w="1240" w:type="dxa"/>
            <w:vAlign w:val="bottom"/>
          </w:tcPr>
          <w:p>
            <w:pPr>
              <w:spacing w:after="0"/>
              <w:rPr>
                <w:sz w:val="20"/>
                <w:szCs w:val="20"/>
                <w:color w:val="auto"/>
              </w:rPr>
            </w:pPr>
            <w:r>
              <w:rPr>
                <w:rFonts w:ascii="Arial" w:cs="Arial" w:eastAsia="Arial" w:hAnsi="Arial"/>
                <w:sz w:val="18"/>
                <w:szCs w:val="18"/>
                <w:color w:val="auto"/>
              </w:rPr>
              <w:t>warrants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and Asset</w:t>
            </w:r>
            <w:r>
              <w:rPr>
                <w:rFonts w:ascii="Arial" w:cs="Arial" w:eastAsia="Arial" w:hAnsi="Arial"/>
                <w:sz w:val="29"/>
                <w:szCs w:val="29"/>
                <w:color w:val="auto"/>
                <w:vertAlign w:val="superscript"/>
              </w:rPr>
              <w:t>(1)</w:t>
            </w:r>
          </w:p>
        </w:tc>
        <w:tc>
          <w:tcPr>
            <w:tcW w:w="2400" w:type="dxa"/>
            <w:vAlign w:val="bottom"/>
            <w:gridSpan w:val="2"/>
            <w:vMerge w:val="restart"/>
          </w:tcPr>
          <w:p>
            <w:pPr>
              <w:ind w:left="60"/>
              <w:spacing w:after="0"/>
              <w:rPr>
                <w:sz w:val="20"/>
                <w:szCs w:val="20"/>
                <w:color w:val="auto"/>
              </w:rPr>
            </w:pPr>
            <w:r>
              <w:rPr>
                <w:rFonts w:ascii="Arial" w:cs="Arial" w:eastAsia="Arial" w:hAnsi="Arial"/>
                <w:sz w:val="18"/>
                <w:szCs w:val="18"/>
                <w:color w:val="auto"/>
              </w:rPr>
              <w:t>Adjusted EBITDA</w:t>
            </w:r>
          </w:p>
        </w:tc>
        <w:tc>
          <w:tcPr>
            <w:tcW w:w="4260" w:type="dxa"/>
            <w:vAlign w:val="bottom"/>
            <w:gridSpan w:val="3"/>
            <w:vMerge w:val="restart"/>
          </w:tcPr>
          <w:p>
            <w:pPr>
              <w:ind w:left="120"/>
              <w:spacing w:after="0"/>
              <w:rPr>
                <w:sz w:val="20"/>
                <w:szCs w:val="20"/>
                <w:color w:val="auto"/>
              </w:rPr>
            </w:pPr>
            <w:r>
              <w:rPr>
                <w:rFonts w:ascii="Arial" w:cs="Arial" w:eastAsia="Arial" w:hAnsi="Arial"/>
                <w:sz w:val="18"/>
                <w:szCs w:val="18"/>
                <w:color w:val="auto"/>
              </w:rPr>
              <w:t>$1.7 million - $22.4 million ($16.5 million)</w:t>
            </w:r>
          </w:p>
        </w:tc>
        <w:tc>
          <w:tcPr>
            <w:tcW w:w="0" w:type="dxa"/>
            <w:vAlign w:val="bottom"/>
          </w:tcPr>
          <w:p>
            <w:pPr>
              <w:spacing w:after="0"/>
              <w:rPr>
                <w:sz w:val="1"/>
                <w:szCs w:val="1"/>
                <w:color w:val="auto"/>
              </w:rPr>
            </w:pPr>
          </w:p>
        </w:tc>
      </w:tr>
      <w:tr>
        <w:trPr>
          <w:trHeight w:val="79"/>
        </w:trPr>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0" w:type="dxa"/>
            <w:vAlign w:val="bottom"/>
            <w:gridSpan w:val="2"/>
            <w:vMerge w:val="continue"/>
          </w:tcPr>
          <w:p>
            <w:pPr>
              <w:spacing w:after="0"/>
              <w:rPr>
                <w:sz w:val="6"/>
                <w:szCs w:val="6"/>
                <w:color w:val="auto"/>
              </w:rPr>
            </w:pPr>
          </w:p>
        </w:tc>
        <w:tc>
          <w:tcPr>
            <w:tcW w:w="42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Revenue Multiple</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w w:val="93"/>
              </w:rPr>
              <w:t>0.2x</w:t>
            </w:r>
          </w:p>
        </w:tc>
        <w:tc>
          <w:tcPr>
            <w:tcW w:w="3800" w:type="dxa"/>
            <w:vAlign w:val="bottom"/>
          </w:tcPr>
          <w:p>
            <w:pPr>
              <w:ind w:left="20"/>
              <w:spacing w:after="0"/>
              <w:rPr>
                <w:sz w:val="20"/>
                <w:szCs w:val="20"/>
                <w:color w:val="auto"/>
              </w:rPr>
            </w:pPr>
            <w:r>
              <w:rPr>
                <w:rFonts w:ascii="Arial" w:cs="Arial" w:eastAsia="Arial" w:hAnsi="Arial"/>
                <w:sz w:val="18"/>
                <w:szCs w:val="18"/>
                <w:color w:val="auto"/>
              </w:rPr>
              <w:t>– 1.3x (0.8x)</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Revenue</w:t>
            </w:r>
          </w:p>
        </w:tc>
        <w:tc>
          <w:tcPr>
            <w:tcW w:w="4260" w:type="dxa"/>
            <w:vAlign w:val="bottom"/>
            <w:gridSpan w:val="3"/>
          </w:tcPr>
          <w:p>
            <w:pPr>
              <w:ind w:left="120"/>
              <w:spacing w:after="0"/>
              <w:rPr>
                <w:sz w:val="20"/>
                <w:szCs w:val="20"/>
                <w:color w:val="auto"/>
              </w:rPr>
            </w:pPr>
            <w:r>
              <w:rPr>
                <w:rFonts w:ascii="Arial" w:cs="Arial" w:eastAsia="Arial" w:hAnsi="Arial"/>
                <w:sz w:val="18"/>
                <w:szCs w:val="18"/>
                <w:color w:val="auto"/>
              </w:rPr>
              <w:t>$11.1 million - $1,377.1 million ($61.6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(1)  $4.8 million in first lien debt, $0.9 million in second lien debt, and $4.4 million in equity and warrants were valued using the asset approach.</w:t>
      </w:r>
    </w:p>
    <w:p>
      <w:pPr>
        <w:spacing w:after="0" w:line="23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significant unobservable inputs used in the valuation of the Company’s investments are required rate of return, adjusted EBITDA, EBITDA multiples, revenue, revenue multiples, and leverage ratios.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or revenue multiples will result in a higher (lower) estimate of fair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20, 2018, the Company and Trinity Universal Insurance Company (“Trinity”), a subsidiary of Kemper Corporation, entered into a limited liability company agreement (the “LLC Agreement”) to co-manage CSLF II. The purpose and design of the joint venture was to invest primarily in senior secured first-out loans. The Company and Trinity committed to provide $25.0 million of equity to CSLF II, with the Company providing $20.0 million and Trinity providing $5.0 million. The Company and Trinity each appointed two members to CSLF II’s four-person board of directors and investment committee. All material decisions with respect to CSLF II, including those involving its investment portfolio, required approval of a member on the board of directors and investment committee of at least one member representing the Company and Trinity,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ind w:firstLine="648"/>
        <w:spacing w:after="0" w:line="279" w:lineRule="auto"/>
        <w:rPr>
          <w:sz w:val="20"/>
          <w:szCs w:val="20"/>
          <w:color w:val="auto"/>
        </w:rPr>
      </w:pPr>
      <w:r>
        <w:rPr>
          <w:rFonts w:ascii="Arial" w:cs="Arial" w:eastAsia="Arial" w:hAnsi="Arial"/>
          <w:sz w:val="17"/>
          <w:szCs w:val="17"/>
          <w:color w:val="auto"/>
        </w:rPr>
        <w:t>In May 2020, the Company and Trinity elected to wind-down operations of CSLF II. On June 1, 2020, CSLF II sold its existing assets with the Company and Trinity, each purchasing approximately 50% of CSLF II’s debt investments at their par value. On June 12, 2020, CSLF II declared final distributions and returned all remaining capital of $13.1 million and $3.3 million to the Company and Trinity, respectively. The Company’s equity investment in CSLF II was not redeemable. On June 12, 2020, the capital commitments for the Company and Trinity were terminated.</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September 3, 2019, CSLF II entered into a senior secured revolving credit facility (the “CSLF II Credit Facility”) with KeyBank Specialty Finance Lending, an affiliate of KeyCorp. The CSLF II Credit Facility provided for borrowings up to $60.0 million, subject to certain borrowing base restrictions. Borrowings under the CSLF II Credit Facility bore interest at a rate of one-month LIBOR + 2.25%. Prior to the termination of the CSLF II Credit Facility, CSLF II incurred unused fees of .35% when utilization of the CSLF II Credit Facility exceeded 50% and .65% when utilization of the CSLF</w:t>
      </w:r>
    </w:p>
    <w:p>
      <w:pPr>
        <w:spacing w:after="0" w:line="1" w:lineRule="exact"/>
        <w:rPr>
          <w:sz w:val="20"/>
          <w:szCs w:val="20"/>
          <w:color w:val="auto"/>
        </w:rPr>
      </w:pPr>
    </w:p>
    <w:p>
      <w:pPr>
        <w:ind w:firstLine="8"/>
        <w:spacing w:after="0" w:line="260" w:lineRule="auto"/>
        <w:tabs>
          <w:tab w:leader="none" w:pos="1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 Facility was less than 50%. On June 5, 2020, CSLF II terminated the CSLF II Credit Facility and repaid all amounts outstanding. For the three months ended March 31, 2021 and 2020, CSLF II incurred interest and financing expenses of $0.0 and $0.2 million, respectively.</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3, 2019, the Company and Trinity committed to provide $25.0 million of subordinated debt (the “Subordinated Notes”) to CSLF II, with the Company providing $5.0 million and Trinity providing $20.0 million. The Subordinated Notes were scheduled to mature on September 3, 2024, however, the Subordinated Notes were terminated on June 12, 2020. For the three months ended March 31, 2021 and 2020, CSLF II did not incur any interest and financing expenses related to the Subordinated Notes.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are the unaudited statements of operations for CSLF II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gridSpan w:val="7"/>
          </w:tcPr>
          <w:p>
            <w:pPr>
              <w:ind w:left="22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191"/>
        </w:trPr>
        <w:tc>
          <w:tcPr>
            <w:tcW w:w="54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10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March 31,</w:t>
            </w: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41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0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10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3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 income</w:t>
            </w:r>
          </w:p>
        </w:tc>
        <w:tc>
          <w:tcPr>
            <w:tcW w:w="30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Interest and financing expenses</w:t>
            </w:r>
          </w:p>
        </w:tc>
        <w:tc>
          <w:tcPr>
            <w:tcW w:w="410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3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expenses</w:t>
            </w:r>
          </w:p>
        </w:tc>
        <w:tc>
          <w:tcPr>
            <w:tcW w:w="30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30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w w:val="96"/>
              </w:rPr>
              <w:t>NET INCREASE IN NET ASSETS RESULTING FROM OPERATIONS</w:t>
            </w:r>
          </w:p>
        </w:tc>
        <w:tc>
          <w:tcPr>
            <w:tcW w:w="300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0" w:type="dxa"/>
            <w:vAlign w:val="bottom"/>
            <w:vMerge w:val="restart"/>
          </w:tcPr>
          <w:p>
            <w:pPr>
              <w:jc w:val="right"/>
              <w:ind w:right="2630"/>
              <w:spacing w:after="0"/>
              <w:rPr>
                <w:sz w:val="20"/>
                <w:szCs w:val="20"/>
                <w:color w:val="auto"/>
              </w:rPr>
            </w:pPr>
            <w:r>
              <w:rPr>
                <w:rFonts w:ascii="Arial" w:cs="Arial" w:eastAsia="Arial" w:hAnsi="Arial"/>
                <w:sz w:val="18"/>
                <w:szCs w:val="18"/>
                <w:color w:val="auto"/>
              </w:rPr>
              <w:t>33</w:t>
            </w: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During the three months ended March 31, 2021, the Company had investments in portfolio companies designated as affiliates under the 1940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Amount of</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0"/>
              </w:rPr>
              <w:t>Interest, Fees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1"/>
              </w:rPr>
              <w:t>or Dividends</w:t>
            </w: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December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61"/>
              <w:spacing w:after="0"/>
              <w:rPr>
                <w:sz w:val="20"/>
                <w:szCs w:val="20"/>
                <w:color w:val="auto"/>
              </w:rPr>
            </w:pPr>
            <w:r>
              <w:rPr>
                <w:rFonts w:ascii="Arial" w:cs="Arial" w:eastAsia="Arial" w:hAnsi="Arial"/>
                <w:sz w:val="13"/>
                <w:szCs w:val="13"/>
                <w:b w:val="1"/>
                <w:bCs w:val="1"/>
                <w:color w:val="auto"/>
                <w:w w:val="90"/>
              </w:rPr>
              <w:t>Gross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73"/>
              <w:spacing w:after="0"/>
              <w:rPr>
                <w:sz w:val="20"/>
                <w:szCs w:val="20"/>
                <w:color w:val="auto"/>
              </w:rPr>
            </w:pPr>
            <w:r>
              <w:rPr>
                <w:rFonts w:ascii="Arial" w:cs="Arial" w:eastAsia="Arial" w:hAnsi="Arial"/>
                <w:sz w:val="13"/>
                <w:szCs w:val="13"/>
                <w:b w:val="1"/>
                <w:bCs w:val="1"/>
                <w:color w:val="auto"/>
                <w:w w:val="94"/>
              </w:rPr>
              <w:t>Unrealized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48"/>
        </w:trPr>
        <w:tc>
          <w:tcPr>
            <w:tcW w:w="1600" w:type="dxa"/>
            <w:vAlign w:val="bottom"/>
            <w:gridSpan w:val="3"/>
            <w:vMerge w:val="restart"/>
          </w:tcPr>
          <w:p>
            <w:pPr>
              <w:ind w:left="380"/>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22"/>
                <w:szCs w:val="22"/>
                <w:b w:val="1"/>
                <w:bCs w:val="1"/>
                <w:color w:val="auto"/>
                <w:vertAlign w:val="superscript"/>
              </w:rPr>
              <w:t>(4)</w:t>
            </w: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Principal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Credited to</w:t>
            </w:r>
          </w:p>
        </w:tc>
        <w:tc>
          <w:tcPr>
            <w:tcW w:w="8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31, 2020 Fair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Gross</w:t>
            </w:r>
          </w:p>
        </w:tc>
        <w:tc>
          <w:tcPr>
            <w:tcW w:w="900" w:type="dxa"/>
            <w:vAlign w:val="bottom"/>
            <w:gridSpan w:val="3"/>
          </w:tcPr>
          <w:p>
            <w:pPr>
              <w:jc w:val="center"/>
              <w:ind w:right="101"/>
              <w:spacing w:after="0"/>
              <w:rPr>
                <w:sz w:val="20"/>
                <w:szCs w:val="20"/>
                <w:color w:val="auto"/>
              </w:rPr>
            </w:pPr>
            <w:r>
              <w:rPr>
                <w:rFonts w:ascii="Arial" w:cs="Arial" w:eastAsia="Arial" w:hAnsi="Arial"/>
                <w:sz w:val="13"/>
                <w:szCs w:val="13"/>
                <w:b w:val="1"/>
                <w:bCs w:val="1"/>
                <w:color w:val="auto"/>
                <w:w w:val="90"/>
              </w:rPr>
              <w:t>Reductions</w:t>
            </w:r>
          </w:p>
        </w:tc>
        <w:tc>
          <w:tcPr>
            <w:tcW w:w="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Realized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rPr>
              <w:t>Appreciation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2021 Fair</w:t>
            </w:r>
          </w:p>
        </w:tc>
        <w:tc>
          <w:tcPr>
            <w:tcW w:w="0" w:type="dxa"/>
            <w:vAlign w:val="bottom"/>
          </w:tcPr>
          <w:p>
            <w:pPr>
              <w:spacing w:after="0"/>
              <w:rPr>
                <w:sz w:val="1"/>
                <w:szCs w:val="1"/>
                <w:color w:val="auto"/>
              </w:rPr>
            </w:pPr>
          </w:p>
        </w:tc>
      </w:tr>
      <w:tr>
        <w:trPr>
          <w:trHeight w:val="176"/>
        </w:trPr>
        <w:tc>
          <w:tcPr>
            <w:tcW w:w="1600" w:type="dxa"/>
            <w:vAlign w:val="bottom"/>
            <w:gridSpan w:val="3"/>
            <w:vMerge w:val="continue"/>
          </w:tcPr>
          <w:p>
            <w:pPr>
              <w:spacing w:after="0"/>
              <w:rPr>
                <w:sz w:val="15"/>
                <w:szCs w:val="15"/>
                <w:color w:val="auto"/>
              </w:rPr>
            </w:pPr>
          </w:p>
        </w:tc>
        <w:tc>
          <w:tcPr>
            <w:tcW w:w="1700" w:type="dxa"/>
            <w:vAlign w:val="bottom"/>
            <w:gridSpan w:val="2"/>
          </w:tcPr>
          <w:p>
            <w:pPr>
              <w:ind w:left="240"/>
              <w:spacing w:after="0"/>
              <w:rPr>
                <w:sz w:val="20"/>
                <w:szCs w:val="20"/>
                <w:color w:val="auto"/>
              </w:rPr>
            </w:pPr>
            <w:r>
              <w:rPr>
                <w:rFonts w:ascii="Arial" w:cs="Arial" w:eastAsia="Arial" w:hAnsi="Arial"/>
                <w:sz w:val="13"/>
                <w:szCs w:val="13"/>
                <w:b w:val="1"/>
                <w:bCs w:val="1"/>
                <w:color w:val="auto"/>
              </w:rPr>
              <w:t>Type of Investment</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320"/>
              <w:spacing w:after="0" w:line="176" w:lineRule="exact"/>
              <w:rPr>
                <w:sz w:val="20"/>
                <w:szCs w:val="20"/>
                <w:color w:val="auto"/>
              </w:rPr>
            </w:pPr>
            <w:r>
              <w:rPr>
                <w:rFonts w:ascii="Arial" w:cs="Arial" w:eastAsia="Arial" w:hAnsi="Arial"/>
                <w:sz w:val="12"/>
                <w:szCs w:val="12"/>
                <w:b w:val="1"/>
                <w:bCs w:val="1"/>
                <w:color w:val="auto"/>
                <w:w w:val="97"/>
              </w:rPr>
              <w:t xml:space="preserve">Income </w:t>
            </w:r>
            <w:r>
              <w:rPr>
                <w:rFonts w:ascii="Arial" w:cs="Arial" w:eastAsia="Arial" w:hAnsi="Arial"/>
                <w:sz w:val="20"/>
                <w:szCs w:val="20"/>
                <w:b w:val="1"/>
                <w:bCs w:val="1"/>
                <w:color w:val="auto"/>
                <w:w w:val="97"/>
                <w:vertAlign w:val="superscript"/>
              </w:rPr>
              <w:t>(1)</w:t>
            </w:r>
          </w:p>
        </w:tc>
        <w:tc>
          <w:tcPr>
            <w:tcW w:w="8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5"/>
                <w:szCs w:val="15"/>
                <w:color w:val="auto"/>
              </w:rPr>
            </w:pPr>
          </w:p>
        </w:tc>
        <w:tc>
          <w:tcPr>
            <w:tcW w:w="1000" w:type="dxa"/>
            <w:vAlign w:val="bottom"/>
            <w:gridSpan w:val="3"/>
          </w:tcPr>
          <w:p>
            <w:pPr>
              <w:jc w:val="center"/>
              <w:ind w:right="220"/>
              <w:spacing w:after="0" w:line="176" w:lineRule="exact"/>
              <w:rPr>
                <w:sz w:val="20"/>
                <w:szCs w:val="20"/>
                <w:color w:val="auto"/>
              </w:rPr>
            </w:pPr>
            <w:r>
              <w:rPr>
                <w:rFonts w:ascii="Arial" w:cs="Arial" w:eastAsia="Arial" w:hAnsi="Arial"/>
                <w:sz w:val="12"/>
                <w:szCs w:val="12"/>
                <w:b w:val="1"/>
                <w:bCs w:val="1"/>
                <w:color w:val="auto"/>
                <w:w w:val="98"/>
              </w:rPr>
              <w:t xml:space="preserve">Additions </w:t>
            </w:r>
            <w:r>
              <w:rPr>
                <w:rFonts w:ascii="Arial" w:cs="Arial" w:eastAsia="Arial" w:hAnsi="Arial"/>
                <w:sz w:val="20"/>
                <w:szCs w:val="20"/>
                <w:b w:val="1"/>
                <w:bCs w:val="1"/>
                <w:color w:val="auto"/>
                <w:w w:val="98"/>
                <w:vertAlign w:val="superscript"/>
              </w:rPr>
              <w:t>(2)</w:t>
            </w:r>
          </w:p>
        </w:tc>
        <w:tc>
          <w:tcPr>
            <w:tcW w:w="140" w:type="dxa"/>
            <w:vAlign w:val="bottom"/>
          </w:tcPr>
          <w:p>
            <w:pPr>
              <w:spacing w:after="0"/>
              <w:rPr>
                <w:sz w:val="15"/>
                <w:szCs w:val="15"/>
                <w:color w:val="auto"/>
              </w:rPr>
            </w:pPr>
          </w:p>
        </w:tc>
        <w:tc>
          <w:tcPr>
            <w:tcW w:w="620" w:type="dxa"/>
            <w:vAlign w:val="bottom"/>
          </w:tcPr>
          <w:p>
            <w:pPr>
              <w:jc w:val="center"/>
              <w:ind w:right="73"/>
              <w:spacing w:after="0"/>
              <w:rPr>
                <w:sz w:val="20"/>
                <w:szCs w:val="20"/>
                <w:color w:val="auto"/>
              </w:rPr>
            </w:pPr>
            <w:r>
              <w:rPr>
                <w:rFonts w:ascii="Arial" w:cs="Arial" w:eastAsia="Arial" w:hAnsi="Arial"/>
                <w:sz w:val="11"/>
                <w:szCs w:val="11"/>
                <w:b w:val="1"/>
                <w:bCs w:val="1"/>
                <w:color w:val="auto"/>
                <w:w w:val="88"/>
              </w:rPr>
              <w:t>(3)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5"/>
              </w:rPr>
              <w:t>Gain/(Loss)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3"/>
                <w:szCs w:val="13"/>
                <w:b w:val="1"/>
                <w:bCs w:val="1"/>
                <w:color w:val="auto"/>
              </w:rPr>
              <w:t>(Depreciation)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28"/>
        </w:trPr>
        <w:tc>
          <w:tcPr>
            <w:tcW w:w="14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i w:val="1"/>
                <w:iCs w:val="1"/>
                <w:color w:val="auto"/>
              </w:rPr>
              <w:t>Affiliate investments</w:t>
            </w:r>
          </w:p>
        </w:tc>
        <w:tc>
          <w:tcPr>
            <w:tcW w:w="12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40" w:type="dxa"/>
            <w:vAlign w:val="bottom"/>
            <w:tcBorders>
              <w:top w:val="single" w:sz="8" w:color="auto"/>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5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Burgaflex Holdings, LLC</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First Lien Debt (12.0%</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3.0% PIK, Due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3/23/21)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13,597</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3"/>
                <w:szCs w:val="13"/>
                <w:color w:val="auto"/>
              </w:rPr>
              <w:t>(13,597)</w:t>
            </w:r>
          </w:p>
        </w:tc>
        <w:tc>
          <w:tcPr>
            <w:tcW w:w="800" w:type="dxa"/>
            <w:vAlign w:val="bottom"/>
            <w:gridSpan w:val="2"/>
            <w:shd w:val="clear" w:color="auto" w:fill="CCEEFF"/>
          </w:tcPr>
          <w:p>
            <w:pPr>
              <w:jc w:val="right"/>
              <w:ind w:right="593"/>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Burgaflex Holdings, LLC</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Common Stock Class B</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(1,085,073 shares)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1,411</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Burgaflex Holdings, LLC</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Common Stock Class A</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(1,253,198 shares)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62"/>
        </w:trPr>
        <w:tc>
          <w:tcPr>
            <w:tcW w:w="11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152</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14,935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(13,597</w:t>
            </w:r>
          </w:p>
        </w:tc>
        <w:tc>
          <w:tcPr>
            <w:tcW w:w="140" w:type="dxa"/>
            <w:vAlign w:val="bottom"/>
            <w:shd w:val="clear" w:color="auto" w:fill="CCEEFF"/>
          </w:tcPr>
          <w:p>
            <w:pPr>
              <w:jc w:val="right"/>
              <w:ind w:right="61"/>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371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City Gear, LLC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Membership Unit Warrants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2,011</w:t>
            </w:r>
          </w:p>
        </w:tc>
        <w:tc>
          <w:tcPr>
            <w:tcW w:w="0" w:type="dxa"/>
            <w:vAlign w:val="bottom"/>
          </w:tcPr>
          <w:p>
            <w:pPr>
              <w:spacing w:after="0"/>
              <w:rPr>
                <w:sz w:val="1"/>
                <w:szCs w:val="1"/>
                <w:color w:val="auto"/>
              </w:rPr>
            </w:pPr>
          </w:p>
        </w:tc>
      </w:tr>
      <w:tr>
        <w:trPr>
          <w:trHeight w:val="162"/>
        </w:trPr>
        <w:tc>
          <w:tcPr>
            <w:tcW w:w="11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2,011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2,011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Eastport Holdings, LLC</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Second Lien Debt (13.5%</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(3 month LIBOR +</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13.0%, 0.5% Floor), Due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12/29/21)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599</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16,500</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Eastport Holdings, LLC</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Membership Units (22.9%</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ownership)</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20,294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21,906</w:t>
            </w:r>
          </w:p>
        </w:tc>
        <w:tc>
          <w:tcPr>
            <w:tcW w:w="0" w:type="dxa"/>
            <w:vAlign w:val="bottom"/>
          </w:tcPr>
          <w:p>
            <w:pPr>
              <w:spacing w:after="0"/>
              <w:rPr>
                <w:sz w:val="1"/>
                <w:szCs w:val="1"/>
                <w:color w:val="auto"/>
              </w:rPr>
            </w:pPr>
          </w:p>
        </w:tc>
      </w:tr>
      <w:tr>
        <w:trPr>
          <w:trHeight w:val="162"/>
        </w:trPr>
        <w:tc>
          <w:tcPr>
            <w:tcW w:w="11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599</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36,794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43</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1,569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38,406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GA Communications, Inc.</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Series A-1 Preferred Stock</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(1,998 shares)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4,145</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GA Communications, Inc.</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Series B-1 Common Stock</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(200,000 shares)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297</w:t>
            </w:r>
          </w:p>
        </w:tc>
        <w:tc>
          <w:tcPr>
            <w:tcW w:w="0" w:type="dxa"/>
            <w:vAlign w:val="bottom"/>
          </w:tcPr>
          <w:p>
            <w:pPr>
              <w:spacing w:after="0"/>
              <w:rPr>
                <w:sz w:val="1"/>
                <w:szCs w:val="1"/>
                <w:color w:val="auto"/>
              </w:rPr>
            </w:pPr>
          </w:p>
        </w:tc>
      </w:tr>
      <w:tr>
        <w:trPr>
          <w:trHeight w:val="162"/>
        </w:trPr>
        <w:tc>
          <w:tcPr>
            <w:tcW w:w="11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4,212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230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4,442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LJS Partners, LLC</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Preferred Units (195,653</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783</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LJS Partners, LLC</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Common Membership Units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(2,593,234 units)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4,896</w:t>
            </w:r>
          </w:p>
        </w:tc>
        <w:tc>
          <w:tcPr>
            <w:tcW w:w="0" w:type="dxa"/>
            <w:vAlign w:val="bottom"/>
          </w:tcPr>
          <w:p>
            <w:pPr>
              <w:spacing w:after="0"/>
              <w:rPr>
                <w:sz w:val="1"/>
                <w:szCs w:val="1"/>
                <w:color w:val="auto"/>
              </w:rPr>
            </w:pPr>
          </w:p>
        </w:tc>
      </w:tr>
      <w:tr>
        <w:trPr>
          <w:trHeight w:val="162"/>
        </w:trPr>
        <w:tc>
          <w:tcPr>
            <w:tcW w:w="11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4,707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972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5,679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MMI Holdings, LLC</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First Lien Debt (12.0%</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Due 9/30/21)</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2,600</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MMI Holdings, LLC</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Second Lien Debt (6.0%</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Due 9/30/21)</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color w:val="auto"/>
              </w:rPr>
              <w:t xml:space="preserve">MMI Holdings, LLC </w:t>
            </w:r>
            <w:r>
              <w:rPr>
                <w:rFonts w:ascii="Arial" w:cs="Arial" w:eastAsia="Arial" w:hAnsi="Arial"/>
                <w:sz w:val="17"/>
                <w:szCs w:val="17"/>
                <w:color w:val="auto"/>
                <w:vertAlign w:val="superscript"/>
              </w:rPr>
              <w:t>(5)</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Preferred Units (1,000 units,</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1,815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26</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1,841</w:t>
            </w: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6.0% PIK Dividend)</w:t>
            </w:r>
          </w:p>
        </w:tc>
        <w:tc>
          <w:tcPr>
            <w:tcW w:w="10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MMI Holdings, LLC</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Common Membership Units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(45 units)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(106)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62"/>
        </w:trPr>
        <w:tc>
          <w:tcPr>
            <w:tcW w:w="11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85</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5,019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26</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(106</w:t>
            </w:r>
          </w:p>
        </w:tc>
        <w:tc>
          <w:tcPr>
            <w:tcW w:w="14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4,939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Navis Holdings, Inc.</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First Lien Debt (9.0% Cash,</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 PIK, Due 6/30/23)</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11,086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249</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55</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11,086</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Navis Holdings, Inc.</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Class A Preferred Stock</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(1,000 shares)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Navis Holdings, Inc.</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Common Stock (60,000</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162"/>
        </w:trPr>
        <w:tc>
          <w:tcPr>
            <w:tcW w:w="11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349</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11,868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55</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626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12,549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Nth Degree Investment</w:t>
            </w:r>
          </w:p>
        </w:tc>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Membership Units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Group, LLC</w:t>
            </w:r>
          </w:p>
        </w:tc>
        <w:tc>
          <w:tcPr>
            <w:tcW w:w="1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(6,088,000 Units)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1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1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RAM Payment, LLC</w:t>
            </w:r>
          </w:p>
        </w:tc>
        <w:tc>
          <w:tcPr>
            <w:tcW w:w="1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First Lien Debt (6.5%</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Cash (1 month LIBOR +</w:t>
            </w: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5.0%), 1.5% Floor), Due</w:t>
            </w: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1/4/24)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2,109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38</w:t>
            </w: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2,451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4"/>
                <w:szCs w:val="14"/>
                <w:color w:val="auto"/>
              </w:rPr>
              <w:t>(342)</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2,109</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gridSpan w:val="4"/>
            <w:shd w:val="clear" w:color="auto" w:fill="CCEEFF"/>
          </w:tcPr>
          <w:p>
            <w:pPr>
              <w:spacing w:after="0" w:line="138" w:lineRule="exact"/>
              <w:rPr>
                <w:sz w:val="20"/>
                <w:szCs w:val="20"/>
                <w:color w:val="auto"/>
              </w:rPr>
            </w:pPr>
            <w:r>
              <w:rPr>
                <w:rFonts w:ascii="Arial" w:cs="Arial" w:eastAsia="Arial" w:hAnsi="Arial"/>
                <w:sz w:val="13"/>
                <w:szCs w:val="13"/>
                <w:color w:val="auto"/>
              </w:rPr>
              <w:t>RAM Payment, LLC</w:t>
            </w:r>
          </w:p>
        </w:tc>
        <w:tc>
          <w:tcPr>
            <w:tcW w:w="1680" w:type="dxa"/>
            <w:vAlign w:val="bottom"/>
            <w:shd w:val="clear" w:color="auto" w:fill="CCEEFF"/>
          </w:tcPr>
          <w:p>
            <w:pPr>
              <w:ind w:left="60"/>
              <w:spacing w:after="0" w:line="138" w:lineRule="exact"/>
              <w:rPr>
                <w:sz w:val="20"/>
                <w:szCs w:val="20"/>
                <w:color w:val="auto"/>
              </w:rPr>
            </w:pPr>
            <w:r>
              <w:rPr>
                <w:rFonts w:ascii="Arial" w:cs="Arial" w:eastAsia="Arial" w:hAnsi="Arial"/>
                <w:sz w:val="13"/>
                <w:szCs w:val="13"/>
                <w:color w:val="auto"/>
              </w:rPr>
              <w:t>First Lien Debt (9.8% Cash,</w:t>
            </w: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Due 1/4/24)</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3"/>
                <w:szCs w:val="13"/>
                <w:color w:val="auto"/>
              </w:rPr>
              <w:t>5,719</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156</w:t>
            </w: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(927)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5,719</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gridSpan w:val="4"/>
            <w:shd w:val="clear" w:color="auto" w:fill="CCEEFF"/>
          </w:tcPr>
          <w:p>
            <w:pPr>
              <w:spacing w:after="0" w:line="149" w:lineRule="exact"/>
              <w:rPr>
                <w:sz w:val="20"/>
                <w:szCs w:val="20"/>
                <w:color w:val="auto"/>
              </w:rPr>
            </w:pPr>
            <w:r>
              <w:rPr>
                <w:rFonts w:ascii="Arial" w:cs="Arial" w:eastAsia="Arial" w:hAnsi="Arial"/>
                <w:sz w:val="11"/>
                <w:szCs w:val="11"/>
                <w:color w:val="auto"/>
              </w:rPr>
              <w:t xml:space="preserve">RAM Payment, LLC </w:t>
            </w:r>
            <w:r>
              <w:rPr>
                <w:rFonts w:ascii="Arial" w:cs="Arial" w:eastAsia="Arial" w:hAnsi="Arial"/>
                <w:sz w:val="17"/>
                <w:szCs w:val="17"/>
                <w:color w:val="auto"/>
                <w:vertAlign w:val="superscript"/>
              </w:rPr>
              <w:t>(5)</w:t>
            </w:r>
          </w:p>
        </w:tc>
        <w:tc>
          <w:tcPr>
            <w:tcW w:w="1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Preferred Units (86,000</w:t>
            </w:r>
          </w:p>
        </w:tc>
        <w:tc>
          <w:tcPr>
            <w:tcW w:w="3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52"/>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55</w:t>
            </w:r>
          </w:p>
        </w:tc>
        <w:tc>
          <w:tcPr>
            <w:tcW w:w="2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2,874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17</w:t>
            </w:r>
          </w:p>
        </w:tc>
        <w:tc>
          <w:tcPr>
            <w:tcW w:w="2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8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3,223</w:t>
            </w: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units, 8.0% PIK Dividend)</w:t>
            </w:r>
          </w:p>
        </w:tc>
        <w:tc>
          <w:tcPr>
            <w:tcW w:w="38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249</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11,971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(1,269</w:t>
            </w:r>
          </w:p>
        </w:tc>
        <w:tc>
          <w:tcPr>
            <w:tcW w:w="120" w:type="dxa"/>
            <w:vAlign w:val="bottom"/>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332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11,051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gridSpan w:val="4"/>
            <w:shd w:val="clear" w:color="auto" w:fill="CCEEFF"/>
          </w:tcPr>
          <w:p>
            <w:pPr>
              <w:spacing w:after="0" w:line="138" w:lineRule="exact"/>
              <w:rPr>
                <w:sz w:val="20"/>
                <w:szCs w:val="20"/>
                <w:color w:val="auto"/>
              </w:rPr>
            </w:pPr>
            <w:r>
              <w:rPr>
                <w:rFonts w:ascii="Arial" w:cs="Arial" w:eastAsia="Arial" w:hAnsi="Arial"/>
                <w:sz w:val="13"/>
                <w:szCs w:val="13"/>
                <w:color w:val="auto"/>
              </w:rPr>
              <w:t>Sierra Hamilton Holdings</w:t>
            </w:r>
          </w:p>
        </w:tc>
        <w:tc>
          <w:tcPr>
            <w:tcW w:w="1680" w:type="dxa"/>
            <w:vAlign w:val="bottom"/>
            <w:shd w:val="clear" w:color="auto" w:fill="CCEEFF"/>
          </w:tcPr>
          <w:p>
            <w:pPr>
              <w:ind w:left="60"/>
              <w:spacing w:after="0" w:line="138" w:lineRule="exact"/>
              <w:rPr>
                <w:sz w:val="20"/>
                <w:szCs w:val="20"/>
                <w:color w:val="auto"/>
              </w:rPr>
            </w:pPr>
            <w:r>
              <w:rPr>
                <w:rFonts w:ascii="Arial" w:cs="Arial" w:eastAsia="Arial" w:hAnsi="Arial"/>
                <w:sz w:val="13"/>
                <w:szCs w:val="13"/>
                <w:color w:val="auto"/>
              </w:rPr>
              <w:t>Second Lien Debt (15.0%,</w:t>
            </w: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5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Corporation</w:t>
            </w:r>
          </w:p>
        </w:tc>
        <w:tc>
          <w:tcPr>
            <w:tcW w:w="1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Due 9/12/23)</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3"/>
                <w:szCs w:val="13"/>
                <w:color w:val="auto"/>
              </w:rPr>
              <w:t>394</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27</w:t>
            </w: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gridSpan w:val="4"/>
            <w:shd w:val="clear" w:color="auto" w:fill="CCEEFF"/>
          </w:tcPr>
          <w:p>
            <w:pPr>
              <w:spacing w:after="0" w:line="138" w:lineRule="exact"/>
              <w:rPr>
                <w:sz w:val="20"/>
                <w:szCs w:val="20"/>
                <w:color w:val="auto"/>
              </w:rPr>
            </w:pPr>
            <w:r>
              <w:rPr>
                <w:rFonts w:ascii="Arial" w:cs="Arial" w:eastAsia="Arial" w:hAnsi="Arial"/>
                <w:sz w:val="13"/>
                <w:szCs w:val="13"/>
                <w:color w:val="auto"/>
              </w:rPr>
              <w:t>Sierra Hamilton Holdings</w:t>
            </w:r>
          </w:p>
        </w:tc>
        <w:tc>
          <w:tcPr>
            <w:tcW w:w="1680" w:type="dxa"/>
            <w:vAlign w:val="bottom"/>
            <w:shd w:val="clear" w:color="auto" w:fill="CCEEFF"/>
          </w:tcPr>
          <w:p>
            <w:pPr>
              <w:ind w:left="60"/>
              <w:spacing w:after="0" w:line="138" w:lineRule="exact"/>
              <w:rPr>
                <w:sz w:val="20"/>
                <w:szCs w:val="20"/>
                <w:color w:val="auto"/>
              </w:rPr>
            </w:pPr>
            <w:r>
              <w:rPr>
                <w:rFonts w:ascii="Arial" w:cs="Arial" w:eastAsia="Arial" w:hAnsi="Arial"/>
                <w:sz w:val="13"/>
                <w:szCs w:val="13"/>
                <w:color w:val="auto"/>
                <w:w w:val="98"/>
              </w:rPr>
              <w:t>Common Stock (15,068,000</w:t>
            </w: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5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Corporation</w:t>
            </w:r>
          </w:p>
        </w:tc>
        <w:tc>
          <w:tcPr>
            <w:tcW w:w="1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shares)</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955</w:t>
            </w:r>
          </w:p>
        </w:tc>
        <w:tc>
          <w:tcPr>
            <w:tcW w:w="0" w:type="dxa"/>
            <w:vAlign w:val="bottom"/>
          </w:tcPr>
          <w:p>
            <w:pPr>
              <w:spacing w:after="0"/>
              <w:rPr>
                <w:sz w:val="1"/>
                <w:szCs w:val="1"/>
                <w:color w:val="auto"/>
              </w:rPr>
            </w:pPr>
          </w:p>
        </w:tc>
      </w:tr>
      <w:tr>
        <w:trPr>
          <w:trHeight w:val="162"/>
        </w:trPr>
        <w:tc>
          <w:tcPr>
            <w:tcW w:w="1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27</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1,418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(59</w:t>
            </w:r>
          </w:p>
        </w:tc>
        <w:tc>
          <w:tcPr>
            <w:tcW w:w="120" w:type="dxa"/>
            <w:vAlign w:val="bottom"/>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1,340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V12 Holdings, Inc.</w:t>
            </w:r>
          </w:p>
        </w:tc>
        <w:tc>
          <w:tcPr>
            <w:tcW w:w="1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Second Lien Debt</w:t>
            </w: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490</w:t>
            </w:r>
          </w:p>
        </w:tc>
        <w:tc>
          <w:tcPr>
            <w:tcW w:w="0" w:type="dxa"/>
            <w:vAlign w:val="bottom"/>
          </w:tcPr>
          <w:p>
            <w:pPr>
              <w:spacing w:after="0"/>
              <w:rPr>
                <w:sz w:val="1"/>
                <w:szCs w:val="1"/>
                <w:color w:val="auto"/>
              </w:rPr>
            </w:pPr>
          </w:p>
        </w:tc>
      </w:tr>
      <w:tr>
        <w:trPr>
          <w:trHeight w:val="162"/>
        </w:trPr>
        <w:tc>
          <w:tcPr>
            <w:tcW w:w="1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490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60" w:type="dxa"/>
            <w:vAlign w:val="bottom"/>
            <w:tcBorders>
              <w:bottom w:val="single" w:sz="8" w:color="auto"/>
            </w:tcBorders>
            <w:gridSpan w:val="3"/>
            <w:shd w:val="clear" w:color="auto" w:fill="CCEEFF"/>
          </w:tcPr>
          <w:p>
            <w:pPr>
              <w:spacing w:after="0" w:line="95" w:lineRule="exact"/>
              <w:rPr>
                <w:sz w:val="20"/>
                <w:szCs w:val="20"/>
                <w:color w:val="auto"/>
              </w:rPr>
            </w:pPr>
            <w:r>
              <w:rPr>
                <w:rFonts w:ascii="Arial" w:cs="Arial" w:eastAsia="Arial" w:hAnsi="Arial"/>
                <w:sz w:val="11"/>
                <w:szCs w:val="11"/>
                <w:b w:val="1"/>
                <w:bCs w:val="1"/>
                <w:i w:val="1"/>
                <w:iCs w:val="1"/>
                <w:color w:val="auto"/>
              </w:rPr>
              <w:t>Total Affiliate investments</w:t>
            </w:r>
          </w:p>
        </w:tc>
        <w:tc>
          <w:tcPr>
            <w:tcW w:w="80" w:type="dxa"/>
            <w:vAlign w:val="bottom"/>
            <w:tcBorders>
              <w:bottom w:val="single" w:sz="8" w:color="CCEEFF"/>
            </w:tcBorders>
            <w:shd w:val="clear" w:color="auto" w:fill="CCEEFF"/>
          </w:tcPr>
          <w:p>
            <w:pPr>
              <w:spacing w:after="0"/>
              <w:rPr>
                <w:sz w:val="13"/>
                <w:szCs w:val="13"/>
                <w:color w:val="auto"/>
              </w:rPr>
            </w:pPr>
          </w:p>
        </w:tc>
        <w:tc>
          <w:tcPr>
            <w:tcW w:w="16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gridSpan w:val="2"/>
            <w:shd w:val="clear" w:color="auto" w:fill="CCEEFF"/>
          </w:tcPr>
          <w:p>
            <w:pPr>
              <w:jc w:val="right"/>
              <w:ind w:right="220"/>
              <w:spacing w:after="0" w:line="115"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240"/>
              <w:spacing w:after="0" w:line="115" w:lineRule="exact"/>
              <w:rPr>
                <w:sz w:val="20"/>
                <w:szCs w:val="20"/>
                <w:color w:val="auto"/>
              </w:rPr>
            </w:pPr>
            <w:r>
              <w:rPr>
                <w:rFonts w:ascii="Arial" w:cs="Arial" w:eastAsia="Arial" w:hAnsi="Arial"/>
                <w:sz w:val="13"/>
                <w:szCs w:val="13"/>
                <w:color w:val="auto"/>
              </w:rPr>
              <w:t>1,461</w:t>
            </w:r>
          </w:p>
        </w:tc>
        <w:tc>
          <w:tcPr>
            <w:tcW w:w="24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93,425</w:t>
            </w: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60"/>
              <w:spacing w:after="0" w:line="115"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gridSpan w:val="2"/>
            <w:shd w:val="clear" w:color="auto" w:fill="CCEEFF"/>
          </w:tcPr>
          <w:p>
            <w:pPr>
              <w:jc w:val="right"/>
              <w:ind w:right="200"/>
              <w:spacing w:after="0" w:line="115" w:lineRule="exact"/>
              <w:rPr>
                <w:sz w:val="20"/>
                <w:szCs w:val="20"/>
                <w:color w:val="auto"/>
              </w:rPr>
            </w:pPr>
            <w:r>
              <w:rPr>
                <w:rFonts w:ascii="Arial" w:cs="Arial" w:eastAsia="Arial" w:hAnsi="Arial"/>
                <w:sz w:val="13"/>
                <w:szCs w:val="13"/>
                <w:color w:val="auto"/>
              </w:rPr>
              <w:t>144</w:t>
            </w:r>
          </w:p>
        </w:tc>
        <w:tc>
          <w:tcPr>
            <w:tcW w:w="220" w:type="dxa"/>
            <w:vAlign w:val="bottom"/>
            <w:tcBorders>
              <w:bottom w:val="single" w:sz="8" w:color="CCEEFF"/>
            </w:tcBorders>
            <w:shd w:val="clear" w:color="auto" w:fill="CCEEFF"/>
          </w:tcPr>
          <w:p>
            <w:pPr>
              <w:jc w:val="right"/>
              <w:ind w:right="71"/>
              <w:spacing w:after="0" w:line="115"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(14,925</w:t>
            </w:r>
          </w:p>
        </w:tc>
        <w:tc>
          <w:tcPr>
            <w:tcW w:w="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460" w:type="dxa"/>
            <w:vAlign w:val="bottom"/>
            <w:tcBorders>
              <w:bottom w:val="single" w:sz="8" w:color="CCEEFF"/>
            </w:tcBorders>
            <w:gridSpan w:val="2"/>
            <w:shd w:val="clear" w:color="auto" w:fill="CCEEFF"/>
          </w:tcPr>
          <w:p>
            <w:pPr>
              <w:jc w:val="right"/>
              <w:ind w:right="300"/>
              <w:spacing w:after="0" w:line="115"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220"/>
              <w:spacing w:after="0" w:line="115"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3,972</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160"/>
              <w:spacing w:after="0" w:line="115"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gridSpan w:val="2"/>
            <w:shd w:val="clear" w:color="auto" w:fill="CCEEFF"/>
          </w:tcPr>
          <w:p>
            <w:pPr>
              <w:jc w:val="right"/>
              <w:ind w:right="100"/>
              <w:spacing w:after="0" w:line="115" w:lineRule="exact"/>
              <w:rPr>
                <w:sz w:val="20"/>
                <w:szCs w:val="20"/>
                <w:color w:val="auto"/>
              </w:rPr>
            </w:pPr>
            <w:r>
              <w:rPr>
                <w:rFonts w:ascii="Arial" w:cs="Arial" w:eastAsia="Arial" w:hAnsi="Arial"/>
                <w:sz w:val="13"/>
                <w:szCs w:val="13"/>
                <w:color w:val="auto"/>
              </w:rPr>
              <w:t>82,616</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b w:val="1"/>
                <w:bCs w:val="1"/>
                <w:i w:val="1"/>
                <w:iCs w:val="1"/>
                <w:color w:val="auto"/>
              </w:rPr>
              <w:t>Control investments</w:t>
            </w:r>
          </w:p>
        </w:tc>
        <w:tc>
          <w:tcPr>
            <w:tcW w:w="1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8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gridSpan w:val="4"/>
            <w:shd w:val="clear" w:color="auto" w:fill="CCEEFF"/>
          </w:tcPr>
          <w:p>
            <w:pPr>
              <w:spacing w:after="0" w:line="138" w:lineRule="exact"/>
              <w:rPr>
                <w:sz w:val="20"/>
                <w:szCs w:val="20"/>
                <w:color w:val="auto"/>
              </w:rPr>
            </w:pPr>
            <w:r>
              <w:rPr>
                <w:rFonts w:ascii="Arial" w:cs="Arial" w:eastAsia="Arial" w:hAnsi="Arial"/>
                <w:sz w:val="13"/>
                <w:szCs w:val="13"/>
                <w:color w:val="auto"/>
              </w:rPr>
              <w:t>Vology, Inc.</w:t>
            </w:r>
          </w:p>
        </w:tc>
        <w:tc>
          <w:tcPr>
            <w:tcW w:w="1680" w:type="dxa"/>
            <w:vAlign w:val="bottom"/>
            <w:shd w:val="clear" w:color="auto" w:fill="CCEEFF"/>
          </w:tcPr>
          <w:p>
            <w:pPr>
              <w:ind w:left="60"/>
              <w:spacing w:after="0" w:line="138" w:lineRule="exact"/>
              <w:rPr>
                <w:sz w:val="20"/>
                <w:szCs w:val="20"/>
                <w:color w:val="auto"/>
              </w:rPr>
            </w:pPr>
            <w:r>
              <w:rPr>
                <w:rFonts w:ascii="Arial" w:cs="Arial" w:eastAsia="Arial" w:hAnsi="Arial"/>
                <w:sz w:val="13"/>
                <w:szCs w:val="13"/>
                <w:color w:val="auto"/>
                <w:w w:val="97"/>
              </w:rPr>
              <w:t>First Lien Debt (10.5% Cash</w:t>
            </w:r>
          </w:p>
        </w:tc>
        <w:tc>
          <w:tcPr>
            <w:tcW w:w="380" w:type="dxa"/>
            <w:vAlign w:val="bottom"/>
            <w:shd w:val="clear" w:color="auto" w:fill="CCEEFF"/>
          </w:tcPr>
          <w:p>
            <w:pPr>
              <w:jc w:val="right"/>
              <w:ind w:right="170"/>
              <w:spacing w:after="0" w:line="13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2"/>
              <w:spacing w:after="0" w:line="138" w:lineRule="exact"/>
              <w:rPr>
                <w:sz w:val="20"/>
                <w:szCs w:val="20"/>
                <w:color w:val="auto"/>
              </w:rPr>
            </w:pPr>
            <w:r>
              <w:rPr>
                <w:rFonts w:ascii="Arial" w:cs="Arial" w:eastAsia="Arial" w:hAnsi="Arial"/>
                <w:sz w:val="13"/>
                <w:szCs w:val="13"/>
                <w:color w:val="auto"/>
              </w:rPr>
              <w:t>3,683</w:t>
            </w:r>
          </w:p>
        </w:tc>
        <w:tc>
          <w:tcPr>
            <w:tcW w:w="4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98</w:t>
            </w:r>
          </w:p>
        </w:tc>
        <w:tc>
          <w:tcPr>
            <w:tcW w:w="240" w:type="dxa"/>
            <w:vAlign w:val="bottom"/>
            <w:shd w:val="clear" w:color="auto" w:fill="CCEEFF"/>
          </w:tcPr>
          <w:p>
            <w:pPr>
              <w:jc w:val="right"/>
              <w:ind w:right="124"/>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3,732</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1"/>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41"/>
              <w:spacing w:after="0" w:line="138" w:lineRule="exact"/>
              <w:rPr>
                <w:sz w:val="20"/>
                <w:szCs w:val="20"/>
                <w:color w:val="auto"/>
              </w:rPr>
            </w:pPr>
            <w:r>
              <w:rPr>
                <w:rFonts w:ascii="Arial" w:cs="Arial" w:eastAsia="Arial" w:hAnsi="Arial"/>
                <w:sz w:val="13"/>
                <w:szCs w:val="13"/>
                <w:color w:val="auto"/>
              </w:rPr>
              <w:t>(49)</w:t>
            </w:r>
          </w:p>
        </w:tc>
        <w:tc>
          <w:tcPr>
            <w:tcW w:w="46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3,683</w:t>
            </w: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(1 month LIBOR + 8.5%,</w:t>
            </w: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 Floor), Due 12/31/21)</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gridSpan w:val="4"/>
            <w:shd w:val="clear" w:color="auto" w:fill="CCEEFF"/>
          </w:tcPr>
          <w:p>
            <w:pPr>
              <w:spacing w:after="0" w:line="138" w:lineRule="exact"/>
              <w:rPr>
                <w:sz w:val="20"/>
                <w:szCs w:val="20"/>
                <w:color w:val="auto"/>
              </w:rPr>
            </w:pPr>
            <w:r>
              <w:rPr>
                <w:rFonts w:ascii="Arial" w:cs="Arial" w:eastAsia="Arial" w:hAnsi="Arial"/>
                <w:sz w:val="13"/>
                <w:szCs w:val="13"/>
                <w:color w:val="auto"/>
              </w:rPr>
              <w:t>Vology, Inc.</w:t>
            </w:r>
          </w:p>
        </w:tc>
        <w:tc>
          <w:tcPr>
            <w:tcW w:w="1680" w:type="dxa"/>
            <w:vAlign w:val="bottom"/>
            <w:shd w:val="clear" w:color="auto" w:fill="CCEEFF"/>
          </w:tcPr>
          <w:p>
            <w:pPr>
              <w:ind w:left="60"/>
              <w:spacing w:after="0" w:line="138" w:lineRule="exact"/>
              <w:rPr>
                <w:sz w:val="20"/>
                <w:szCs w:val="20"/>
                <w:color w:val="auto"/>
              </w:rPr>
            </w:pPr>
            <w:r>
              <w:rPr>
                <w:rFonts w:ascii="Arial" w:cs="Arial" w:eastAsia="Arial" w:hAnsi="Arial"/>
                <w:sz w:val="13"/>
                <w:szCs w:val="13"/>
                <w:color w:val="auto"/>
              </w:rPr>
              <w:t>Class A Preferred Units</w:t>
            </w: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(9,041,810 Units)</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4,663</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gridSpan w:val="4"/>
            <w:shd w:val="clear" w:color="auto" w:fill="CCEEFF"/>
          </w:tcPr>
          <w:p>
            <w:pPr>
              <w:spacing w:after="0" w:line="138" w:lineRule="exact"/>
              <w:rPr>
                <w:sz w:val="20"/>
                <w:szCs w:val="20"/>
                <w:color w:val="auto"/>
              </w:rPr>
            </w:pPr>
            <w:r>
              <w:rPr>
                <w:rFonts w:ascii="Arial" w:cs="Arial" w:eastAsia="Arial" w:hAnsi="Arial"/>
                <w:sz w:val="13"/>
                <w:szCs w:val="13"/>
                <w:color w:val="auto"/>
              </w:rPr>
              <w:t>Vology, Inc.</w:t>
            </w:r>
          </w:p>
        </w:tc>
        <w:tc>
          <w:tcPr>
            <w:tcW w:w="1680" w:type="dxa"/>
            <w:vAlign w:val="bottom"/>
            <w:shd w:val="clear" w:color="auto" w:fill="CCEEFF"/>
          </w:tcPr>
          <w:p>
            <w:pPr>
              <w:ind w:left="60"/>
              <w:spacing w:after="0" w:line="138" w:lineRule="exact"/>
              <w:rPr>
                <w:sz w:val="20"/>
                <w:szCs w:val="20"/>
                <w:color w:val="auto"/>
              </w:rPr>
            </w:pPr>
            <w:r>
              <w:rPr>
                <w:rFonts w:ascii="Arial" w:cs="Arial" w:eastAsia="Arial" w:hAnsi="Arial"/>
                <w:sz w:val="13"/>
                <w:szCs w:val="13"/>
                <w:color w:val="auto"/>
              </w:rPr>
              <w:t>Membership Units</w:t>
            </w: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(5,363,982 Units)</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98</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8,419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8,346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40" w:type="dxa"/>
            <w:vAlign w:val="bottom"/>
            <w:tcBorders>
              <w:bottom w:val="single" w:sz="8" w:color="auto"/>
            </w:tcBorders>
            <w:gridSpan w:val="2"/>
            <w:shd w:val="clear" w:color="auto" w:fill="CCEEFF"/>
          </w:tcPr>
          <w:p>
            <w:pPr>
              <w:spacing w:after="0" w:line="95" w:lineRule="exact"/>
              <w:rPr>
                <w:sz w:val="20"/>
                <w:szCs w:val="20"/>
                <w:color w:val="auto"/>
              </w:rPr>
            </w:pPr>
            <w:r>
              <w:rPr>
                <w:rFonts w:ascii="Arial" w:cs="Arial" w:eastAsia="Arial" w:hAnsi="Arial"/>
                <w:sz w:val="11"/>
                <w:szCs w:val="11"/>
                <w:b w:val="1"/>
                <w:bCs w:val="1"/>
                <w:i w:val="1"/>
                <w:iCs w:val="1"/>
                <w:color w:val="auto"/>
              </w:rPr>
              <w:t>Total Control investments</w:t>
            </w:r>
          </w:p>
        </w:tc>
        <w:tc>
          <w:tcPr>
            <w:tcW w:w="100" w:type="dxa"/>
            <w:vAlign w:val="bottom"/>
            <w:tcBorders>
              <w:bottom w:val="single" w:sz="8" w:color="CCEEFF"/>
            </w:tcBorders>
            <w:gridSpan w:val="2"/>
            <w:shd w:val="clear" w:color="auto" w:fill="CCEEFF"/>
          </w:tcPr>
          <w:p>
            <w:pPr>
              <w:spacing w:after="0"/>
              <w:rPr>
                <w:sz w:val="13"/>
                <w:szCs w:val="13"/>
                <w:color w:val="auto"/>
              </w:rPr>
            </w:pPr>
          </w:p>
        </w:tc>
        <w:tc>
          <w:tcPr>
            <w:tcW w:w="16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gridSpan w:val="2"/>
            <w:shd w:val="clear" w:color="auto" w:fill="CCEEFF"/>
          </w:tcPr>
          <w:p>
            <w:pPr>
              <w:jc w:val="right"/>
              <w:ind w:right="220"/>
              <w:spacing w:after="0" w:line="115"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240"/>
              <w:spacing w:after="0" w:line="115" w:lineRule="exact"/>
              <w:rPr>
                <w:sz w:val="20"/>
                <w:szCs w:val="20"/>
                <w:color w:val="auto"/>
              </w:rPr>
            </w:pPr>
            <w:r>
              <w:rPr>
                <w:rFonts w:ascii="Arial" w:cs="Arial" w:eastAsia="Arial" w:hAnsi="Arial"/>
                <w:sz w:val="13"/>
                <w:szCs w:val="13"/>
                <w:color w:val="auto"/>
              </w:rPr>
              <w:t>98</w:t>
            </w:r>
          </w:p>
        </w:tc>
        <w:tc>
          <w:tcPr>
            <w:tcW w:w="24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8,419</w:t>
            </w: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60"/>
              <w:spacing w:after="0" w:line="115"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gridSpan w:val="2"/>
            <w:shd w:val="clear" w:color="auto" w:fill="CCEEFF"/>
          </w:tcPr>
          <w:p>
            <w:pPr>
              <w:jc w:val="right"/>
              <w:ind w:right="200"/>
              <w:spacing w:after="0" w:line="11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jc w:val="right"/>
              <w:ind w:right="71"/>
              <w:spacing w:after="0" w:line="115"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(49</w:t>
            </w:r>
          </w:p>
        </w:tc>
        <w:tc>
          <w:tcPr>
            <w:tcW w:w="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460" w:type="dxa"/>
            <w:vAlign w:val="bottom"/>
            <w:tcBorders>
              <w:bottom w:val="single" w:sz="8" w:color="CCEEFF"/>
            </w:tcBorders>
            <w:gridSpan w:val="2"/>
            <w:shd w:val="clear" w:color="auto" w:fill="CCEEFF"/>
          </w:tcPr>
          <w:p>
            <w:pPr>
              <w:jc w:val="right"/>
              <w:ind w:right="300"/>
              <w:spacing w:after="0" w:line="115"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gridSpan w:val="2"/>
            <w:shd w:val="clear" w:color="auto" w:fill="CCEEFF"/>
          </w:tcPr>
          <w:p>
            <w:pPr>
              <w:jc w:val="right"/>
              <w:ind w:right="220"/>
              <w:spacing w:after="0" w:line="115"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(24</w:t>
            </w:r>
          </w:p>
        </w:tc>
        <w:tc>
          <w:tcPr>
            <w:tcW w:w="80" w:type="dxa"/>
            <w:vAlign w:val="bottom"/>
            <w:tcBorders>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w w:val="98"/>
              </w:rPr>
              <w:t>)</w:t>
            </w:r>
          </w:p>
        </w:tc>
        <w:tc>
          <w:tcPr>
            <w:tcW w:w="380" w:type="dxa"/>
            <w:vAlign w:val="bottom"/>
            <w:tcBorders>
              <w:bottom w:val="single" w:sz="8" w:color="CCEEFF"/>
            </w:tcBorders>
            <w:gridSpan w:val="2"/>
            <w:shd w:val="clear" w:color="auto" w:fill="CCEEFF"/>
          </w:tcPr>
          <w:p>
            <w:pPr>
              <w:jc w:val="right"/>
              <w:ind w:right="160"/>
              <w:spacing w:after="0" w:line="115"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gridSpan w:val="2"/>
            <w:shd w:val="clear" w:color="auto" w:fill="CCEEFF"/>
          </w:tcPr>
          <w:p>
            <w:pPr>
              <w:jc w:val="right"/>
              <w:ind w:right="100"/>
              <w:spacing w:after="0" w:line="115" w:lineRule="exact"/>
              <w:rPr>
                <w:sz w:val="20"/>
                <w:szCs w:val="20"/>
                <w:color w:val="auto"/>
              </w:rPr>
            </w:pPr>
            <w:r>
              <w:rPr>
                <w:rFonts w:ascii="Arial" w:cs="Arial" w:eastAsia="Arial" w:hAnsi="Arial"/>
                <w:sz w:val="13"/>
                <w:szCs w:val="13"/>
                <w:color w:val="auto"/>
              </w:rPr>
              <w:t>8,346</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58"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total amount of interest, original issue discount, fees and dividends credited to income for the portion of the year an investment was included in Affiliate or Control categories, respectively.</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and sales. Gross reductions also include transfers out of Affiliate or Control classification.</w:t>
      </w: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6"/>
          <w:szCs w:val="16"/>
          <w:color w:val="auto"/>
        </w:rPr>
        <w:t>During the year ended December 31, 2020, the Company had investments in portfolio companies designated as affiliates under the 1940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Amount of</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or Dividends</w:t>
            </w:r>
          </w:p>
        </w:tc>
        <w:tc>
          <w:tcPr>
            <w:tcW w:w="11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5"/>
              </w:rPr>
              <w:t>December 31,</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5"/>
              </w:rPr>
              <w:t>Gross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Unrealized</w:t>
            </w:r>
          </w:p>
        </w:tc>
        <w:tc>
          <w:tcPr>
            <w:tcW w:w="10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35"/>
        </w:trPr>
        <w:tc>
          <w:tcPr>
            <w:tcW w:w="1080" w:type="dxa"/>
            <w:vAlign w:val="bottom"/>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w:t>
            </w:r>
          </w:p>
        </w:tc>
        <w:tc>
          <w:tcPr>
            <w:tcW w:w="5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57"/>
              <w:spacing w:after="0" w:line="135" w:lineRule="exact"/>
              <w:rPr>
                <w:sz w:val="20"/>
                <w:szCs w:val="20"/>
                <w:color w:val="auto"/>
              </w:rPr>
            </w:pPr>
            <w:r>
              <w:rPr>
                <w:rFonts w:ascii="Arial" w:cs="Arial" w:eastAsia="Arial" w:hAnsi="Arial"/>
                <w:sz w:val="13"/>
                <w:szCs w:val="13"/>
                <w:b w:val="1"/>
                <w:bCs w:val="1"/>
                <w:color w:val="auto"/>
                <w:w w:val="94"/>
              </w:rPr>
              <w:t>Principal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Credited to</w:t>
            </w:r>
          </w:p>
        </w:tc>
        <w:tc>
          <w:tcPr>
            <w:tcW w:w="18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2"/>
              </w:rPr>
              <w:t>2019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1"/>
                <w:szCs w:val="11"/>
                <w:color w:val="auto"/>
              </w:rPr>
            </w:pPr>
          </w:p>
        </w:tc>
        <w:tc>
          <w:tcPr>
            <w:tcW w:w="98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Reductions</w:t>
            </w: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Realized</w:t>
            </w:r>
          </w:p>
        </w:tc>
        <w:tc>
          <w:tcPr>
            <w:tcW w:w="100" w:type="dxa"/>
            <w:vAlign w:val="bottom"/>
          </w:tcPr>
          <w:p>
            <w:pPr>
              <w:spacing w:after="0"/>
              <w:rPr>
                <w:sz w:val="11"/>
                <w:szCs w:val="11"/>
                <w:color w:val="auto"/>
              </w:rPr>
            </w:pPr>
          </w:p>
        </w:tc>
        <w:tc>
          <w:tcPr>
            <w:tcW w:w="94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Appreciation</w:t>
            </w:r>
          </w:p>
        </w:tc>
        <w:tc>
          <w:tcPr>
            <w:tcW w:w="18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2"/>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860" w:type="dxa"/>
            <w:vAlign w:val="bottom"/>
            <w:gridSpan w:val="2"/>
          </w:tcPr>
          <w:p>
            <w:pPr>
              <w:ind w:left="400"/>
              <w:spacing w:after="0"/>
              <w:rPr>
                <w:sz w:val="20"/>
                <w:szCs w:val="20"/>
                <w:color w:val="auto"/>
              </w:rPr>
            </w:pPr>
            <w:r>
              <w:rPr>
                <w:rFonts w:ascii="Arial" w:cs="Arial" w:eastAsia="Arial" w:hAnsi="Arial"/>
                <w:sz w:val="13"/>
                <w:szCs w:val="13"/>
                <w:b w:val="1"/>
                <w:bCs w:val="1"/>
                <w:color w:val="auto"/>
              </w:rPr>
              <w:t>Type of Investment</w:t>
            </w:r>
          </w:p>
        </w:tc>
        <w:tc>
          <w:tcPr>
            <w:tcW w:w="6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Arial" w:cs="Arial" w:eastAsia="Arial" w:hAnsi="Arial"/>
                <w:sz w:val="12"/>
                <w:szCs w:val="12"/>
                <w:b w:val="1"/>
                <w:bCs w:val="1"/>
                <w:color w:val="auto"/>
                <w:w w:val="93"/>
              </w:rPr>
              <w:t xml:space="preserve">Income </w:t>
            </w:r>
            <w:r>
              <w:rPr>
                <w:rFonts w:ascii="Arial" w:cs="Arial" w:eastAsia="Arial" w:hAnsi="Arial"/>
                <w:sz w:val="18"/>
                <w:szCs w:val="18"/>
                <w:b w:val="1"/>
                <w:bCs w:val="1"/>
                <w:color w:val="auto"/>
                <w:w w:val="93"/>
                <w:vertAlign w:val="superscript"/>
              </w:rPr>
              <w:t>(1)</w:t>
            </w:r>
          </w:p>
        </w:tc>
        <w:tc>
          <w:tcPr>
            <w:tcW w:w="180" w:type="dxa"/>
            <w:vAlign w:val="bottom"/>
          </w:tcPr>
          <w:p>
            <w:pPr>
              <w:spacing w:after="0"/>
              <w:rPr>
                <w:sz w:val="14"/>
                <w:szCs w:val="14"/>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0"/>
              </w:rPr>
              <w:t>Fair Value</w:t>
            </w:r>
          </w:p>
        </w:tc>
        <w:tc>
          <w:tcPr>
            <w:tcW w:w="880" w:type="dxa"/>
            <w:vAlign w:val="bottom"/>
            <w:gridSpan w:val="3"/>
          </w:tcPr>
          <w:p>
            <w:pPr>
              <w:ind w:left="20"/>
              <w:spacing w:after="0" w:line="162" w:lineRule="exact"/>
              <w:rPr>
                <w:sz w:val="20"/>
                <w:szCs w:val="20"/>
                <w:color w:val="auto"/>
              </w:rPr>
            </w:pPr>
            <w:r>
              <w:rPr>
                <w:rFonts w:ascii="Arial" w:cs="Arial" w:eastAsia="Arial" w:hAnsi="Arial"/>
                <w:sz w:val="12"/>
                <w:szCs w:val="12"/>
                <w:b w:val="1"/>
                <w:bCs w:val="1"/>
                <w:color w:val="auto"/>
              </w:rPr>
              <w:t xml:space="preserve">Additions </w:t>
            </w:r>
            <w:r>
              <w:rPr>
                <w:rFonts w:ascii="Arial" w:cs="Arial" w:eastAsia="Arial" w:hAnsi="Arial"/>
                <w:sz w:val="18"/>
                <w:szCs w:val="18"/>
                <w:b w:val="1"/>
                <w:bCs w:val="1"/>
                <w:color w:val="auto"/>
                <w:vertAlign w:val="superscript"/>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137"/>
              <w:spacing w:after="0"/>
              <w:rPr>
                <w:sz w:val="20"/>
                <w:szCs w:val="20"/>
                <w:color w:val="auto"/>
              </w:rPr>
            </w:pPr>
            <w:r>
              <w:rPr>
                <w:rFonts w:ascii="Arial" w:cs="Arial" w:eastAsia="Arial" w:hAnsi="Arial"/>
                <w:sz w:val="10"/>
                <w:szCs w:val="10"/>
                <w:b w:val="1"/>
                <w:bCs w:val="1"/>
                <w:color w:val="auto"/>
                <w:w w:val="97"/>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104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9"/>
              </w:rPr>
              <w:t>(Depreciation)</w:t>
            </w:r>
          </w:p>
        </w:tc>
        <w:tc>
          <w:tcPr>
            <w:tcW w:w="1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28"/>
        </w:trPr>
        <w:tc>
          <w:tcPr>
            <w:tcW w:w="10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i w:val="1"/>
                <w:iCs w:val="1"/>
                <w:color w:val="auto"/>
                <w:w w:val="83"/>
              </w:rPr>
              <w:t>Affiliate investments</w:t>
            </w:r>
          </w:p>
        </w:tc>
        <w:tc>
          <w:tcPr>
            <w:tcW w:w="580" w:type="dxa"/>
            <w:vAlign w:val="bottom"/>
            <w:tcBorders>
              <w:top w:val="single" w:sz="8" w:color="auto"/>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Burgaflex Holdings, LLC</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Debt (12.0% Cash,</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3.0% PIK, Due 3/23/21)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1,707</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(1,250)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Burgaflex Holdings, LLC</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Common Stock Class B</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(1,085,073 shares)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Burgaflex Holdings, LLC</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Common Stock Class A</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(1,253,198 shares)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1,707</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15,056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(1,250)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702</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14,935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City Gear, LLC</w:t>
            </w:r>
          </w:p>
        </w:tc>
        <w:tc>
          <w:tcPr>
            <w:tcW w:w="58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Membership Unit Warrants</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(1,341)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(1,315)</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2,011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(1,341)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(1,315)</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2,011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Eastport Holdings, LLC</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w w:val="95"/>
              </w:rPr>
              <w:t>Second Lien Debt (13.5% Cash</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(3 month LIBOR + 13.0%,</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0.5% Floor), Due 12/29/21)</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2,498</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(173)</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Eastport Holdings, LLC</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Membership Units (22.9%</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ownership)</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2,472</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08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2,498</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34,322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2,299</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36,794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GA Communications, Inc.</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Series A-1 Preferred Stock</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(1,998 shares)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GA Communications, Inc.</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Series B-1 Common Stock</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(200,000 shares)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(355)</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4,262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(50)</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4,212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LJS Partners, LLC</w:t>
            </w:r>
          </w:p>
        </w:tc>
        <w:tc>
          <w:tcPr>
            <w:tcW w:w="58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97"/>
              </w:rPr>
              <w:t>Preferred Units (189,044 units)</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239</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9"/>
              </w:rPr>
              <w:t>LJS Partners, LLC</w:t>
            </w:r>
          </w:p>
        </w:tc>
        <w:tc>
          <w:tcPr>
            <w:tcW w:w="58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Common Membership Units</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(2,593,234 units)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2,442</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08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1,881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2,681</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4,707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MMI Holdings, LLC</w:t>
            </w:r>
          </w:p>
        </w:tc>
        <w:tc>
          <w:tcPr>
            <w:tcW w:w="58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Debt (12.0% Cash,</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Due 9/30/21)</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MMI Holdings, LLC</w:t>
            </w:r>
          </w:p>
        </w:tc>
        <w:tc>
          <w:tcPr>
            <w:tcW w:w="58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w w:val="97"/>
              </w:rPr>
              <w:t>Second Lien Debt (6.0% Cash,</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Due 9/30/21)</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95"/>
              </w:rPr>
              <w:t>MMI Holdings, LLC</w:t>
            </w:r>
          </w:p>
        </w:tc>
        <w:tc>
          <w:tcPr>
            <w:tcW w:w="580" w:type="dxa"/>
            <w:vAlign w:val="bottom"/>
            <w:shd w:val="clear" w:color="auto" w:fill="CCEEFF"/>
          </w:tcPr>
          <w:p>
            <w:pPr>
              <w:jc w:val="right"/>
              <w:ind w:right="388"/>
              <w:spacing w:after="0"/>
              <w:rPr>
                <w:sz w:val="20"/>
                <w:szCs w:val="20"/>
                <w:color w:val="auto"/>
              </w:rPr>
            </w:pPr>
            <w:r>
              <w:rPr>
                <w:rFonts w:ascii="Arial" w:cs="Arial" w:eastAsia="Arial" w:hAnsi="Arial"/>
                <w:sz w:val="10"/>
                <w:szCs w:val="10"/>
                <w:color w:val="auto"/>
                <w:w w:val="97"/>
              </w:rPr>
              <w:t>(5)</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Preferred Units (1,000 units,</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80" w:type="dxa"/>
            <w:vAlign w:val="bottom"/>
            <w:vMerge w:val="continue"/>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86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color w:val="auto"/>
              </w:rPr>
              <w:t>6.0% PIK Dividend)</w:t>
            </w: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5"/>
                <w:szCs w:val="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1,710</w:t>
            </w: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5"/>
                <w:szCs w:val="5"/>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spacing w:after="0"/>
              <w:rPr>
                <w:sz w:val="5"/>
                <w:szCs w:val="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1,815</w:t>
            </w: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10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6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gridSpan w:val="3"/>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MMI Holdings, LLC</w:t>
            </w:r>
          </w:p>
        </w:tc>
        <w:tc>
          <w:tcPr>
            <w:tcW w:w="58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Common Membership Units</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(45 units)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4,904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5,019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Navis Holdings, Inc.</w:t>
            </w:r>
          </w:p>
        </w:tc>
        <w:tc>
          <w:tcPr>
            <w:tcW w:w="58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First Lien Debt (9.0% Cash,</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2.0% PIK, Due 6/30/23)</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1,084</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(944)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(149)</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Navis Holdings, Inc.</w:t>
            </w:r>
          </w:p>
        </w:tc>
        <w:tc>
          <w:tcPr>
            <w:tcW w:w="58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w w:val="97"/>
              </w:rPr>
              <w:t>Class A Preferred Stock (1,000</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shares)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Navis Holdings, Inc.</w:t>
            </w:r>
          </w:p>
        </w:tc>
        <w:tc>
          <w:tcPr>
            <w:tcW w:w="58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94"/>
              </w:rPr>
              <w:t>Common Stock (60,000 shares)</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(464)</w:t>
            </w:r>
          </w:p>
        </w:tc>
        <w:tc>
          <w:tcPr>
            <w:tcW w:w="180" w:type="dxa"/>
            <w:vAlign w:val="bottom"/>
            <w:tcBorders>
              <w:right w:val="single" w:sz="8" w:color="CCEEFF"/>
            </w:tcBorders>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1,109</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11,564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1,875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(944)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(627)</w:t>
            </w: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11,868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2"/>
              </w:rPr>
              <w:t>Nth Degree Investment Group,</w:t>
            </w:r>
          </w:p>
        </w:tc>
        <w:tc>
          <w:tcPr>
            <w:tcW w:w="1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Membership Units</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LLC</w:t>
            </w:r>
          </w:p>
        </w:tc>
        <w:tc>
          <w:tcPr>
            <w:tcW w:w="5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(6,088,000 Units)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(6,088)</w:t>
            </w:r>
          </w:p>
        </w:tc>
        <w:tc>
          <w:tcPr>
            <w:tcW w:w="1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6,088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(6,088)</w:t>
            </w:r>
          </w:p>
        </w:tc>
        <w:tc>
          <w:tcPr>
            <w:tcW w:w="180" w:type="dxa"/>
            <w:vAlign w:val="bottom"/>
            <w:tcBorders>
              <w:right w:val="single" w:sz="8" w:color="CCEEFF"/>
            </w:tcBorders>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-7526020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-7526020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-7526020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-7526020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-7526020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-7526020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-7526020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-7526020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-7526020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-7526020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Amount of</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6"/>
              </w:rPr>
              <w:t>or Dividends</w:t>
            </w:r>
          </w:p>
        </w:tc>
        <w:tc>
          <w:tcPr>
            <w:tcW w:w="1040" w:type="dxa"/>
            <w:vAlign w:val="bottom"/>
            <w:gridSpan w:val="4"/>
          </w:tcPr>
          <w:p>
            <w:pPr>
              <w:ind w:left="12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38"/>
              <w:spacing w:after="0"/>
              <w:rPr>
                <w:sz w:val="20"/>
                <w:szCs w:val="20"/>
                <w:color w:val="auto"/>
              </w:rPr>
            </w:pPr>
            <w:r>
              <w:rPr>
                <w:rFonts w:ascii="Arial" w:cs="Arial" w:eastAsia="Arial" w:hAnsi="Arial"/>
                <w:sz w:val="13"/>
                <w:szCs w:val="13"/>
                <w:b w:val="1"/>
                <w:bCs w:val="1"/>
                <w:color w:val="auto"/>
                <w:w w:val="88"/>
              </w:rPr>
              <w:t>Unrealized</w:t>
            </w: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5"/>
        </w:trPr>
        <w:tc>
          <w:tcPr>
            <w:tcW w:w="1080" w:type="dxa"/>
            <w:vAlign w:val="bottom"/>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right"/>
              <w:ind w:right="180"/>
              <w:spacing w:after="0" w:line="135" w:lineRule="exact"/>
              <w:rPr>
                <w:sz w:val="20"/>
                <w:szCs w:val="20"/>
                <w:color w:val="auto"/>
              </w:rPr>
            </w:pPr>
            <w:r>
              <w:rPr>
                <w:rFonts w:ascii="Arial" w:cs="Arial" w:eastAsia="Arial" w:hAnsi="Arial"/>
                <w:sz w:val="13"/>
                <w:szCs w:val="13"/>
                <w:b w:val="1"/>
                <w:bCs w:val="1"/>
                <w:color w:val="auto"/>
                <w:w w:val="94"/>
              </w:rPr>
              <w:t>Principal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Credited to</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1"/>
                <w:szCs w:val="11"/>
                <w:color w:val="auto"/>
              </w:rPr>
            </w:pPr>
          </w:p>
        </w:tc>
        <w:tc>
          <w:tcPr>
            <w:tcW w:w="940" w:type="dxa"/>
            <w:vAlign w:val="bottom"/>
            <w:gridSpan w:val="2"/>
          </w:tcPr>
          <w:p>
            <w:pPr>
              <w:jc w:val="right"/>
              <w:ind w:right="477"/>
              <w:spacing w:after="0" w:line="135"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1"/>
                <w:szCs w:val="11"/>
                <w:color w:val="auto"/>
              </w:rPr>
            </w:pPr>
          </w:p>
        </w:tc>
        <w:tc>
          <w:tcPr>
            <w:tcW w:w="760" w:type="dxa"/>
            <w:vAlign w:val="bottom"/>
            <w:gridSpan w:val="2"/>
          </w:tcPr>
          <w:p>
            <w:pPr>
              <w:jc w:val="right"/>
              <w:ind w:right="258"/>
              <w:spacing w:after="0" w:line="135" w:lineRule="exact"/>
              <w:rPr>
                <w:sz w:val="20"/>
                <w:szCs w:val="20"/>
                <w:color w:val="auto"/>
              </w:rPr>
            </w:pPr>
            <w:r>
              <w:rPr>
                <w:rFonts w:ascii="Arial" w:cs="Arial" w:eastAsia="Arial" w:hAnsi="Arial"/>
                <w:sz w:val="13"/>
                <w:szCs w:val="13"/>
                <w:b w:val="1"/>
                <w:bCs w:val="1"/>
                <w:color w:val="auto"/>
                <w:w w:val="83"/>
              </w:rPr>
              <w:t>Realized</w:t>
            </w:r>
          </w:p>
        </w:tc>
        <w:tc>
          <w:tcPr>
            <w:tcW w:w="100" w:type="dxa"/>
            <w:vAlign w:val="bottom"/>
          </w:tcPr>
          <w:p>
            <w:pPr>
              <w:spacing w:after="0"/>
              <w:rPr>
                <w:sz w:val="11"/>
                <w:szCs w:val="11"/>
                <w:color w:val="auto"/>
              </w:rPr>
            </w:pPr>
          </w:p>
        </w:tc>
        <w:tc>
          <w:tcPr>
            <w:tcW w:w="1060" w:type="dxa"/>
            <w:vAlign w:val="bottom"/>
            <w:gridSpan w:val="3"/>
          </w:tcPr>
          <w:p>
            <w:pPr>
              <w:jc w:val="right"/>
              <w:ind w:right="278"/>
              <w:spacing w:after="0" w:line="135" w:lineRule="exact"/>
              <w:rPr>
                <w:sz w:val="20"/>
                <w:szCs w:val="20"/>
                <w:color w:val="auto"/>
              </w:rPr>
            </w:pPr>
            <w:r>
              <w:rPr>
                <w:rFonts w:ascii="Arial" w:cs="Arial" w:eastAsia="Arial" w:hAnsi="Arial"/>
                <w:sz w:val="13"/>
                <w:szCs w:val="13"/>
                <w:b w:val="1"/>
                <w:bCs w:val="1"/>
                <w:color w:val="auto"/>
                <w:w w:val="90"/>
              </w:rPr>
              <w:t>Appreciation</w:t>
            </w:r>
          </w:p>
        </w:tc>
        <w:tc>
          <w:tcPr>
            <w:tcW w:w="80" w:type="dxa"/>
            <w:vAlign w:val="bottom"/>
          </w:tcPr>
          <w:p>
            <w:pPr>
              <w:spacing w:after="0"/>
              <w:rPr>
                <w:sz w:val="11"/>
                <w:szCs w:val="11"/>
                <w:color w:val="auto"/>
              </w:rPr>
            </w:pPr>
          </w:p>
        </w:tc>
        <w:tc>
          <w:tcPr>
            <w:tcW w:w="72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ind w:left="240"/>
              <w:spacing w:after="0"/>
              <w:rPr>
                <w:sz w:val="20"/>
                <w:szCs w:val="20"/>
                <w:color w:val="auto"/>
              </w:rPr>
            </w:pPr>
            <w:r>
              <w:rPr>
                <w:rFonts w:ascii="Arial" w:cs="Arial" w:eastAsia="Arial" w:hAnsi="Arial"/>
                <w:sz w:val="13"/>
                <w:szCs w:val="13"/>
                <w:b w:val="1"/>
                <w:bCs w:val="1"/>
                <w:color w:val="auto"/>
              </w:rPr>
              <w:t>Type of Investment</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line="162" w:lineRule="exact"/>
              <w:rPr>
                <w:sz w:val="20"/>
                <w:szCs w:val="20"/>
                <w:color w:val="auto"/>
              </w:rPr>
            </w:pPr>
            <w:r>
              <w:rPr>
                <w:rFonts w:ascii="Arial" w:cs="Arial" w:eastAsia="Arial" w:hAnsi="Arial"/>
                <w:sz w:val="12"/>
                <w:szCs w:val="12"/>
                <w:b w:val="1"/>
                <w:bCs w:val="1"/>
                <w:color w:val="auto"/>
                <w:w w:val="93"/>
              </w:rPr>
              <w:t xml:space="preserve">Income </w:t>
            </w:r>
            <w:r>
              <w:rPr>
                <w:rFonts w:ascii="Arial" w:cs="Arial" w:eastAsia="Arial" w:hAnsi="Arial"/>
                <w:sz w:val="18"/>
                <w:szCs w:val="18"/>
                <w:b w:val="1"/>
                <w:bCs w:val="1"/>
                <w:color w:val="auto"/>
                <w:w w:val="93"/>
                <w:vertAlign w:val="superscript"/>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0"/>
              </w:rPr>
              <w:t>Fair Value</w:t>
            </w:r>
          </w:p>
        </w:tc>
        <w:tc>
          <w:tcPr>
            <w:tcW w:w="120" w:type="dxa"/>
            <w:vAlign w:val="bottom"/>
          </w:tcPr>
          <w:p>
            <w:pPr>
              <w:spacing w:after="0"/>
              <w:rPr>
                <w:sz w:val="14"/>
                <w:szCs w:val="14"/>
                <w:color w:val="auto"/>
              </w:rPr>
            </w:pPr>
          </w:p>
        </w:tc>
        <w:tc>
          <w:tcPr>
            <w:tcW w:w="980" w:type="dxa"/>
            <w:vAlign w:val="bottom"/>
            <w:gridSpan w:val="3"/>
          </w:tcPr>
          <w:p>
            <w:pPr>
              <w:spacing w:after="0" w:line="162" w:lineRule="exact"/>
              <w:rPr>
                <w:sz w:val="20"/>
                <w:szCs w:val="20"/>
                <w:color w:val="auto"/>
              </w:rPr>
            </w:pPr>
            <w:r>
              <w:rPr>
                <w:rFonts w:ascii="Arial" w:cs="Arial" w:eastAsia="Arial" w:hAnsi="Arial"/>
                <w:sz w:val="12"/>
                <w:szCs w:val="12"/>
                <w:b w:val="1"/>
                <w:bCs w:val="1"/>
                <w:color w:val="auto"/>
              </w:rPr>
              <w:t xml:space="preserve">Additions </w:t>
            </w:r>
            <w:r>
              <w:rPr>
                <w:rFonts w:ascii="Arial" w:cs="Arial" w:eastAsia="Arial" w:hAnsi="Arial"/>
                <w:sz w:val="18"/>
                <w:szCs w:val="18"/>
                <w:b w:val="1"/>
                <w:bCs w:val="1"/>
                <w:color w:val="auto"/>
                <w:vertAlign w:val="superscript"/>
              </w:rPr>
              <w:t>(2)</w:t>
            </w:r>
          </w:p>
        </w:tc>
        <w:tc>
          <w:tcPr>
            <w:tcW w:w="1100" w:type="dxa"/>
            <w:vAlign w:val="bottom"/>
            <w:gridSpan w:val="3"/>
          </w:tcPr>
          <w:p>
            <w:pPr>
              <w:jc w:val="right"/>
              <w:ind w:right="257"/>
              <w:spacing w:after="0" w:line="162" w:lineRule="exact"/>
              <w:rPr>
                <w:sz w:val="20"/>
                <w:szCs w:val="20"/>
                <w:color w:val="auto"/>
              </w:rPr>
            </w:pPr>
            <w:r>
              <w:rPr>
                <w:rFonts w:ascii="Arial" w:cs="Arial" w:eastAsia="Arial" w:hAnsi="Arial"/>
                <w:sz w:val="12"/>
                <w:szCs w:val="12"/>
                <w:b w:val="1"/>
                <w:bCs w:val="1"/>
                <w:color w:val="auto"/>
                <w:w w:val="91"/>
              </w:rPr>
              <w:t xml:space="preserve">Reductions </w:t>
            </w:r>
            <w:r>
              <w:rPr>
                <w:rFonts w:ascii="Arial" w:cs="Arial" w:eastAsia="Arial" w:hAnsi="Arial"/>
                <w:sz w:val="18"/>
                <w:szCs w:val="18"/>
                <w:b w:val="1"/>
                <w:bCs w:val="1"/>
                <w:color w:val="auto"/>
                <w:w w:val="91"/>
                <w:vertAlign w:val="superscript"/>
              </w:rPr>
              <w:t>(3)</w:t>
            </w: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1160" w:type="dxa"/>
            <w:vAlign w:val="bottom"/>
            <w:gridSpan w:val="4"/>
          </w:tcPr>
          <w:p>
            <w:pPr>
              <w:ind w:left="100"/>
              <w:spacing w:after="0"/>
              <w:rPr>
                <w:sz w:val="20"/>
                <w:szCs w:val="20"/>
                <w:color w:val="auto"/>
              </w:rPr>
            </w:pPr>
            <w:r>
              <w:rPr>
                <w:rFonts w:ascii="Arial" w:cs="Arial" w:eastAsia="Arial" w:hAnsi="Arial"/>
                <w:sz w:val="13"/>
                <w:szCs w:val="13"/>
                <w:b w:val="1"/>
                <w:bCs w:val="1"/>
                <w:color w:val="auto"/>
              </w:rPr>
              <w:t>(Depreciation)</w:t>
            </w: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14"/>
        </w:trPr>
        <w:tc>
          <w:tcPr>
            <w:tcW w:w="10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92"/>
              </w:rPr>
              <w:t>RAM Payment, LLC</w:t>
            </w: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52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96"/>
              </w:rPr>
              <w:t>First Lien Debt (6.5% Cash</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(1 month LIBOR + 5.0%,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1.5% Floor), Due 1/4/24)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2,451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113</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3,069</w:t>
            </w: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(618)</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2,451</w:t>
            </w:r>
          </w:p>
        </w:tc>
        <w:tc>
          <w:tcPr>
            <w:tcW w:w="0" w:type="dxa"/>
            <w:vAlign w:val="bottom"/>
          </w:tcPr>
          <w:p>
            <w:pPr>
              <w:spacing w:after="0"/>
              <w:rPr>
                <w:sz w:val="1"/>
                <w:szCs w:val="1"/>
                <w:color w:val="auto"/>
              </w:rPr>
            </w:pPr>
          </w:p>
        </w:tc>
      </w:tr>
      <w:tr>
        <w:trPr>
          <w:trHeight w:val="121"/>
        </w:trPr>
        <w:tc>
          <w:tcPr>
            <w:tcW w:w="1080" w:type="dxa"/>
            <w:vAlign w:val="bottom"/>
          </w:tcPr>
          <w:p>
            <w:pPr>
              <w:spacing w:after="0" w:line="121" w:lineRule="exact"/>
              <w:rPr>
                <w:sz w:val="20"/>
                <w:szCs w:val="20"/>
                <w:color w:val="auto"/>
              </w:rPr>
            </w:pPr>
            <w:r>
              <w:rPr>
                <w:rFonts w:ascii="Arial" w:cs="Arial" w:eastAsia="Arial" w:hAnsi="Arial"/>
                <w:sz w:val="13"/>
                <w:szCs w:val="13"/>
                <w:color w:val="auto"/>
                <w:w w:val="92"/>
              </w:rPr>
              <w:t>RAM Payment, LLC</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tcPr>
          <w:p>
            <w:pPr>
              <w:spacing w:after="0" w:line="121" w:lineRule="exact"/>
              <w:rPr>
                <w:sz w:val="20"/>
                <w:szCs w:val="20"/>
                <w:color w:val="auto"/>
              </w:rPr>
            </w:pPr>
            <w:r>
              <w:rPr>
                <w:rFonts w:ascii="Arial" w:cs="Arial" w:eastAsia="Arial" w:hAnsi="Arial"/>
                <w:sz w:val="13"/>
                <w:szCs w:val="13"/>
                <w:color w:val="auto"/>
              </w:rPr>
              <w:t>First Lien Debt (9.8% Cash,</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spacing w:after="0"/>
              <w:rPr>
                <w:sz w:val="20"/>
                <w:szCs w:val="20"/>
                <w:color w:val="auto"/>
              </w:rPr>
            </w:pPr>
            <w:r>
              <w:rPr>
                <w:rFonts w:ascii="Arial" w:cs="Arial" w:eastAsia="Arial" w:hAnsi="Arial"/>
                <w:sz w:val="13"/>
                <w:szCs w:val="13"/>
                <w:color w:val="auto"/>
              </w:rPr>
              <w:t>Due 1/4/24)</w:t>
            </w:r>
          </w:p>
        </w:tc>
        <w:tc>
          <w:tcPr>
            <w:tcW w:w="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6,646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832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9,019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97"/>
              <w:spacing w:after="0"/>
              <w:rPr>
                <w:sz w:val="20"/>
                <w:szCs w:val="20"/>
                <w:color w:val="auto"/>
              </w:rPr>
            </w:pPr>
            <w:r>
              <w:rPr>
                <w:rFonts w:ascii="Arial" w:cs="Arial" w:eastAsia="Arial" w:hAnsi="Arial"/>
                <w:sz w:val="13"/>
                <w:szCs w:val="13"/>
                <w:color w:val="auto"/>
              </w:rPr>
              <w:t>(2,372)</w:t>
            </w:r>
          </w:p>
        </w:tc>
        <w:tc>
          <w:tcPr>
            <w:tcW w:w="80" w:type="dxa"/>
            <w:vAlign w:val="bottom"/>
          </w:tcPr>
          <w:p>
            <w:pPr>
              <w:spacing w:after="0"/>
              <w:rPr>
                <w:sz w:val="12"/>
                <w:szCs w:val="12"/>
                <w:color w:val="auto"/>
              </w:rPr>
            </w:pPr>
          </w:p>
        </w:tc>
        <w:tc>
          <w:tcPr>
            <w:tcW w:w="76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38"/>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6,646</w:t>
            </w:r>
          </w:p>
        </w:tc>
        <w:tc>
          <w:tcPr>
            <w:tcW w:w="0" w:type="dxa"/>
            <w:vAlign w:val="bottom"/>
          </w:tcPr>
          <w:p>
            <w:pPr>
              <w:spacing w:after="0"/>
              <w:rPr>
                <w:sz w:val="1"/>
                <w:szCs w:val="1"/>
                <w:color w:val="auto"/>
              </w:rPr>
            </w:pPr>
          </w:p>
        </w:tc>
      </w:tr>
      <w:tr>
        <w:trPr>
          <w:trHeight w:val="121"/>
        </w:trPr>
        <w:tc>
          <w:tcPr>
            <w:tcW w:w="10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92"/>
              </w:rPr>
              <w:t>RAM Payment, LLC</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0"/>
                <w:szCs w:val="10"/>
                <w:color w:val="auto"/>
                <w:w w:val="97"/>
              </w:rPr>
              <w:t>(5)</w:t>
            </w:r>
          </w:p>
        </w:tc>
        <w:tc>
          <w:tcPr>
            <w:tcW w:w="100" w:type="dxa"/>
            <w:vAlign w:val="bottom"/>
            <w:shd w:val="clear" w:color="auto" w:fill="CCEEFF"/>
          </w:tcPr>
          <w:p>
            <w:pPr>
              <w:spacing w:after="0"/>
              <w:rPr>
                <w:sz w:val="10"/>
                <w:szCs w:val="10"/>
                <w:color w:val="auto"/>
              </w:rPr>
            </w:pPr>
          </w:p>
        </w:tc>
        <w:tc>
          <w:tcPr>
            <w:tcW w:w="16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4"/>
              </w:rPr>
              <w:t>Preferred Units (86,000 units,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80" w:type="dxa"/>
            <w:vAlign w:val="bottom"/>
            <w:vMerge w:val="continue"/>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8.0% PIK Dividend)</w:t>
            </w: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1,725</w:t>
            </w: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69</w:t>
            </w:r>
          </w:p>
        </w:tc>
        <w:tc>
          <w:tcPr>
            <w:tcW w:w="160" w:type="dxa"/>
            <w:vAlign w:val="bottom"/>
            <w:shd w:val="clear" w:color="auto" w:fill="CCEEFF"/>
          </w:tcPr>
          <w:p>
            <w:pPr>
              <w:spacing w:after="0"/>
              <w:rPr>
                <w:sz w:val="5"/>
                <w:szCs w:val="5"/>
                <w:color w:val="auto"/>
              </w:rPr>
            </w:pPr>
          </w:p>
        </w:tc>
        <w:tc>
          <w:tcPr>
            <w:tcW w:w="940" w:type="dxa"/>
            <w:vAlign w:val="bottom"/>
            <w:gridSpan w:val="2"/>
            <w:vMerge w:val="restart"/>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5"/>
                <w:szCs w:val="5"/>
                <w:color w:val="auto"/>
              </w:rPr>
            </w:pPr>
          </w:p>
        </w:tc>
        <w:tc>
          <w:tcPr>
            <w:tcW w:w="760" w:type="dxa"/>
            <w:vAlign w:val="bottom"/>
            <w:gridSpan w:val="2"/>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80" w:type="dxa"/>
            <w:vAlign w:val="bottom"/>
            <w:gridSpan w:val="2"/>
            <w:vMerge w:val="restart"/>
            <w:shd w:val="clear" w:color="auto" w:fill="CCEEFF"/>
          </w:tcPr>
          <w:p>
            <w:pPr>
              <w:jc w:val="right"/>
              <w:ind w:right="178"/>
              <w:spacing w:after="0"/>
              <w:rPr>
                <w:sz w:val="20"/>
                <w:szCs w:val="20"/>
                <w:color w:val="auto"/>
              </w:rPr>
            </w:pPr>
            <w:r>
              <w:rPr>
                <w:rFonts w:ascii="Arial" w:cs="Arial" w:eastAsia="Arial" w:hAnsi="Arial"/>
                <w:sz w:val="13"/>
                <w:szCs w:val="13"/>
                <w:color w:val="auto"/>
              </w:rPr>
              <w:t>1,080</w:t>
            </w:r>
          </w:p>
        </w:tc>
        <w:tc>
          <w:tcPr>
            <w:tcW w:w="80" w:type="dxa"/>
            <w:vAlign w:val="bottom"/>
            <w:shd w:val="clear" w:color="auto" w:fill="CCEEFF"/>
          </w:tcPr>
          <w:p>
            <w:pPr>
              <w:spacing w:after="0"/>
              <w:rPr>
                <w:sz w:val="5"/>
                <w:szCs w:val="5"/>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2,874</w:t>
            </w:r>
          </w:p>
        </w:tc>
        <w:tc>
          <w:tcPr>
            <w:tcW w:w="0" w:type="dxa"/>
            <w:vAlign w:val="bottom"/>
          </w:tcPr>
          <w:p>
            <w:pPr>
              <w:spacing w:after="0"/>
              <w:rPr>
                <w:sz w:val="1"/>
                <w:szCs w:val="1"/>
                <w:color w:val="auto"/>
              </w:rPr>
            </w:pPr>
          </w:p>
        </w:tc>
      </w:tr>
      <w:tr>
        <w:trPr>
          <w:trHeight w:val="83"/>
        </w:trPr>
        <w:tc>
          <w:tcPr>
            <w:tcW w:w="10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8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080" w:type="dxa"/>
            <w:vAlign w:val="bottom"/>
            <w:tcBorders>
              <w:top w:val="single" w:sz="8" w:color="CCEEFF"/>
              <w:bottom w:val="single" w:sz="8" w:color="CCEEFF"/>
            </w:tcBorders>
          </w:tcPr>
          <w:p>
            <w:pPr>
              <w:spacing w:after="0"/>
              <w:rPr>
                <w:sz w:val="11"/>
                <w:szCs w:val="11"/>
                <w:color w:val="auto"/>
              </w:rPr>
            </w:pPr>
          </w:p>
        </w:tc>
        <w:tc>
          <w:tcPr>
            <w:tcW w:w="50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152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60" w:type="dxa"/>
            <w:vAlign w:val="bottom"/>
            <w:tcBorders>
              <w:top w:val="single" w:sz="8" w:color="CCEEFF"/>
              <w:bottom w:val="single" w:sz="8" w:color="CCEEFF"/>
            </w:tcBorders>
          </w:tcPr>
          <w:p>
            <w:pPr>
              <w:spacing w:after="0"/>
              <w:rPr>
                <w:sz w:val="11"/>
                <w:szCs w:val="11"/>
                <w:color w:val="auto"/>
              </w:rPr>
            </w:pPr>
          </w:p>
        </w:tc>
        <w:tc>
          <w:tcPr>
            <w:tcW w:w="6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945</w:t>
            </w:r>
          </w:p>
        </w:tc>
        <w:tc>
          <w:tcPr>
            <w:tcW w:w="14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10,744</w:t>
            </w:r>
          </w:p>
        </w:tc>
        <w:tc>
          <w:tcPr>
            <w:tcW w:w="1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3,138</w:t>
            </w:r>
          </w:p>
        </w:tc>
        <w:tc>
          <w:tcPr>
            <w:tcW w:w="220" w:type="dxa"/>
            <w:vAlign w:val="bottom"/>
            <w:tcBorders>
              <w:top w:val="single" w:sz="8" w:color="CCEEFF"/>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(2,990)</w:t>
            </w:r>
          </w:p>
        </w:tc>
        <w:tc>
          <w:tcPr>
            <w:tcW w:w="2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1,079</w:t>
            </w:r>
          </w:p>
        </w:tc>
        <w:tc>
          <w:tcPr>
            <w:tcW w:w="2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11,971</w:t>
            </w:r>
          </w:p>
        </w:tc>
        <w:tc>
          <w:tcPr>
            <w:tcW w:w="12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580" w:type="dxa"/>
            <w:vAlign w:val="bottom"/>
            <w:gridSpan w:val="2"/>
            <w:shd w:val="clear" w:color="auto" w:fill="CCEEFF"/>
          </w:tcPr>
          <w:p>
            <w:pPr>
              <w:spacing w:after="0" w:line="114" w:lineRule="exact"/>
              <w:rPr>
                <w:sz w:val="20"/>
                <w:szCs w:val="20"/>
                <w:color w:val="auto"/>
              </w:rPr>
            </w:pPr>
            <w:r>
              <w:rPr>
                <w:rFonts w:ascii="Arial" w:cs="Arial" w:eastAsia="Arial" w:hAnsi="Arial"/>
                <w:sz w:val="13"/>
                <w:szCs w:val="13"/>
                <w:color w:val="auto"/>
              </w:rPr>
              <w:t>Sierra Hamilton Holdings</w:t>
            </w:r>
          </w:p>
        </w:tc>
        <w:tc>
          <w:tcPr>
            <w:tcW w:w="100" w:type="dxa"/>
            <w:vAlign w:val="bottom"/>
            <w:shd w:val="clear" w:color="auto" w:fill="CCEEFF"/>
          </w:tcPr>
          <w:p>
            <w:pPr>
              <w:spacing w:after="0"/>
              <w:rPr>
                <w:sz w:val="9"/>
                <w:szCs w:val="9"/>
                <w:color w:val="auto"/>
              </w:rPr>
            </w:pPr>
          </w:p>
        </w:tc>
        <w:tc>
          <w:tcPr>
            <w:tcW w:w="1620" w:type="dxa"/>
            <w:vAlign w:val="bottom"/>
            <w:gridSpan w:val="2"/>
            <w:shd w:val="clear" w:color="auto" w:fill="CCEEFF"/>
          </w:tcPr>
          <w:p>
            <w:pPr>
              <w:spacing w:after="0" w:line="114" w:lineRule="exact"/>
              <w:rPr>
                <w:sz w:val="20"/>
                <w:szCs w:val="20"/>
                <w:color w:val="auto"/>
              </w:rPr>
            </w:pPr>
            <w:r>
              <w:rPr>
                <w:rFonts w:ascii="Arial" w:cs="Arial" w:eastAsia="Arial" w:hAnsi="Arial"/>
                <w:sz w:val="13"/>
                <w:szCs w:val="13"/>
                <w:color w:val="auto"/>
              </w:rPr>
              <w:t>Second Lien Debt (15.0%</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Corporation</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PIK, Due 9/12/23)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748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116</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(423)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441</w:t>
            </w:r>
          </w:p>
        </w:tc>
        <w:tc>
          <w:tcPr>
            <w:tcW w:w="0" w:type="dxa"/>
            <w:vAlign w:val="bottom"/>
          </w:tcPr>
          <w:p>
            <w:pPr>
              <w:spacing w:after="0"/>
              <w:rPr>
                <w:sz w:val="1"/>
                <w:szCs w:val="1"/>
                <w:color w:val="auto"/>
              </w:rPr>
            </w:pPr>
          </w:p>
        </w:tc>
      </w:tr>
      <w:tr>
        <w:trPr>
          <w:trHeight w:val="121"/>
        </w:trPr>
        <w:tc>
          <w:tcPr>
            <w:tcW w:w="1580" w:type="dxa"/>
            <w:vAlign w:val="bottom"/>
            <w:gridSpan w:val="2"/>
          </w:tcPr>
          <w:p>
            <w:pPr>
              <w:spacing w:after="0" w:line="121" w:lineRule="exact"/>
              <w:rPr>
                <w:sz w:val="20"/>
                <w:szCs w:val="20"/>
                <w:color w:val="auto"/>
              </w:rPr>
            </w:pPr>
            <w:r>
              <w:rPr>
                <w:rFonts w:ascii="Arial" w:cs="Arial" w:eastAsia="Arial" w:hAnsi="Arial"/>
                <w:sz w:val="13"/>
                <w:szCs w:val="13"/>
                <w:color w:val="auto"/>
              </w:rPr>
              <w:t>Sierra Hamilton Holdings</w:t>
            </w:r>
          </w:p>
        </w:tc>
        <w:tc>
          <w:tcPr>
            <w:tcW w:w="100" w:type="dxa"/>
            <w:vAlign w:val="bottom"/>
          </w:tcPr>
          <w:p>
            <w:pPr>
              <w:spacing w:after="0"/>
              <w:rPr>
                <w:sz w:val="10"/>
                <w:szCs w:val="10"/>
                <w:color w:val="auto"/>
              </w:rPr>
            </w:pPr>
          </w:p>
        </w:tc>
        <w:tc>
          <w:tcPr>
            <w:tcW w:w="1620" w:type="dxa"/>
            <w:vAlign w:val="bottom"/>
            <w:gridSpan w:val="2"/>
          </w:tcPr>
          <w:p>
            <w:pPr>
              <w:spacing w:after="0" w:line="121" w:lineRule="exact"/>
              <w:rPr>
                <w:sz w:val="20"/>
                <w:szCs w:val="20"/>
                <w:color w:val="auto"/>
              </w:rPr>
            </w:pPr>
            <w:r>
              <w:rPr>
                <w:rFonts w:ascii="Arial" w:cs="Arial" w:eastAsia="Arial" w:hAnsi="Arial"/>
                <w:sz w:val="13"/>
                <w:szCs w:val="13"/>
                <w:color w:val="auto"/>
                <w:w w:val="98"/>
              </w:rPr>
              <w:t>Common Stock (15,068,000</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80"/>
              <w:spacing w:after="0"/>
              <w:rPr>
                <w:sz w:val="20"/>
                <w:szCs w:val="20"/>
                <w:color w:val="auto"/>
              </w:rPr>
            </w:pPr>
            <w:r>
              <w:rPr>
                <w:rFonts w:ascii="Arial" w:cs="Arial" w:eastAsia="Arial" w:hAnsi="Arial"/>
                <w:sz w:val="13"/>
                <w:szCs w:val="13"/>
                <w:color w:val="auto"/>
              </w:rPr>
              <w:t>Corporation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spacing w:after="0"/>
              <w:rPr>
                <w:sz w:val="20"/>
                <w:szCs w:val="20"/>
                <w:color w:val="auto"/>
              </w:rPr>
            </w:pPr>
            <w:r>
              <w:rPr>
                <w:rFonts w:ascii="Arial" w:cs="Arial" w:eastAsia="Arial" w:hAnsi="Arial"/>
                <w:sz w:val="13"/>
                <w:szCs w:val="13"/>
                <w:color w:val="auto"/>
              </w:rPr>
              <w:t>shares)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5,160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38"/>
              <w:spacing w:after="0"/>
              <w:rPr>
                <w:sz w:val="20"/>
                <w:szCs w:val="20"/>
                <w:color w:val="auto"/>
              </w:rPr>
            </w:pPr>
            <w:r>
              <w:rPr>
                <w:rFonts w:ascii="Arial" w:cs="Arial" w:eastAsia="Arial" w:hAnsi="Arial"/>
                <w:sz w:val="13"/>
                <w:szCs w:val="13"/>
                <w:color w:val="auto"/>
              </w:rPr>
              <w:t>(4,183)</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977</w:t>
            </w:r>
          </w:p>
        </w:tc>
        <w:tc>
          <w:tcPr>
            <w:tcW w:w="0" w:type="dxa"/>
            <w:vAlign w:val="bottom"/>
          </w:tcPr>
          <w:p>
            <w:pPr>
              <w:spacing w:after="0"/>
              <w:rPr>
                <w:sz w:val="1"/>
                <w:szCs w:val="1"/>
                <w:color w:val="auto"/>
              </w:rPr>
            </w:pPr>
          </w:p>
        </w:tc>
      </w:tr>
      <w:tr>
        <w:trPr>
          <w:trHeight w:val="128"/>
        </w:trPr>
        <w:tc>
          <w:tcPr>
            <w:tcW w:w="10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5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116</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(423)</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(4,183)</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V12 Holdings, Inc.</w:t>
            </w:r>
          </w:p>
        </w:tc>
        <w:tc>
          <w:tcPr>
            <w:tcW w:w="5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2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rPr>
              <w:t>Second Lien Debt</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708</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(276)</w:t>
            </w: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w:t>
            </w: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708</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(276)</w:t>
            </w: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w:t>
            </w: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490</w:t>
            </w: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580" w:type="dxa"/>
            <w:vAlign w:val="bottom"/>
            <w:gridSpan w:val="2"/>
          </w:tcPr>
          <w:p>
            <w:pPr>
              <w:spacing w:after="0"/>
              <w:rPr>
                <w:sz w:val="20"/>
                <w:szCs w:val="20"/>
                <w:color w:val="auto"/>
              </w:rPr>
            </w:pPr>
            <w:r>
              <w:rPr>
                <w:rFonts w:ascii="Arial" w:cs="Arial" w:eastAsia="Arial" w:hAnsi="Arial"/>
                <w:sz w:val="13"/>
                <w:szCs w:val="13"/>
                <w:b w:val="1"/>
                <w:bCs w:val="1"/>
                <w:i w:val="1"/>
                <w:iCs w:val="1"/>
                <w:color w:val="auto"/>
                <w:w w:val="96"/>
              </w:rPr>
              <w:t>Total Affiliate investments</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6,675</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98,763</w:t>
            </w: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5,978</w:t>
            </w:r>
          </w:p>
        </w:tc>
        <w:tc>
          <w:tcPr>
            <w:tcW w:w="160" w:type="dxa"/>
            <w:vAlign w:val="bottom"/>
          </w:tcPr>
          <w:p>
            <w:pPr>
              <w:jc w:val="right"/>
              <w:ind w:right="46"/>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(7,224</w:t>
            </w:r>
          </w:p>
        </w:tc>
        <w:tc>
          <w:tcPr>
            <w:tcW w:w="220" w:type="dxa"/>
            <w:vAlign w:val="bottom"/>
          </w:tcPr>
          <w:p>
            <w:pPr>
              <w:jc w:val="right"/>
              <w:ind w:right="9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98"/>
              <w:spacing w:after="0"/>
              <w:rPr>
                <w:sz w:val="20"/>
                <w:szCs w:val="20"/>
                <w:color w:val="auto"/>
              </w:rPr>
            </w:pPr>
            <w:r>
              <w:rPr>
                <w:rFonts w:ascii="Arial" w:cs="Arial" w:eastAsia="Arial" w:hAnsi="Arial"/>
                <w:sz w:val="13"/>
                <w:szCs w:val="13"/>
                <w:color w:val="auto"/>
              </w:rPr>
              <w:t>1,451</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(5,543</w:t>
            </w:r>
          </w:p>
        </w:tc>
        <w:tc>
          <w:tcPr>
            <w:tcW w:w="220" w:type="dxa"/>
            <w:vAlign w:val="bottom"/>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93,425</w:t>
            </w:r>
          </w:p>
        </w:tc>
        <w:tc>
          <w:tcPr>
            <w:tcW w:w="0" w:type="dxa"/>
            <w:vAlign w:val="bottom"/>
          </w:tcPr>
          <w:p>
            <w:pPr>
              <w:spacing w:after="0"/>
              <w:rPr>
                <w:sz w:val="1"/>
                <w:szCs w:val="1"/>
                <w:color w:val="auto"/>
              </w:rPr>
            </w:pPr>
          </w:p>
        </w:tc>
      </w:tr>
      <w:tr>
        <w:trPr>
          <w:trHeight w:val="116"/>
        </w:trPr>
        <w:tc>
          <w:tcPr>
            <w:tcW w:w="10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b w:val="1"/>
                <w:bCs w:val="1"/>
                <w:i w:val="1"/>
                <w:iCs w:val="1"/>
                <w:color w:val="auto"/>
                <w:w w:val="84"/>
              </w:rPr>
              <w:t>Control investments</w:t>
            </w:r>
          </w:p>
        </w:tc>
        <w:tc>
          <w:tcPr>
            <w:tcW w:w="5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5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spacing w:after="0" w:line="121" w:lineRule="exact"/>
              <w:rPr>
                <w:sz w:val="20"/>
                <w:szCs w:val="20"/>
                <w:color w:val="auto"/>
              </w:rPr>
            </w:pPr>
            <w:r>
              <w:rPr>
                <w:rFonts w:ascii="Arial" w:cs="Arial" w:eastAsia="Arial" w:hAnsi="Arial"/>
                <w:sz w:val="13"/>
                <w:szCs w:val="13"/>
                <w:color w:val="auto"/>
                <w:w w:val="92"/>
              </w:rPr>
              <w:t>Capitala Senior Loan Fund II,</w:t>
            </w:r>
          </w:p>
        </w:tc>
        <w:tc>
          <w:tcPr>
            <w:tcW w:w="100" w:type="dxa"/>
            <w:vAlign w:val="bottom"/>
          </w:tcPr>
          <w:p>
            <w:pPr>
              <w:spacing w:after="0"/>
              <w:rPr>
                <w:sz w:val="10"/>
                <w:szCs w:val="10"/>
                <w:color w:val="auto"/>
              </w:rPr>
            </w:pPr>
          </w:p>
        </w:tc>
        <w:tc>
          <w:tcPr>
            <w:tcW w:w="1620" w:type="dxa"/>
            <w:vAlign w:val="bottom"/>
            <w:gridSpan w:val="2"/>
          </w:tcPr>
          <w:p>
            <w:pPr>
              <w:spacing w:after="0" w:line="121" w:lineRule="exact"/>
              <w:rPr>
                <w:sz w:val="20"/>
                <w:szCs w:val="20"/>
                <w:color w:val="auto"/>
              </w:rPr>
            </w:pPr>
            <w:r>
              <w:rPr>
                <w:rFonts w:ascii="Arial" w:cs="Arial" w:eastAsia="Arial" w:hAnsi="Arial"/>
                <w:sz w:val="13"/>
                <w:szCs w:val="13"/>
                <w:color w:val="auto"/>
              </w:rPr>
              <w:t>Second Lien Debt (7.0%</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tcPr>
          <w:p>
            <w:pPr>
              <w:ind w:left="180"/>
              <w:spacing w:after="0" w:line="135" w:lineRule="exact"/>
              <w:rPr>
                <w:sz w:val="20"/>
                <w:szCs w:val="20"/>
                <w:color w:val="auto"/>
              </w:rPr>
            </w:pPr>
            <w:r>
              <w:rPr>
                <w:rFonts w:ascii="Arial" w:cs="Arial" w:eastAsia="Arial" w:hAnsi="Arial"/>
                <w:sz w:val="13"/>
                <w:szCs w:val="13"/>
                <w:color w:val="auto"/>
              </w:rPr>
              <w:t>LLC</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spacing w:after="0" w:line="135" w:lineRule="exact"/>
              <w:rPr>
                <w:sz w:val="20"/>
                <w:szCs w:val="20"/>
                <w:color w:val="auto"/>
              </w:rPr>
            </w:pPr>
            <w:r>
              <w:rPr>
                <w:rFonts w:ascii="Arial" w:cs="Arial" w:eastAsia="Arial" w:hAnsi="Arial"/>
                <w:sz w:val="13"/>
                <w:szCs w:val="13"/>
                <w:color w:val="auto"/>
              </w:rPr>
              <w:t>Cash (1 month LIBOR +</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spacing w:after="0"/>
              <w:rPr>
                <w:sz w:val="20"/>
                <w:szCs w:val="20"/>
                <w:color w:val="auto"/>
              </w:rPr>
            </w:pPr>
            <w:r>
              <w:rPr>
                <w:rFonts w:ascii="Arial" w:cs="Arial" w:eastAsia="Arial" w:hAnsi="Arial"/>
                <w:sz w:val="13"/>
                <w:szCs w:val="13"/>
                <w:color w:val="auto"/>
              </w:rPr>
              <w:t>6.0%), Due 9/3/24)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46"/>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5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2"/>
              </w:rPr>
              <w:t>Capitala Senior Loan Fund II,</w:t>
            </w:r>
          </w:p>
        </w:tc>
        <w:tc>
          <w:tcPr>
            <w:tcW w:w="100" w:type="dxa"/>
            <w:vAlign w:val="bottom"/>
            <w:shd w:val="clear" w:color="auto" w:fill="CCEEFF"/>
          </w:tcPr>
          <w:p>
            <w:pPr>
              <w:spacing w:after="0"/>
              <w:rPr>
                <w:sz w:val="10"/>
                <w:szCs w:val="10"/>
                <w:color w:val="auto"/>
              </w:rPr>
            </w:pPr>
          </w:p>
        </w:tc>
        <w:tc>
          <w:tcPr>
            <w:tcW w:w="16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Membership Units (80.0%</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LLC</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ownership)</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13,631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(13,116)</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(484)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080" w:type="dxa"/>
            <w:vAlign w:val="bottom"/>
            <w:tcBorders>
              <w:top w:val="single" w:sz="8" w:color="CCEEFF"/>
              <w:bottom w:val="single" w:sz="8" w:color="CCEEFF"/>
            </w:tcBorders>
          </w:tcPr>
          <w:p>
            <w:pPr>
              <w:spacing w:after="0"/>
              <w:rPr>
                <w:sz w:val="11"/>
                <w:szCs w:val="11"/>
                <w:color w:val="auto"/>
              </w:rPr>
            </w:pPr>
          </w:p>
        </w:tc>
        <w:tc>
          <w:tcPr>
            <w:tcW w:w="50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152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60" w:type="dxa"/>
            <w:vAlign w:val="bottom"/>
            <w:tcBorders>
              <w:top w:val="single" w:sz="8" w:color="CCEEFF"/>
              <w:bottom w:val="single" w:sz="8" w:color="CCEEFF"/>
            </w:tcBorders>
          </w:tcPr>
          <w:p>
            <w:pPr>
              <w:spacing w:after="0"/>
              <w:rPr>
                <w:sz w:val="11"/>
                <w:szCs w:val="11"/>
                <w:color w:val="auto"/>
              </w:rPr>
            </w:pPr>
          </w:p>
        </w:tc>
        <w:tc>
          <w:tcPr>
            <w:tcW w:w="6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13,631</w:t>
            </w:r>
          </w:p>
        </w:tc>
        <w:tc>
          <w:tcPr>
            <w:tcW w:w="1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(13,116)</w:t>
            </w:r>
          </w:p>
        </w:tc>
        <w:tc>
          <w:tcPr>
            <w:tcW w:w="2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(484)</w:t>
            </w:r>
          </w:p>
        </w:tc>
        <w:tc>
          <w:tcPr>
            <w:tcW w:w="14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w:t>
            </w:r>
          </w:p>
        </w:tc>
        <w:tc>
          <w:tcPr>
            <w:tcW w:w="2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08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Vology, Inc.</w:t>
            </w: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20" w:type="dxa"/>
            <w:vAlign w:val="bottom"/>
            <w:gridSpan w:val="2"/>
            <w:shd w:val="clear" w:color="auto" w:fill="CCEEFF"/>
          </w:tcPr>
          <w:p>
            <w:pPr>
              <w:spacing w:after="0" w:line="114" w:lineRule="exact"/>
              <w:rPr>
                <w:sz w:val="20"/>
                <w:szCs w:val="20"/>
                <w:color w:val="auto"/>
              </w:rPr>
            </w:pPr>
            <w:r>
              <w:rPr>
                <w:rFonts w:ascii="Arial" w:cs="Arial" w:eastAsia="Arial" w:hAnsi="Arial"/>
                <w:sz w:val="13"/>
                <w:szCs w:val="13"/>
                <w:color w:val="auto"/>
                <w:w w:val="97"/>
              </w:rPr>
              <w:t>First Lien Debt (10.5% Cash</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(1 month LIBOR + 8.5%,</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 Floor), Due 12/31/21)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3,732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3,877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3,732</w:t>
            </w:r>
          </w:p>
        </w:tc>
        <w:tc>
          <w:tcPr>
            <w:tcW w:w="0" w:type="dxa"/>
            <w:vAlign w:val="bottom"/>
          </w:tcPr>
          <w:p>
            <w:pPr>
              <w:spacing w:after="0"/>
              <w:rPr>
                <w:sz w:val="1"/>
                <w:szCs w:val="1"/>
                <w:color w:val="auto"/>
              </w:rPr>
            </w:pPr>
          </w:p>
        </w:tc>
      </w:tr>
      <w:tr>
        <w:trPr>
          <w:trHeight w:val="121"/>
        </w:trPr>
        <w:tc>
          <w:tcPr>
            <w:tcW w:w="1080" w:type="dxa"/>
            <w:vAlign w:val="bottom"/>
          </w:tcPr>
          <w:p>
            <w:pPr>
              <w:spacing w:after="0" w:line="121" w:lineRule="exact"/>
              <w:rPr>
                <w:sz w:val="20"/>
                <w:szCs w:val="20"/>
                <w:color w:val="auto"/>
              </w:rPr>
            </w:pPr>
            <w:r>
              <w:rPr>
                <w:rFonts w:ascii="Arial" w:cs="Arial" w:eastAsia="Arial" w:hAnsi="Arial"/>
                <w:sz w:val="13"/>
                <w:szCs w:val="13"/>
                <w:color w:val="auto"/>
              </w:rPr>
              <w:t>Vology, Inc.</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tcPr>
          <w:p>
            <w:pPr>
              <w:spacing w:after="0" w:line="121" w:lineRule="exact"/>
              <w:rPr>
                <w:sz w:val="20"/>
                <w:szCs w:val="20"/>
                <w:color w:val="auto"/>
              </w:rPr>
            </w:pPr>
            <w:r>
              <w:rPr>
                <w:rFonts w:ascii="Arial" w:cs="Arial" w:eastAsia="Arial" w:hAnsi="Arial"/>
                <w:sz w:val="13"/>
                <w:szCs w:val="13"/>
                <w:color w:val="auto"/>
              </w:rPr>
              <w:t>Class A Preferred Units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spacing w:after="0"/>
              <w:rPr>
                <w:sz w:val="20"/>
                <w:szCs w:val="20"/>
                <w:color w:val="auto"/>
              </w:rPr>
            </w:pPr>
            <w:r>
              <w:rPr>
                <w:rFonts w:ascii="Arial" w:cs="Arial" w:eastAsia="Arial" w:hAnsi="Arial"/>
                <w:sz w:val="13"/>
                <w:szCs w:val="13"/>
                <w:color w:val="auto"/>
              </w:rPr>
              <w:t>(9,041,810 Units)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5,215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38"/>
              <w:spacing w:after="0"/>
              <w:rPr>
                <w:sz w:val="20"/>
                <w:szCs w:val="20"/>
                <w:color w:val="auto"/>
              </w:rPr>
            </w:pPr>
            <w:r>
              <w:rPr>
                <w:rFonts w:ascii="Arial" w:cs="Arial" w:eastAsia="Arial" w:hAnsi="Arial"/>
                <w:sz w:val="13"/>
                <w:szCs w:val="13"/>
                <w:color w:val="auto"/>
              </w:rPr>
              <w:t>(528)</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4,687</w:t>
            </w: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Vology, Inc.</w:t>
            </w: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Membership Units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(5,363,982 Units)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080" w:type="dxa"/>
            <w:vAlign w:val="bottom"/>
            <w:tcBorders>
              <w:top w:val="single" w:sz="8" w:color="CCEEFF"/>
              <w:bottom w:val="single" w:sz="8" w:color="CCEEFF"/>
            </w:tcBorders>
          </w:tcPr>
          <w:p>
            <w:pPr>
              <w:spacing w:after="0"/>
              <w:rPr>
                <w:sz w:val="11"/>
                <w:szCs w:val="11"/>
                <w:color w:val="auto"/>
              </w:rPr>
            </w:pPr>
          </w:p>
        </w:tc>
        <w:tc>
          <w:tcPr>
            <w:tcW w:w="50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152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60" w:type="dxa"/>
            <w:vAlign w:val="bottom"/>
            <w:tcBorders>
              <w:top w:val="single" w:sz="8" w:color="CCEEFF"/>
              <w:bottom w:val="single" w:sz="8" w:color="CCEEFF"/>
            </w:tcBorders>
          </w:tcPr>
          <w:p>
            <w:pPr>
              <w:spacing w:after="0"/>
              <w:rPr>
                <w:sz w:val="11"/>
                <w:szCs w:val="11"/>
                <w:color w:val="auto"/>
              </w:rPr>
            </w:pPr>
          </w:p>
        </w:tc>
        <w:tc>
          <w:tcPr>
            <w:tcW w:w="6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410</w:t>
            </w:r>
          </w:p>
        </w:tc>
        <w:tc>
          <w:tcPr>
            <w:tcW w:w="14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9,092</w:t>
            </w:r>
          </w:p>
        </w:tc>
        <w:tc>
          <w:tcPr>
            <w:tcW w:w="1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(145)</w:t>
            </w:r>
          </w:p>
        </w:tc>
        <w:tc>
          <w:tcPr>
            <w:tcW w:w="2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(528)</w:t>
            </w:r>
          </w:p>
        </w:tc>
        <w:tc>
          <w:tcPr>
            <w:tcW w:w="2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8,419</w:t>
            </w:r>
          </w:p>
        </w:tc>
        <w:tc>
          <w:tcPr>
            <w:tcW w:w="12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5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b w:val="1"/>
                <w:bCs w:val="1"/>
                <w:i w:val="1"/>
                <w:iCs w:val="1"/>
                <w:color w:val="auto"/>
                <w:w w:val="97"/>
              </w:rPr>
              <w:t>Total Control investments</w:t>
            </w: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410</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22,723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(13,261</w:t>
            </w:r>
          </w:p>
        </w:tc>
        <w:tc>
          <w:tcPr>
            <w:tcW w:w="220" w:type="dxa"/>
            <w:vAlign w:val="bottom"/>
            <w:shd w:val="clear" w:color="auto" w:fill="CCEEFF"/>
          </w:tcPr>
          <w:p>
            <w:pPr>
              <w:jc w:val="right"/>
              <w:ind w:right="97"/>
              <w:spacing w:after="0" w:line="141"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w:t>
            </w:r>
          </w:p>
        </w:tc>
        <w:tc>
          <w:tcPr>
            <w:tcW w:w="1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2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8,419</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-136525</wp:posOffset>
            </wp:positionV>
            <wp:extent cx="1454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-136525</wp:posOffset>
            </wp:positionV>
            <wp:extent cx="1543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-136525</wp:posOffset>
            </wp:positionV>
            <wp:extent cx="137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-136525</wp:posOffset>
            </wp:positionV>
            <wp:extent cx="137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-136525</wp:posOffset>
            </wp:positionV>
            <wp:extent cx="1454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-136525</wp:posOffset>
            </wp:positionV>
            <wp:extent cx="1625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wp:posOffset>
            </wp:positionV>
            <wp:extent cx="2580005"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80005" cy="10287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-839470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-839470</wp:posOffset>
            </wp:positionV>
            <wp:extent cx="1454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-839470</wp:posOffset>
            </wp:positionV>
            <wp:extent cx="1543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-839470</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-839470</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-839470</wp:posOffset>
            </wp:positionV>
            <wp:extent cx="1454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-839470</wp:posOffset>
            </wp:positionV>
            <wp:extent cx="1625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-839470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-933450</wp:posOffset>
            </wp:positionV>
            <wp:extent cx="2091690" cy="102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91690" cy="10287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-1679575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-1679575</wp:posOffset>
            </wp:positionV>
            <wp:extent cx="1454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-1679575</wp:posOffset>
            </wp:positionV>
            <wp:extent cx="1543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-1679575</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-1679575</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-1679575</wp:posOffset>
            </wp:positionV>
            <wp:extent cx="1454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-1679575</wp:posOffset>
            </wp:positionV>
            <wp:extent cx="1625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-1679575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-1773555</wp:posOffset>
            </wp:positionV>
            <wp:extent cx="2091690" cy="102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91690" cy="10287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-1868170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-1868170</wp:posOffset>
            </wp:positionV>
            <wp:extent cx="1454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-1868170</wp:posOffset>
            </wp:positionV>
            <wp:extent cx="1543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-1868170</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-1868170</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-1868170</wp:posOffset>
            </wp:positionV>
            <wp:extent cx="1454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-1868170</wp:posOffset>
            </wp:positionV>
            <wp:extent cx="1625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-1868170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2091690"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91690" cy="17970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-2219325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-2219325</wp:posOffset>
            </wp:positionV>
            <wp:extent cx="1454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-2219325</wp:posOffset>
            </wp:positionV>
            <wp:extent cx="1543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-2219325</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-2219325</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-2219325</wp:posOffset>
            </wp:positionV>
            <wp:extent cx="1454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-2219325</wp:posOffset>
            </wp:positionV>
            <wp:extent cx="1625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-2219325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-2313940</wp:posOffset>
            </wp:positionV>
            <wp:extent cx="2091690" cy="1028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91690" cy="10287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-2922270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-2922270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-2922270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-2922270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-2922270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-2922270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-2922270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-2922270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-2922270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-2922270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4230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7" w:lineRule="exact"/>
        <w:rPr>
          <w:sz w:val="20"/>
          <w:szCs w:val="20"/>
          <w:color w:val="auto"/>
        </w:rPr>
      </w:pPr>
    </w:p>
    <w:p>
      <w:pPr>
        <w:ind w:left="360" w:hanging="352"/>
        <w:spacing w:after="0" w:line="277"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total amount of interest, original issue discount, fees and dividends credited to income for the portion of the year an investment was included in Affiliate or Control categories, respectively.</w:t>
      </w:r>
    </w:p>
    <w:p>
      <w:pPr>
        <w:spacing w:after="0" w:line="170"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spacing w:after="0" w:line="170"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and sales. Gross reductions also include transfers out of Affiliate or Control classification.</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Note 6. Agreements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or by a majority of our outstanding voting securities, including, in either case, by a majority of our directors who are not "interested persons" as such term is defined in Section 2(a)(19) of the 1940 Act ("Independent Directors"). The Investment Advisory Agreement was most recently re-approved by the Board, including a majority of our Independent Directors, at a meeting on July 30, 2020.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177" w:lineRule="exact"/>
        <w:rPr>
          <w:sz w:val="20"/>
          <w:szCs w:val="20"/>
          <w:color w:val="auto"/>
        </w:rPr>
      </w:pPr>
    </w:p>
    <w:p>
      <w:pPr>
        <w:ind w:left="660"/>
        <w:spacing w:after="0"/>
        <w:tabs>
          <w:tab w:leader="none" w:pos="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determines the composition of our portfolio, the nature and timing of the changes to our portfolio, and the manner of implementing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changes;</w:t>
      </w:r>
    </w:p>
    <w:p>
      <w:pPr>
        <w:spacing w:after="0" w:line="211" w:lineRule="exact"/>
        <w:rPr>
          <w:sz w:val="20"/>
          <w:szCs w:val="20"/>
          <w:color w:val="auto"/>
        </w:rPr>
      </w:pPr>
    </w:p>
    <w:p>
      <w:pPr>
        <w:ind w:firstLine="656"/>
        <w:spacing w:after="0" w:line="277" w:lineRule="auto"/>
        <w:tabs>
          <w:tab w:leader="none" w:pos="8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800" w:hanging="14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Advisor an incentive fee with respect to the pre-incentive fee net investment income in each calendar quarter as follows:</w:t>
      </w:r>
    </w:p>
    <w:p>
      <w:pPr>
        <w:spacing w:after="0" w:line="172" w:lineRule="exact"/>
        <w:rPr>
          <w:sz w:val="20"/>
          <w:szCs w:val="20"/>
          <w:color w:val="auto"/>
        </w:rPr>
      </w:pPr>
    </w:p>
    <w:p>
      <w:pPr>
        <w:ind w:left="800" w:hanging="14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of 2.0%;</w:t>
      </w:r>
    </w:p>
    <w:p>
      <w:pPr>
        <w:spacing w:after="0" w:line="225" w:lineRule="exact"/>
        <w:rPr>
          <w:rFonts w:ascii="Arial" w:cs="Arial" w:eastAsia="Arial" w:hAnsi="Arial"/>
          <w:sz w:val="18"/>
          <w:szCs w:val="18"/>
          <w:color w:val="auto"/>
        </w:rPr>
      </w:pPr>
    </w:p>
    <w:p>
      <w:pPr>
        <w:jc w:val="both"/>
        <w:ind w:firstLine="656"/>
        <w:spacing w:after="0" w:line="301" w:lineRule="auto"/>
        <w:tabs>
          <w:tab w:leader="none" w:pos="823" w:val="left"/>
        </w:tabs>
        <w:numPr>
          <w:ilvl w:val="0"/>
          <w:numId w:val="17"/>
        </w:numPr>
        <w:rPr>
          <w:rFonts w:ascii="Arial" w:cs="Arial" w:eastAsia="Arial" w:hAnsi="Arial"/>
          <w:sz w:val="16"/>
          <w:szCs w:val="16"/>
          <w:color w:val="auto"/>
        </w:rPr>
      </w:pPr>
      <w:r>
        <w:rPr>
          <w:rFonts w:ascii="Arial" w:cs="Arial" w:eastAsia="Arial" w:hAnsi="Arial"/>
          <w:sz w:val="16"/>
          <w:szCs w:val="16"/>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157" w:lineRule="exact"/>
        <w:rPr>
          <w:rFonts w:ascii="Arial" w:cs="Arial" w:eastAsia="Arial" w:hAnsi="Arial"/>
          <w:sz w:val="16"/>
          <w:szCs w:val="16"/>
          <w:color w:val="auto"/>
        </w:rPr>
      </w:pPr>
    </w:p>
    <w:p>
      <w:pPr>
        <w:jc w:val="both"/>
        <w:ind w:firstLine="656"/>
        <w:spacing w:after="0" w:line="263" w:lineRule="auto"/>
        <w:tabs>
          <w:tab w:leader="none" w:pos="8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March 31, 2021 and December 31, 2020, the Company had incentive fees payable to the Investment Advisor of $3.7 million related to fees earned in prior years but deferred under the incentive fee deferral mechanism.</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three months ended March 31, 2021 and 2020, the Company incurred $1.4 million and $1.8 million in base management fees, respectively. The Company incurred $0.0 in incentive fees related to pre-incentive fee net investment income for the three months ended March 31, 2021 and 2020. For the three months ended March 31, 2021 and 2020, our Investment Advisor waived $0.0 in incentive fees.</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September 24, 2013,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jc w:val="both"/>
        <w:ind w:firstLine="648"/>
        <w:spacing w:after="0" w:line="271" w:lineRule="auto"/>
        <w:rPr>
          <w:sz w:val="20"/>
          <w:szCs w:val="20"/>
          <w:color w:val="auto"/>
        </w:rPr>
      </w:pPr>
      <w:r>
        <w:rPr>
          <w:rFonts w:ascii="Arial" w:cs="Arial" w:eastAsia="Arial" w:hAnsi="Arial"/>
          <w:sz w:val="17"/>
          <w:szCs w:val="17"/>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Board. The Board most recently approved the renewal of the Administration Agreement on July 30, 2020.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2021 and 2020, the Company paid the Administrator $0.4 million for the Company’s allocable portion of the Administrator’s overhead.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March 31, 2021 and December 31, 2020, the Company had $3.8 million of management and incentive fees payable to the Investment Advisor. These amounts are reflected in the accompanying consolidated statements of assets and liabilities under the caption “Management and incentive fees payable.”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1, 2020, the Company purchased approximately 50% of the outstanding loans in CSLF II at par as part of the wind-down of the joint venture. The Company paid $8.3 million for the loans and assumed a $3.0 million unfunded commitment related to Rapid Fire Protection, Inc.’s revolving credit facility. On June 12, 2020, the Company wound down CSLF II. See Note 4 for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SBA-guaranteed Debentures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through its wholly owned subsidiary Fund III, uses debenture leverage provided through the SBA to fund a portion of its investment portfolio. As of March 31, 2021 and December 31, 2020, the Company had $71.0 million and $91.0 million of SBA-guaranteed debentures outstanding, respectively. The Company has issued all SBA-guaranteed debentures that were permitted under each of the Legacy Funds’ respective SBIC licenses (as applicable), and there are no unused SBA-guaranteed debenture commitments remaining. On March 1, 2019, Fund II repaid its outstanding SBA-guaranteed debentures and relinquished its SBIC license. SBA-guaranteed debentures are secured by a lien on all assets of Fund III and were secured by a lien on all assets of Fund II prior to March 1, 2019. As of March 31, 2021 and December 31, 2020, Fund III had total assets of $174.2 million and $186.0 million, respectively.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both"/>
        <w:ind w:right="20" w:firstLine="648"/>
        <w:spacing w:after="0" w:line="342" w:lineRule="auto"/>
        <w:rPr>
          <w:sz w:val="20"/>
          <w:szCs w:val="20"/>
          <w:color w:val="auto"/>
        </w:rPr>
      </w:pPr>
      <w:r>
        <w:rPr>
          <w:rFonts w:ascii="Arial" w:cs="Arial" w:eastAsia="Arial" w:hAnsi="Arial"/>
          <w:sz w:val="16"/>
          <w:szCs w:val="16"/>
          <w:color w:val="auto"/>
        </w:rPr>
        <w:t>The following table summarizes the interest expense and annual charges, deferred financing costs, average outstanding balance, and average stated interest and annual charge rate on the SBA-guaranteed debentures for the three months ended March 31, 2021 and 2020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3"/>
              </w:rPr>
              <w:t>March 31, 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March 31,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84,111</w:t>
            </w: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150,000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 and annual charge rate</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2021 and December 31, 2020, the Company’s issued and outstanding SBA-guaranteed debentures mature as follows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SBA Annual</w:t>
            </w:r>
          </w:p>
        </w:tc>
        <w:tc>
          <w:tcPr>
            <w:tcW w:w="22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Fixed Maturity Date</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Interest Rate</w:t>
            </w:r>
          </w:p>
        </w:tc>
        <w:tc>
          <w:tcPr>
            <w:tcW w:w="2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Charge</w:t>
            </w:r>
          </w:p>
        </w:tc>
        <w:tc>
          <w:tcPr>
            <w:tcW w:w="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March 1, 2021</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4.084%</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2.766%</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0.285%</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0.515%</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March 1, 2023</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2.351%</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0.515%</w:t>
            </w:r>
          </w:p>
        </w:tc>
        <w:tc>
          <w:tcPr>
            <w:tcW w:w="2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23"/>
        </w:trPr>
        <w:tc>
          <w:tcPr>
            <w:tcW w:w="44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25" w:lineRule="exact"/>
        <w:rPr>
          <w:sz w:val="20"/>
          <w:szCs w:val="20"/>
          <w:color w:val="auto"/>
        </w:rPr>
      </w:pPr>
    </w:p>
    <w:p>
      <w:pPr>
        <w:jc w:val="both"/>
        <w:ind w:firstLine="717"/>
        <w:spacing w:after="0" w:line="275" w:lineRule="auto"/>
        <w:rPr>
          <w:sz w:val="20"/>
          <w:szCs w:val="20"/>
          <w:color w:val="auto"/>
        </w:rPr>
      </w:pPr>
      <w:r>
        <w:rPr>
          <w:rFonts w:ascii="Arial" w:cs="Arial" w:eastAsia="Arial" w:hAnsi="Arial"/>
          <w:sz w:val="17"/>
          <w:szCs w:val="17"/>
          <w:color w:val="auto"/>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 As of March 31, 2021 and December 31, 2020, the Company had $72.8 million in 2022 Notes outstanding.</w:t>
      </w:r>
    </w:p>
    <w:p>
      <w:pPr>
        <w:spacing w:after="0" w:line="17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Notes for the three months ended March 31, 2021 and 2020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3"/>
              </w:rPr>
              <w:t>March 31, 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March 31,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72,833</w:t>
            </w: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75,000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26, 2017, the Company issued $50.0 million in aggregate principal amount of 5.75% fixed-rate convertible notes due May 31, 2022 (the “2022 Convertible Notes”). On June 26, 2017, the Company issued an additional $2.1 million in aggregate principal amount of the 2022 Convertible Notes pursuant to a partial exercise of the underwriters’ overallotment option.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both"/>
        <w:ind w:firstLine="648"/>
        <w:spacing w:after="0" w:line="290" w:lineRule="auto"/>
        <w:rPr>
          <w:sz w:val="20"/>
          <w:szCs w:val="20"/>
          <w:color w:val="auto"/>
        </w:rPr>
      </w:pPr>
      <w:r>
        <w:rPr>
          <w:rFonts w:ascii="Arial" w:cs="Arial" w:eastAsia="Arial" w:hAnsi="Arial"/>
          <w:sz w:val="16"/>
          <w:szCs w:val="16"/>
          <w:color w:val="auto"/>
        </w:rPr>
        <w:t>The 2022 Convertible Notes are convertible, at the holder’s option, into shares of the Company’s common stock at any time on or prior to the close of business on the business day immediately preceding the maturity date. The conversion rate for the 2022 Convertible Notes was initially 1.5913 shares per $25.00 principal amount of 2022 Convertible Notes (equivalent to an initial conversion price of approximately $15.71 per share of common stock). The initial conversion premium is approximately 14.0%. As a result of the Reverse Stock Split, the conversion rate for the 2022 Convertible Notes is 0.2652 shares per $25.00 principal amount of 2022 Convertible Notes (equivalent to a conversion price of approximately $94.26) effective August 21, 2020. Upon conversion, the Company will deliver shares of its common stock (and cash in lieu of fractional shares). The conversion rate is subject to adjustment if certain events occur as outlined in the supplemental indenture relating to the 2022 Convertible Notes. The Company has determined that the embedded conversion option in the 2022 Convertible Notes is not required to be separately accounted for as a derivative under U.S. GAAP.</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and December 31, 2020, the Company had $52.1 million in 2022 Convertible Notes outstanding.</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Convertible Notes for the three months ended March 31, 2021 and 2020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3"/>
              </w:rPr>
              <w:t>March 31, 2021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March 31,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color w:val="auto"/>
              </w:rPr>
              <w:t>Average outstanding balance</w:t>
            </w: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52,088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Average stated interest rate</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Bond Repurchase Program</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July 30, 2020, the Board approved a bond repurchase program which authorizes the Company to repurchase up to an aggregate of $10.0 million worth of the Company's outstanding 2022 Notes and/or 2022 Convertible Notes (the "Bond Repurchase Program"). The Bond Repurchase Program will terminate upon the earlier of (i) July 30, 2021 or (ii) the repurchase of an aggregate of $10.0 million worth of 2022 Notes and/or 2022 Convertible Notes. During the three months ended March 31, 2021 and 2020, the Company did not purchase any of the 2022 Notes or the 2022 Convertible Notes.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ING Credit Facility</w:t>
      </w:r>
    </w:p>
    <w:p>
      <w:pPr>
        <w:spacing w:after="0" w:line="225" w:lineRule="exact"/>
        <w:rPr>
          <w:sz w:val="20"/>
          <w:szCs w:val="20"/>
          <w:color w:val="auto"/>
        </w:rPr>
      </w:pPr>
    </w:p>
    <w:p>
      <w:pPr>
        <w:jc w:val="both"/>
        <w:ind w:firstLine="703"/>
        <w:spacing w:after="0" w:line="263" w:lineRule="auto"/>
        <w:rPr>
          <w:sz w:val="20"/>
          <w:szCs w:val="20"/>
          <w:color w:val="auto"/>
        </w:rPr>
      </w:pPr>
      <w:r>
        <w:rPr>
          <w:rFonts w:ascii="Arial" w:cs="Arial" w:eastAsia="Arial" w:hAnsi="Arial"/>
          <w:sz w:val="18"/>
          <w:szCs w:val="18"/>
          <w:color w:val="auto"/>
        </w:rPr>
        <w:t>On October 17, 2014, the Company entered into a senior secured revolving credit agreement (as amended, the “ING Credit Facility”) with ING Capital, LLC, as administrative agent, arranger, and bookrunner, and the lenders party thereto. The ING Credit Facility was set to mature on April 30, 2022. On June 19, 2020, the Company unilaterally terminated the ING Credit Facility.</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Borrowings under the ING Credit Facility bore interest, at the Company’s election, at a rate per annum equal to (i) the one, two, three or six month LIBOR, as applicable, plus 3.50% or (ii) 2.00% plus the highest of (A) a prime rate, (B) the Federal Funds rate plus 0.5%, and (C) three month LIBOR plus 1.0%. The Company’s ability to elect LIBOR indices with various tenors (e.g., one, two, three or six month LIBOR) on which the interest rates for borrowings under the ING Credit Facility were based, provided the Company with increased flexibility to manage interest rate risks as compared to a borrowing arrangement that did not provide for such optionality. Once a particular LIBOR had been selected, the interest rate on the applicable amount borrowed reset after the applicable tenor period and was based on the then applicable selected LIBOR (e.g., borrowings for which the Company elected the one month LIBOR reset on the one month anniversary of the period based on the then selected LIBOR). For any given borrowing under the ING Credit Facility, the Company elected what it believed to be an appropriate LIBOR taking into account the Company’s needs at the time as well as the Company’s view of future interest rate movements. The ING Credit Facility provided for the ability to step-down the pricing of the ING Credit Facility from LIBOR plus 3.50% to LIBOR plus 3.00% when certain conditions were met. The Company also paid an unused commitment fee at a rate of 0.75% per annum on the unutilized portion of the aggregate commitments under the ING Credit Facility on each day when the utilized portion of the aggregate commitments was less than 35% for such day and 0.50% per annum on the unutilized portion of the aggregate commitments under the ING Credit Facility when the utilized portion was greater than 35% for such day.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both"/>
        <w:ind w:firstLine="648"/>
        <w:spacing w:after="0" w:line="308" w:lineRule="auto"/>
        <w:rPr>
          <w:sz w:val="20"/>
          <w:szCs w:val="20"/>
          <w:color w:val="auto"/>
        </w:rPr>
      </w:pPr>
      <w:r>
        <w:rPr>
          <w:rFonts w:ascii="Arial" w:cs="Arial" w:eastAsia="Arial" w:hAnsi="Arial"/>
          <w:sz w:val="17"/>
          <w:szCs w:val="17"/>
          <w:color w:val="auto"/>
        </w:rPr>
        <w:t>The following table summarizes the interest expense, deferred financing costs, unused commitment fees, average outstanding balance, and average stated interest rate on the ING Credit Facility for the three months ended March 31, 2021 and 2020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6"/>
          </w:tcPr>
          <w:p>
            <w:pPr>
              <w:ind w:left="36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March 31, 2021</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March 31,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9"/>
                <w:szCs w:val="19"/>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57"/>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fees</w:t>
            </w: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92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ind w:left="1160"/>
              <w:spacing w:after="0"/>
              <w:rPr>
                <w:sz w:val="20"/>
                <w:szCs w:val="20"/>
                <w:color w:val="auto"/>
              </w:rPr>
            </w:pPr>
            <w:r>
              <w:rPr>
                <w:rFonts w:ascii="Arial" w:cs="Arial" w:eastAsia="Arial" w:hAnsi="Arial"/>
                <w:sz w:val="18"/>
                <w:szCs w:val="18"/>
                <w:color w:val="auto"/>
                <w:w w:val="88"/>
              </w:rPr>
              <w:t>—</w:t>
            </w:r>
          </w:p>
        </w:tc>
        <w:tc>
          <w:tcPr>
            <w:tcW w:w="220" w:type="dxa"/>
            <w:vAlign w:val="bottom"/>
            <w:vMerge w:val="continue"/>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97"/>
        </w:trPr>
        <w:tc>
          <w:tcPr>
            <w:tcW w:w="7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outstanding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ind w:left="116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Average stated interest rate</w:t>
            </w:r>
          </w:p>
        </w:tc>
        <w:tc>
          <w:tcPr>
            <w:tcW w:w="100" w:type="dxa"/>
            <w:vAlign w:val="bottom"/>
          </w:tcPr>
          <w:p>
            <w:pPr>
              <w:spacing w:after="0"/>
              <w:rPr>
                <w:sz w:val="20"/>
                <w:szCs w:val="20"/>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ind w:left="116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KeyBank Credit Facility</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October 30, 2020, CBL, a direct, wholly owned, consolidated subsidiary of the Company, entered into the KeyBank Credit Facility, with the Investment Adviser, as collateral manager, the lenders from time to time parties thereto (each a “Lender”), KeyBank National Association, as administrative agent, and U.S. Bank National Association, as custodian. Under the KeyBank Credit Facility, the Lenders have agreed to extend credit to CBL in an aggregate principal amount of up to $25.0 million as of October 30, 2020. CBL may, on any business day prior to October 28, 2022, request an increase in the aggregate principal amount from $25.0 million to $100.0 million in accordance with the terms and in the manner described in the KeyBank Credit Facility. The period during which the Lenders may make loans to CBL under the KeyBank Credit Facility commenced on October 30, 2020 and will continue through October 28, 2022, unless there is an earlier termination or event of default. The KeyBank Credit Facility matures on October 28, 2023, unless there is an earlier termination or event of default. Borrowings under the KeyBank Credit Facility bear interest at one-month LIBOR plus 3.5%, subject to a minimum interest rate of 4.25%. The Company will also pay an unused commitment fee at a rate of 1.75% per annum on the unutilized portion of the aggregate commitments under the KeyBank Credit Facility. As of March 31, 2021, the Company had $0.0 outstanding and $25.0 million available under the KeyBank Credit Facility. The KeyBank Credit Facility is secured by the investments and other assets held by CBL, the Company’s wholly owned subsidiary. As of March 31, 2021, assets pledged to secure the KeyBank Credit Facility had a fair value of $56.9 million.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unused commitment fees, average outstanding balance, and average stated interest rate on the KeyBank Credit Facility for the three months ended March 31, 2021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For the Three</w:t>
            </w:r>
          </w:p>
        </w:tc>
      </w:tr>
      <w:tr>
        <w:trPr>
          <w:trHeight w:val="234"/>
        </w:trPr>
        <w:tc>
          <w:tcPr>
            <w:tcW w:w="9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Months Ended</w:t>
            </w:r>
          </w:p>
        </w:tc>
      </w:tr>
      <w:tr>
        <w:trPr>
          <w:trHeight w:val="209"/>
        </w:trPr>
        <w:tc>
          <w:tcPr>
            <w:tcW w:w="96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March 31, 2021</w:t>
            </w:r>
          </w:p>
        </w:tc>
        <w:tc>
          <w:tcPr>
            <w:tcW w:w="160" w:type="dxa"/>
            <w:vAlign w:val="bottom"/>
            <w:tcBorders>
              <w:bottom w:val="single" w:sz="8" w:color="CCEEFF"/>
            </w:tcBorders>
          </w:tcPr>
          <w:p>
            <w:pPr>
              <w:spacing w:after="0"/>
              <w:rPr>
                <w:sz w:val="18"/>
                <w:szCs w:val="18"/>
                <w:color w:val="auto"/>
              </w:rPr>
            </w:pPr>
          </w:p>
        </w:tc>
      </w:tr>
      <w:tr>
        <w:trPr>
          <w:trHeight w:val="209"/>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r>
      <w:tr>
        <w:trPr>
          <w:trHeight w:val="229"/>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fees</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r>
      <w:tr>
        <w:trPr>
          <w:trHeight w:val="263"/>
        </w:trPr>
        <w:tc>
          <w:tcPr>
            <w:tcW w:w="9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bottom w:val="single" w:sz="8" w:color="CCEEFF"/>
            </w:tcBorders>
          </w:tcPr>
          <w:p>
            <w:pPr>
              <w:spacing w:after="0"/>
              <w:rPr>
                <w:sz w:val="22"/>
                <w:szCs w:val="22"/>
                <w:color w:val="auto"/>
              </w:rPr>
            </w:pPr>
          </w:p>
        </w:tc>
      </w:tr>
      <w:tr>
        <w:trPr>
          <w:trHeight w:val="196"/>
        </w:trPr>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outstanding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r>
      <w:tr>
        <w:trPr>
          <w:trHeight w:val="230"/>
        </w:trPr>
        <w:tc>
          <w:tcPr>
            <w:tcW w:w="9640" w:type="dxa"/>
            <w:vAlign w:val="bottom"/>
          </w:tcPr>
          <w:p>
            <w:pPr>
              <w:spacing w:after="0"/>
              <w:rPr>
                <w:sz w:val="20"/>
                <w:szCs w:val="20"/>
                <w:color w:val="auto"/>
              </w:rPr>
            </w:pPr>
            <w:r>
              <w:rPr>
                <w:rFonts w:ascii="Arial" w:cs="Arial" w:eastAsia="Arial" w:hAnsi="Arial"/>
                <w:sz w:val="18"/>
                <w:szCs w:val="18"/>
                <w:color w:val="auto"/>
              </w:rPr>
              <w:t>Average stated interest rate</w:t>
            </w:r>
          </w:p>
        </w:tc>
        <w:tc>
          <w:tcPr>
            <w:tcW w:w="100" w:type="dxa"/>
            <w:vAlign w:val="bottom"/>
          </w:tcPr>
          <w:p>
            <w:pPr>
              <w:spacing w:after="0"/>
              <w:rPr>
                <w:sz w:val="20"/>
                <w:szCs w:val="20"/>
                <w:color w:val="auto"/>
              </w:rPr>
            </w:pPr>
          </w:p>
        </w:tc>
        <w:tc>
          <w:tcPr>
            <w:tcW w:w="1500" w:type="dxa"/>
            <w:vAlign w:val="bottom"/>
            <w:gridSpan w:val="2"/>
          </w:tcPr>
          <w:p>
            <w:pPr>
              <w:ind w:left="1160"/>
              <w:spacing w:after="0"/>
              <w:rPr>
                <w:sz w:val="20"/>
                <w:szCs w:val="20"/>
                <w:color w:val="auto"/>
              </w:rPr>
            </w:pPr>
            <w:r>
              <w:rPr>
                <w:rFonts w:ascii="Arial" w:cs="Arial" w:eastAsia="Arial" w:hAnsi="Arial"/>
                <w:sz w:val="18"/>
                <w:szCs w:val="18"/>
                <w:color w:val="auto"/>
                <w:w w:val="93"/>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the level of each financial liability within the fair value hierarchy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Carrying</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4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540"/>
              <w:spacing w:after="0" w:line="271" w:lineRule="exact"/>
              <w:rPr>
                <w:sz w:val="20"/>
                <w:szCs w:val="20"/>
                <w:color w:val="auto"/>
              </w:rPr>
            </w:pPr>
            <w:r>
              <w:rPr>
                <w:rFonts w:ascii="Arial" w:cs="Arial" w:eastAsia="Arial" w:hAnsi="Arial"/>
                <w:sz w:val="18"/>
                <w:szCs w:val="18"/>
                <w:b w:val="1"/>
                <w:bCs w:val="1"/>
                <w:color w:val="auto"/>
                <w:w w:val="96"/>
              </w:rPr>
              <w:t xml:space="preserve">Value </w:t>
            </w:r>
            <w:r>
              <w:rPr>
                <w:rFonts w:ascii="Arial" w:cs="Arial" w:eastAsia="Arial" w:hAnsi="Arial"/>
                <w:sz w:val="29"/>
                <w:szCs w:val="29"/>
                <w:b w:val="1"/>
                <w:bCs w:val="1"/>
                <w:color w:val="auto"/>
                <w:w w:val="96"/>
                <w:vertAlign w:val="superscript"/>
              </w:rPr>
              <w:t>(1)</w:t>
            </w:r>
          </w:p>
        </w:tc>
        <w:tc>
          <w:tcPr>
            <w:tcW w:w="16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3"/>
                <w:szCs w:val="23"/>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3"/>
                <w:szCs w:val="23"/>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SBA-guaranteed debentures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71,528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2022 Notes</w:t>
            </w: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72,833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72,658</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72,658</w:t>
            </w:r>
          </w:p>
        </w:tc>
        <w:tc>
          <w:tcPr>
            <w:tcW w:w="2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52,088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51,817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51,817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KeyBank Credit Facility</w:t>
            </w:r>
          </w:p>
        </w:tc>
        <w:tc>
          <w:tcPr>
            <w:tcW w:w="18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195,921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the level of each financial liability within the fair value hierarchy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Carrying</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4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540"/>
              <w:spacing w:after="0" w:line="271" w:lineRule="exact"/>
              <w:rPr>
                <w:sz w:val="20"/>
                <w:szCs w:val="20"/>
                <w:color w:val="auto"/>
              </w:rPr>
            </w:pPr>
            <w:r>
              <w:rPr>
                <w:rFonts w:ascii="Arial" w:cs="Arial" w:eastAsia="Arial" w:hAnsi="Arial"/>
                <w:sz w:val="18"/>
                <w:szCs w:val="18"/>
                <w:b w:val="1"/>
                <w:bCs w:val="1"/>
                <w:color w:val="auto"/>
                <w:w w:val="96"/>
              </w:rPr>
              <w:t xml:space="preserve">Value </w:t>
            </w:r>
            <w:r>
              <w:rPr>
                <w:rFonts w:ascii="Arial" w:cs="Arial" w:eastAsia="Arial" w:hAnsi="Arial"/>
                <w:sz w:val="29"/>
                <w:szCs w:val="29"/>
                <w:b w:val="1"/>
                <w:bCs w:val="1"/>
                <w:color w:val="auto"/>
                <w:w w:val="96"/>
                <w:vertAlign w:val="superscript"/>
              </w:rPr>
              <w:t>(1)</w:t>
            </w:r>
          </w:p>
        </w:tc>
        <w:tc>
          <w:tcPr>
            <w:tcW w:w="16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3"/>
                <w:szCs w:val="23"/>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3"/>
                <w:szCs w:val="23"/>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SBA-guaranteed debentures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92,189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2022 Notes</w:t>
            </w: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72,833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70,503</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70,503</w:t>
            </w:r>
          </w:p>
        </w:tc>
        <w:tc>
          <w:tcPr>
            <w:tcW w:w="2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52,088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51,233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51,233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KeyBank Credit Facility</w:t>
            </w:r>
          </w:p>
        </w:tc>
        <w:tc>
          <w:tcPr>
            <w:tcW w:w="18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215,921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estimated fair value of the Company’s SBA-guaranteed debentures was based on future contractual cash payments discounted at market interest rates to borrow from the SBA as of the measurement date.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estimated fair value of the KeyBank Credit Facility was based on future contractual cash payments discounted at estimated market interest rates for similar debt.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Note 9. Directors’ Fees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months ended March 31, 2021 and 2020, the Company recognized directors’ fees expense of $0.1 million. No compensation is expected to be paid to directors who are “interested persons” of the Company, as such term is defined in Section 2(a)(19) of the 1940 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accordance with the provisions of ASC Topic 260 -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 basic earnings per share is computed by dividing earnings available to common stockholders by the weighted average number of shares of the Company’s common stock outstanding during the period. Other potentially dilutive shares of the Company’s common stock, and the related impact to earnings, are considered when calculating diluted earnings per share.</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following information sets forth the computation of the weighted average basic and diluted net increase (decrease) in net assets per share resulting from operations for the three months ended March 31, 2021 and 2020 (dollars in thousands, except share and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20" w:type="dxa"/>
            <w:vAlign w:val="bottom"/>
            <w:gridSpan w:val="5"/>
          </w:tcPr>
          <w:p>
            <w:pPr>
              <w:jc w:val="right"/>
              <w:ind w:right="861"/>
              <w:spacing w:after="0"/>
              <w:rPr>
                <w:sz w:val="20"/>
                <w:szCs w:val="20"/>
                <w:color w:val="auto"/>
              </w:rPr>
            </w:pPr>
            <w:r>
              <w:rPr>
                <w:rFonts w:ascii="Arial" w:cs="Arial" w:eastAsia="Arial" w:hAnsi="Arial"/>
                <w:sz w:val="18"/>
                <w:szCs w:val="18"/>
                <w:b w:val="1"/>
                <w:bCs w:val="1"/>
                <w:color w:val="auto"/>
              </w:rPr>
              <w:t>For the Three Months Ended</w:t>
            </w:r>
          </w:p>
        </w:tc>
      </w:tr>
      <w:tr>
        <w:trPr>
          <w:trHeight w:val="250"/>
        </w:trPr>
        <w:tc>
          <w:tcPr>
            <w:tcW w:w="73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March 31, 2021</w:t>
            </w:r>
          </w:p>
        </w:tc>
        <w:tc>
          <w:tcPr>
            <w:tcW w:w="10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jc w:val="right"/>
              <w:ind w:right="30"/>
              <w:spacing w:after="0" w:line="250" w:lineRule="exact"/>
              <w:rPr>
                <w:sz w:val="20"/>
                <w:szCs w:val="20"/>
                <w:color w:val="auto"/>
              </w:rPr>
            </w:pPr>
            <w:r>
              <w:rPr>
                <w:rFonts w:ascii="Arial" w:cs="Arial" w:eastAsia="Arial" w:hAnsi="Arial"/>
                <w:sz w:val="17"/>
                <w:szCs w:val="17"/>
                <w:b w:val="1"/>
                <w:bCs w:val="1"/>
                <w:color w:val="auto"/>
                <w:w w:val="92"/>
              </w:rPr>
              <w:t xml:space="preserve">March 31, 2020 </w:t>
            </w:r>
            <w:r>
              <w:rPr>
                <w:rFonts w:ascii="Arial" w:cs="Arial" w:eastAsia="Arial" w:hAnsi="Arial"/>
                <w:sz w:val="28"/>
                <w:szCs w:val="28"/>
                <w:b w:val="1"/>
                <w:bCs w:val="1"/>
                <w:color w:val="auto"/>
                <w:w w:val="92"/>
                <w:vertAlign w:val="superscript"/>
              </w:rPr>
              <w:t>(1)(2)</w:t>
            </w:r>
          </w:p>
        </w:tc>
        <w:tc>
          <w:tcPr>
            <w:tcW w:w="80" w:type="dxa"/>
            <w:vAlign w:val="bottom"/>
          </w:tcPr>
          <w:p>
            <w:pPr>
              <w:spacing w:after="0"/>
              <w:rPr>
                <w:sz w:val="21"/>
                <w:szCs w:val="21"/>
                <w:color w:val="auto"/>
              </w:rPr>
            </w:pPr>
          </w:p>
        </w:tc>
      </w:tr>
      <w:tr>
        <w:trPr>
          <w:trHeight w:val="209"/>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 per share- basic</w:t>
            </w: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w w:val="98"/>
              </w:rPr>
              <w:t>Numerator for basic net increase (decrease) in net assets resulting from operations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12,354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1"/>
              <w:spacing w:after="0"/>
              <w:rPr>
                <w:sz w:val="20"/>
                <w:szCs w:val="20"/>
                <w:color w:val="auto"/>
              </w:rPr>
            </w:pPr>
            <w:r>
              <w:rPr>
                <w:rFonts w:ascii="Arial" w:cs="Arial" w:eastAsia="Arial" w:hAnsi="Arial"/>
                <w:sz w:val="18"/>
                <w:szCs w:val="18"/>
                <w:color w:val="auto"/>
              </w:rPr>
              <w:t>(42,440)</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net increase (decrease) in net assets from operations per share</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2,711,068</w:t>
            </w:r>
          </w:p>
        </w:tc>
        <w:tc>
          <w:tcPr>
            <w:tcW w:w="100" w:type="dxa"/>
            <w:vAlign w:val="bottom"/>
            <w:shd w:val="clear" w:color="auto" w:fill="CCEEFF"/>
          </w:tcPr>
          <w:p>
            <w:pPr>
              <w:spacing w:after="0"/>
              <w:rPr>
                <w:sz w:val="19"/>
                <w:szCs w:val="19"/>
                <w:color w:val="auto"/>
              </w:rPr>
            </w:pPr>
          </w:p>
        </w:tc>
        <w:tc>
          <w:tcPr>
            <w:tcW w:w="1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2,703,432</w:t>
            </w:r>
          </w:p>
        </w:tc>
        <w:tc>
          <w:tcPr>
            <w:tcW w:w="80" w:type="dxa"/>
            <w:vAlign w:val="bottom"/>
            <w:shd w:val="clear" w:color="auto" w:fill="CCEEFF"/>
          </w:tcPr>
          <w:p>
            <w:pPr>
              <w:spacing w:after="0"/>
              <w:rPr>
                <w:sz w:val="19"/>
                <w:szCs w:val="19"/>
                <w:color w:val="auto"/>
              </w:rPr>
            </w:pPr>
          </w:p>
        </w:tc>
      </w:tr>
      <w:tr>
        <w:trPr>
          <w:trHeight w:val="209"/>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net increase (decrease) in net assets from operations per share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80" w:type="dxa"/>
            <w:vAlign w:val="bottom"/>
            <w:tcBorders>
              <w:bottom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 per share- diluted</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Numerator for net increase (decrease) in net assets resulting from operations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12,354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1"/>
              <w:spacing w:after="0"/>
              <w:rPr>
                <w:sz w:val="20"/>
                <w:szCs w:val="20"/>
                <w:color w:val="auto"/>
              </w:rPr>
            </w:pPr>
            <w:r>
              <w:rPr>
                <w:rFonts w:ascii="Arial" w:cs="Arial" w:eastAsia="Arial" w:hAnsi="Arial"/>
                <w:sz w:val="18"/>
                <w:szCs w:val="18"/>
                <w:color w:val="auto"/>
              </w:rPr>
              <w:t>(42,440)</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interest on the 2022 Convertible Notes and incentive fees, net</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10"/>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Numerator for diluted net increase (decrease) in net assets from operations per share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13,197</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(42,440</w:t>
            </w:r>
          </w:p>
        </w:tc>
        <w:tc>
          <w:tcPr>
            <w:tcW w:w="80" w:type="dxa"/>
            <w:vAlign w:val="bottom"/>
            <w:tcBorders>
              <w:bottom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weighted average shares</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2,711,068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2,703,432</w:t>
            </w:r>
          </w:p>
        </w:tc>
        <w:tc>
          <w:tcPr>
            <w:tcW w:w="80" w:type="dxa"/>
            <w:vAlign w:val="bottom"/>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Adjustment for dilutive effect of the 2022 Convertible Notes</w:t>
            </w:r>
          </w:p>
        </w:tc>
        <w:tc>
          <w:tcPr>
            <w:tcW w:w="2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552,579</w:t>
            </w:r>
          </w:p>
        </w:tc>
        <w:tc>
          <w:tcPr>
            <w:tcW w:w="100" w:type="dxa"/>
            <w:vAlign w:val="bottom"/>
          </w:tcPr>
          <w:p>
            <w:pPr>
              <w:spacing w:after="0"/>
              <w:rPr>
                <w:sz w:val="19"/>
                <w:szCs w:val="19"/>
                <w:color w:val="auto"/>
              </w:rPr>
            </w:pPr>
          </w:p>
        </w:tc>
        <w:tc>
          <w:tcPr>
            <w:tcW w:w="18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for diluted weighted average shares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3,263,647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2,703,432</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Diluted net increase (decrease) in net assets from operations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(15.70</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r>
      <w:tr>
        <w:trPr>
          <w:trHeight w:val="20"/>
        </w:trPr>
        <w:tc>
          <w:tcPr>
            <w:tcW w:w="7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ind w:left="980" w:hanging="324"/>
        <w:spacing w:after="0" w:line="291"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Basic and diluted shares of the Company’s common stock and basic and diluted earnings per share have been adjusted for the three months ended March 31, 2020 to reflect the one-for-six reverse stock split effected on August 21, 2020 on a retroactive basis, as described in Note 1.</w:t>
      </w:r>
    </w:p>
    <w:p>
      <w:pPr>
        <w:jc w:val="both"/>
        <w:ind w:left="980" w:hanging="324"/>
        <w:spacing w:after="0" w:line="255"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applying the if-converted method, conversion is not assumed for purposes of computing diluted earnings per share if the effect would be anti-dilutive. For the three months ended March 31, 2020, conversion of the 0.6 million in convertible shares was not assumed as the effect on diluted earnings per share would be anti-dilutive.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Note 11. Distributions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distributions are recorded on the record date. Stockholders have the option to receive payment of the distribution in cash, shares of the Company’s common stock, or a combination of cash and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4, 2021, the Company’s Board determined not to declare a distribution for the first quarter of 2021 due to the impact of the COVID-19 pandemic on the Company’s expected net investment income.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Tax characteristics of all distributions paid are reported to stockholders on Form 1099 after the end of the calendar year. For the three months ended March 31, 2020, total distributions of $4.1 million were comprised of approximately $0.7 million from ordinary income and $3.4 million from return of capital. There were no distributions for the three months ended March 31, 2021. Distributions may be subject to reclassification based on future dividends and operating results and will not be determined until the end of the year.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three months ended March 31, 2020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DRIP</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DRIP</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8"/>
                <w:szCs w:val="18"/>
                <w:color w:val="auto"/>
              </w:rPr>
            </w:pPr>
          </w:p>
        </w:tc>
        <w:tc>
          <w:tcPr>
            <w:tcW w:w="1400" w:type="dxa"/>
            <w:vAlign w:val="bottom"/>
            <w:gridSpan w:val="2"/>
          </w:tcPr>
          <w:p>
            <w:pPr>
              <w:ind w:left="320"/>
              <w:spacing w:after="0"/>
              <w:rPr>
                <w:sz w:val="20"/>
                <w:szCs w:val="20"/>
                <w:color w:val="auto"/>
              </w:rPr>
            </w:pPr>
            <w:r>
              <w:rPr>
                <w:rFonts w:ascii="Arial" w:cs="Arial" w:eastAsia="Arial" w:hAnsi="Arial"/>
                <w:sz w:val="18"/>
                <w:szCs w:val="18"/>
                <w:b w:val="1"/>
                <w:bCs w:val="1"/>
                <w:color w:val="auto"/>
              </w:rPr>
              <w:t>Cash</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Share</w:t>
            </w:r>
          </w:p>
        </w:tc>
      </w:tr>
      <w:tr>
        <w:trPr>
          <w:trHeight w:val="270"/>
        </w:trPr>
        <w:tc>
          <w:tcPr>
            <w:tcW w:w="1700" w:type="dxa"/>
            <w:vAlign w:val="bottom"/>
            <w:gridSpan w:val="2"/>
          </w:tcPr>
          <w:p>
            <w:pPr>
              <w:ind w:left="260"/>
              <w:spacing w:after="0"/>
              <w:rPr>
                <w:sz w:val="20"/>
                <w:szCs w:val="20"/>
                <w:color w:val="auto"/>
              </w:rPr>
            </w:pPr>
            <w:r>
              <w:rPr>
                <w:rFonts w:ascii="Arial" w:cs="Arial" w:eastAsia="Arial" w:hAnsi="Arial"/>
                <w:sz w:val="18"/>
                <w:szCs w:val="18"/>
                <w:b w:val="1"/>
                <w:bCs w:val="1"/>
                <w:color w:val="auto"/>
              </w:rPr>
              <w:t>Date Declared</w:t>
            </w:r>
          </w:p>
        </w:tc>
        <w:tc>
          <w:tcPr>
            <w:tcW w:w="1700" w:type="dxa"/>
            <w:vAlign w:val="bottom"/>
            <w:gridSpan w:val="2"/>
          </w:tcPr>
          <w:p>
            <w:pPr>
              <w:ind w:left="320"/>
              <w:spacing w:after="0"/>
              <w:rPr>
                <w:sz w:val="20"/>
                <w:szCs w:val="20"/>
                <w:color w:val="auto"/>
              </w:rPr>
            </w:pPr>
            <w:r>
              <w:rPr>
                <w:rFonts w:ascii="Arial" w:cs="Arial" w:eastAsia="Arial" w:hAnsi="Arial"/>
                <w:sz w:val="18"/>
                <w:szCs w:val="18"/>
                <w:b w:val="1"/>
                <w:bCs w:val="1"/>
                <w:color w:val="auto"/>
              </w:rPr>
              <w:t>Record Date</w:t>
            </w:r>
          </w:p>
        </w:tc>
        <w:tc>
          <w:tcPr>
            <w:tcW w:w="17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Payment Date</w:t>
            </w:r>
          </w:p>
        </w:tc>
        <w:tc>
          <w:tcPr>
            <w:tcW w:w="140" w:type="dxa"/>
            <w:vAlign w:val="bottom"/>
          </w:tcPr>
          <w:p>
            <w:pPr>
              <w:spacing w:after="0"/>
              <w:rPr>
                <w:sz w:val="23"/>
                <w:szCs w:val="23"/>
                <w:color w:val="auto"/>
              </w:rPr>
            </w:pPr>
          </w:p>
        </w:tc>
        <w:tc>
          <w:tcPr>
            <w:tcW w:w="1440" w:type="dxa"/>
            <w:vAlign w:val="bottom"/>
            <w:gridSpan w:val="2"/>
          </w:tcPr>
          <w:p>
            <w:pPr>
              <w:jc w:val="center"/>
              <w:ind w:right="380"/>
              <w:spacing w:after="0" w:line="270" w:lineRule="exact"/>
              <w:rPr>
                <w:sz w:val="20"/>
                <w:szCs w:val="20"/>
                <w:color w:val="auto"/>
              </w:rPr>
            </w:pPr>
            <w:r>
              <w:rPr>
                <w:rFonts w:ascii="Arial" w:cs="Arial" w:eastAsia="Arial" w:hAnsi="Arial"/>
                <w:sz w:val="18"/>
                <w:szCs w:val="18"/>
                <w:b w:val="1"/>
                <w:bCs w:val="1"/>
                <w:color w:val="auto"/>
                <w:w w:val="87"/>
              </w:rPr>
              <w:t>Per Share</w:t>
            </w:r>
            <w:r>
              <w:rPr>
                <w:rFonts w:ascii="Arial" w:cs="Arial" w:eastAsia="Arial" w:hAnsi="Arial"/>
                <w:sz w:val="29"/>
                <w:szCs w:val="29"/>
                <w:b w:val="1"/>
                <w:bCs w:val="1"/>
                <w:color w:val="auto"/>
                <w:w w:val="87"/>
                <w:vertAlign w:val="superscript"/>
              </w:rPr>
              <w:t>(1)</w:t>
            </w:r>
          </w:p>
        </w:tc>
        <w:tc>
          <w:tcPr>
            <w:tcW w:w="140" w:type="dxa"/>
            <w:vAlign w:val="bottom"/>
          </w:tcPr>
          <w:p>
            <w:pPr>
              <w:spacing w:after="0"/>
              <w:rPr>
                <w:sz w:val="23"/>
                <w:szCs w:val="23"/>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Distribution</w:t>
            </w:r>
          </w:p>
        </w:tc>
        <w:tc>
          <w:tcPr>
            <w:tcW w:w="1560" w:type="dxa"/>
            <w:vAlign w:val="bottom"/>
            <w:gridSpan w:val="2"/>
          </w:tcPr>
          <w:p>
            <w:pPr>
              <w:jc w:val="center"/>
              <w:ind w:right="220"/>
              <w:spacing w:after="0" w:line="270" w:lineRule="exact"/>
              <w:rPr>
                <w:sz w:val="20"/>
                <w:szCs w:val="20"/>
                <w:color w:val="auto"/>
              </w:rPr>
            </w:pPr>
            <w:r>
              <w:rPr>
                <w:rFonts w:ascii="Arial" w:cs="Arial" w:eastAsia="Arial" w:hAnsi="Arial"/>
                <w:sz w:val="18"/>
                <w:szCs w:val="18"/>
                <w:b w:val="1"/>
                <w:bCs w:val="1"/>
                <w:color w:val="auto"/>
                <w:w w:val="81"/>
              </w:rPr>
              <w:t>Issued</w:t>
            </w:r>
            <w:r>
              <w:rPr>
                <w:rFonts w:ascii="Arial" w:cs="Arial" w:eastAsia="Arial" w:hAnsi="Arial"/>
                <w:sz w:val="29"/>
                <w:szCs w:val="29"/>
                <w:b w:val="1"/>
                <w:bCs w:val="1"/>
                <w:color w:val="auto"/>
                <w:w w:val="81"/>
                <w:vertAlign w:val="superscript"/>
              </w:rPr>
              <w:t>(1)</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Value</w:t>
            </w:r>
          </w:p>
        </w:tc>
      </w:tr>
      <w:tr>
        <w:trPr>
          <w:trHeight w:val="209"/>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24, 2020</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30, 2020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4"/>
              </w:rPr>
              <w:t>1,231</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January 2, 2020</w:t>
            </w:r>
          </w:p>
        </w:tc>
        <w:tc>
          <w:tcPr>
            <w:tcW w:w="1700" w:type="dxa"/>
            <w:vAlign w:val="bottom"/>
            <w:gridSpan w:val="2"/>
          </w:tcPr>
          <w:p>
            <w:pPr>
              <w:spacing w:after="0"/>
              <w:rPr>
                <w:sz w:val="20"/>
                <w:szCs w:val="20"/>
                <w:color w:val="auto"/>
              </w:rPr>
            </w:pPr>
            <w:r>
              <w:rPr>
                <w:rFonts w:ascii="Arial" w:cs="Arial" w:eastAsia="Arial" w:hAnsi="Arial"/>
                <w:sz w:val="18"/>
                <w:szCs w:val="18"/>
                <w:color w:val="auto"/>
              </w:rPr>
              <w:t>February 20, 2020</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February 27, 2020</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8"/>
                <w:szCs w:val="18"/>
                <w:color w:val="auto"/>
              </w:rPr>
            </w:pP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1,228</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2,760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r>
      <w:tr>
        <w:trPr>
          <w:trHeight w:val="230"/>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23, 2020</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30, 2020</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1,259</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9"/>
                <w:szCs w:val="19"/>
                <w:color w:val="auto"/>
              </w:rPr>
            </w:pPr>
          </w:p>
        </w:tc>
      </w:tr>
      <w:tr>
        <w:trPr>
          <w:trHeight w:val="223"/>
        </w:trPr>
        <w:tc>
          <w:tcPr>
            <w:tcW w:w="5120" w:type="dxa"/>
            <w:vAlign w:val="bottom"/>
            <w:gridSpan w:val="6"/>
          </w:tcPr>
          <w:p>
            <w:pPr>
              <w:ind w:left="340"/>
              <w:spacing w:after="0"/>
              <w:rPr>
                <w:sz w:val="20"/>
                <w:szCs w:val="20"/>
                <w:color w:val="auto"/>
              </w:rPr>
            </w:pPr>
            <w:r>
              <w:rPr>
                <w:rFonts w:ascii="Arial" w:cs="Arial" w:eastAsia="Arial" w:hAnsi="Arial"/>
                <w:sz w:val="18"/>
                <w:szCs w:val="18"/>
                <w:color w:val="auto"/>
              </w:rPr>
              <w:t>Total Distributions Declared and Distributed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4"/>
              </w:rPr>
              <w:t>3,718</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4" w:lineRule="exact"/>
        <w:rPr>
          <w:sz w:val="20"/>
          <w:szCs w:val="20"/>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and amount per share have been adjusted for the three months ended March 31, 2020 to reflect the one-for-six reverse stock split effected on August 21, 2020 on a retroactive basis, as described in Note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Note 12. Financial Highlights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is a schedule of financial highlights for the three months ended March 31, 2021 and 2020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For the Three Months Ended</w:t>
            </w:r>
          </w:p>
        </w:tc>
      </w:tr>
      <w:tr>
        <w:trPr>
          <w:trHeight w:val="223"/>
        </w:trPr>
        <w:tc>
          <w:tcPr>
            <w:tcW w:w="7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2"/>
              </w:rPr>
              <w:t>March 31, 2021</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March 31, 2020</w:t>
            </w:r>
          </w:p>
        </w:tc>
        <w:tc>
          <w:tcPr>
            <w:tcW w:w="220" w:type="dxa"/>
            <w:vAlign w:val="bottom"/>
          </w:tcPr>
          <w:p>
            <w:pPr>
              <w:spacing w:after="0"/>
              <w:rPr>
                <w:sz w:val="19"/>
                <w:szCs w:val="19"/>
                <w:color w:val="auto"/>
              </w:rPr>
            </w:pPr>
          </w:p>
        </w:tc>
      </w:tr>
      <w:tr>
        <w:trPr>
          <w:trHeight w:val="237"/>
        </w:trPr>
        <w:tc>
          <w:tcPr>
            <w:tcW w:w="782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Per share data</w:t>
            </w:r>
            <w:r>
              <w:rPr>
                <w:rFonts w:ascii="Arial" w:cs="Arial" w:eastAsia="Arial" w:hAnsi="Arial"/>
                <w:sz w:val="27"/>
                <w:szCs w:val="27"/>
                <w:b w:val="1"/>
                <w:bCs w:val="1"/>
                <w:color w:val="auto"/>
                <w:vertAlign w:val="superscript"/>
              </w:rPr>
              <w:t>(1)</w:t>
            </w:r>
            <w:r>
              <w:rPr>
                <w:rFonts w:ascii="Arial" w:cs="Arial" w:eastAsia="Arial" w:hAnsi="Arial"/>
                <w:sz w:val="17"/>
                <w:szCs w:val="17"/>
                <w:b w:val="1"/>
                <w:bCs w:val="1"/>
                <w:color w:val="auto"/>
              </w:rPr>
              <w:t>:</w:t>
            </w:r>
          </w:p>
        </w:tc>
        <w:tc>
          <w:tcPr>
            <w:tcW w:w="10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40.19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54.84</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investment loss</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56"/>
        </w:trPr>
        <w:tc>
          <w:tcPr>
            <w:tcW w:w="7820" w:type="dxa"/>
            <w:vAlign w:val="bottom"/>
          </w:tcPr>
          <w:p>
            <w:pPr>
              <w:spacing w:after="0" w:line="256" w:lineRule="exact"/>
              <w:rPr>
                <w:sz w:val="20"/>
                <w:szCs w:val="20"/>
                <w:color w:val="auto"/>
              </w:rPr>
            </w:pPr>
            <w:r>
              <w:rPr>
                <w:rFonts w:ascii="Arial" w:cs="Arial" w:eastAsia="Arial" w:hAnsi="Arial"/>
                <w:sz w:val="18"/>
                <w:szCs w:val="18"/>
                <w:color w:val="auto"/>
              </w:rPr>
              <w:t>Net realized (loss) gain on investments</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(5.17)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0.36</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unrealized appreciation (depreciation) on investments</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10.02</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(16.05)</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Distributions – return of capital</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Distributions – net investment income</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w:t>
            </w:r>
          </w:p>
        </w:tc>
      </w:tr>
      <w:tr>
        <w:trPr>
          <w:trHeight w:val="270"/>
        </w:trPr>
        <w:tc>
          <w:tcPr>
            <w:tcW w:w="7820" w:type="dxa"/>
            <w:vAlign w:val="bottom"/>
          </w:tcPr>
          <w:p>
            <w:pPr>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(4)</w:t>
            </w:r>
          </w:p>
        </w:tc>
        <w:tc>
          <w:tcPr>
            <w:tcW w:w="100" w:type="dxa"/>
            <w:vAlign w:val="bottom"/>
          </w:tcPr>
          <w:p>
            <w:pPr>
              <w:spacing w:after="0"/>
              <w:rPr>
                <w:sz w:val="23"/>
                <w:szCs w:val="23"/>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r>
      <w:tr>
        <w:trPr>
          <w:trHeight w:val="209"/>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220" w:type="dxa"/>
            <w:vAlign w:val="bottom"/>
            <w:tcBorders>
              <w:top w:val="single" w:sz="8" w:color="CCEEFF"/>
            </w:tcBorders>
            <w:shd w:val="clear" w:color="auto" w:fill="CCEEFF"/>
          </w:tcPr>
          <w:p>
            <w:pPr>
              <w:spacing w:after="0"/>
              <w:rPr>
                <w:sz w:val="18"/>
                <w:szCs w:val="18"/>
                <w:color w:val="auto"/>
              </w:rPr>
            </w:pPr>
          </w:p>
        </w:tc>
      </w:tr>
      <w:tr>
        <w:trPr>
          <w:trHeight w:val="209"/>
        </w:trPr>
        <w:tc>
          <w:tcPr>
            <w:tcW w:w="78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121,301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101,955</w:t>
            </w:r>
          </w:p>
        </w:tc>
        <w:tc>
          <w:tcPr>
            <w:tcW w:w="2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2,711,068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2,711,068</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15.44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18.78</w:t>
            </w:r>
          </w:p>
        </w:tc>
      </w:tr>
      <w:tr>
        <w:trPr>
          <w:trHeight w:val="256"/>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return based on market value</w:t>
            </w:r>
            <w:r>
              <w:rPr>
                <w:rFonts w:ascii="Arial" w:cs="Arial" w:eastAsia="Arial" w:hAnsi="Arial"/>
                <w:sz w:val="29"/>
                <w:szCs w:val="29"/>
                <w:color w:val="auto"/>
                <w:vertAlign w:val="superscript"/>
              </w:rPr>
              <w:t>(5)</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(62.34)%</w:t>
            </w:r>
          </w:p>
        </w:tc>
      </w:tr>
      <w:tr>
        <w:trPr>
          <w:trHeight w:val="216"/>
        </w:trPr>
        <w:tc>
          <w:tcPr>
            <w:tcW w:w="782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6"/>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net investment loss to average net assets</w:t>
            </w:r>
            <w:r>
              <w:rPr>
                <w:rFonts w:ascii="Arial" w:cs="Arial" w:eastAsia="Arial" w:hAnsi="Arial"/>
                <w:sz w:val="29"/>
                <w:szCs w:val="29"/>
                <w:color w:val="auto"/>
                <w:vertAlign w:val="superscript"/>
              </w:rPr>
              <w:t>(6)</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Ratio of interest and financing expenses to average net assets</w:t>
            </w:r>
            <w:r>
              <w:rPr>
                <w:rFonts w:ascii="Arial" w:cs="Arial" w:eastAsia="Arial" w:hAnsi="Arial"/>
                <w:sz w:val="29"/>
                <w:szCs w:val="29"/>
                <w:color w:val="auto"/>
                <w:vertAlign w:val="superscript"/>
              </w:rPr>
              <w:t>(6)</w:t>
            </w:r>
          </w:p>
        </w:tc>
        <w:tc>
          <w:tcPr>
            <w:tcW w:w="100" w:type="dxa"/>
            <w:vAlign w:val="bottom"/>
          </w:tcPr>
          <w:p>
            <w:pPr>
              <w:spacing w:after="0"/>
              <w:rPr>
                <w:sz w:val="22"/>
                <w:szCs w:val="2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10.70%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12.31%</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other operating expenses to average net assets</w:t>
            </w:r>
            <w:r>
              <w:rPr>
                <w:rFonts w:ascii="Arial" w:cs="Arial" w:eastAsia="Arial" w:hAnsi="Arial"/>
                <w:sz w:val="29"/>
                <w:szCs w:val="29"/>
                <w:color w:val="auto"/>
                <w:vertAlign w:val="superscript"/>
              </w:rPr>
              <w:t>(6)</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10.49%</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(6)</w:t>
            </w:r>
          </w:p>
        </w:tc>
        <w:tc>
          <w:tcPr>
            <w:tcW w:w="100" w:type="dxa"/>
            <w:vAlign w:val="bottom"/>
          </w:tcPr>
          <w:p>
            <w:pPr>
              <w:spacing w:after="0"/>
              <w:rPr>
                <w:sz w:val="22"/>
                <w:szCs w:val="2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22.80%</w:t>
            </w:r>
          </w:p>
        </w:tc>
      </w:tr>
      <w:tr>
        <w:trPr>
          <w:trHeight w:val="256"/>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(7)</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Average debt outstanding</w:t>
            </w:r>
            <w:r>
              <w:rPr>
                <w:rFonts w:ascii="Arial" w:cs="Arial" w:eastAsia="Arial" w:hAnsi="Arial"/>
                <w:sz w:val="29"/>
                <w:szCs w:val="29"/>
                <w:color w:val="auto"/>
                <w:vertAlign w:val="superscript"/>
              </w:rPr>
              <w:t>(8)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209,032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277,088</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77.10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102.21</w:t>
            </w:r>
          </w:p>
        </w:tc>
      </w:tr>
      <w:tr>
        <w:trPr>
          <w:trHeight w:val="390"/>
        </w:trPr>
        <w:tc>
          <w:tcPr>
            <w:tcW w:w="7820" w:type="dxa"/>
            <w:vAlign w:val="bottom"/>
          </w:tcPr>
          <w:p>
            <w:pPr>
              <w:spacing w:after="0"/>
              <w:rPr>
                <w:sz w:val="20"/>
                <w:szCs w:val="20"/>
                <w:color w:val="auto"/>
              </w:rPr>
            </w:pPr>
            <w:r>
              <w:rPr>
                <w:rFonts w:ascii="Arial" w:cs="Arial" w:eastAsia="Arial" w:hAnsi="Arial"/>
                <w:sz w:val="18"/>
                <w:szCs w:val="18"/>
                <w:color w:val="auto"/>
              </w:rPr>
              <w:t>Asset coverage ratio per unit</w:t>
            </w:r>
            <w:r>
              <w:rPr>
                <w:rFonts w:ascii="Arial" w:cs="Arial" w:eastAsia="Arial" w:hAnsi="Arial"/>
                <w:sz w:val="29"/>
                <w:szCs w:val="29"/>
                <w:color w:val="auto"/>
                <w:vertAlign w:val="superscript"/>
              </w:rPr>
              <w:t>(9)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1,971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1,802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7830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3" w:lineRule="exact"/>
        <w:rPr>
          <w:sz w:val="20"/>
          <w:szCs w:val="20"/>
          <w:color w:val="auto"/>
        </w:rPr>
      </w:pPr>
    </w:p>
    <w:p>
      <w:pPr>
        <w:ind w:left="340" w:right="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and per share data has been adjusted for the three months ended March 31, 2020 to reflect the one-for-six reverse stock split effected on August 21, 2020 on a retroactive basis, as described in Note 1.</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of the Company’s common stock outstanding during the period.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Distributions may be subject to reclassification based on future dividends and operating results and will not be determined until the end of the year.</w:t>
      </w:r>
    </w:p>
    <w:p>
      <w:pPr>
        <w:spacing w:after="0" w:line="275" w:lineRule="exact"/>
        <w:rPr>
          <w:rFonts w:ascii="Arial" w:cs="Arial" w:eastAsia="Arial" w:hAnsi="Arial"/>
          <w:sz w:val="16"/>
          <w:szCs w:val="16"/>
          <w:color w:val="auto"/>
        </w:rPr>
      </w:pPr>
    </w:p>
    <w:p>
      <w:pPr>
        <w:jc w:val="both"/>
        <w:ind w:left="340" w:hanging="332"/>
        <w:spacing w:after="0" w:line="286"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the impact of different share amounts used in calculating per share data based on weighted average shares of the Company’s common stock outstanding during the period and certain per share data based on shares of the Company’s common stock outstanding as of a period end or transaction date. Also includes the impact of shares of the Company’s common stock issued under the Company’s DRIP.</w:t>
      </w:r>
    </w:p>
    <w:p>
      <w:pPr>
        <w:spacing w:after="0" w:line="192"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shares of the Company’s common stock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213"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Ratio is annualized.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ind w:left="340" w:right="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the daily weighted average balance of debt outstanding during the period.</w:t>
      </w:r>
    </w:p>
    <w:p>
      <w:pPr>
        <w:spacing w:after="0" w:line="252" w:lineRule="exact"/>
        <w:rPr>
          <w:rFonts w:ascii="Arial" w:cs="Arial" w:eastAsia="Arial" w:hAnsi="Arial"/>
          <w:sz w:val="18"/>
          <w:szCs w:val="18"/>
          <w:color w:val="auto"/>
        </w:rPr>
      </w:pPr>
    </w:p>
    <w:p>
      <w:pPr>
        <w:jc w:val="both"/>
        <w:ind w:left="340" w:hanging="332"/>
        <w:spacing w:after="0" w:line="275"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March 31, 2021 and 2020 pursuant to the exemptive relief granted by the SEC in June 2014 that permits us to exclude such debentures from the definition of senior securities in the 150% asset coverage ratio we are required to maintain under the 1940 Act. Asset coverage per unit is expressed in terms of dollar amounts per $1,000 of indebtedness.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1, 2021, the Company exited its investment in Xirgo Technologies, LLC and received $2.8 million for its equity investment.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14, 2021, the Company exited its investment in CIS Secure Computing, Inc. and received $3.4 million for its equity investment and $8.2 million for its first lien debt investment, repaid at par.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April 21, 2021, the Company announced that the Board has approved Mount Logan Management LLC (“Mount Logan”), a subsidiary of Mount Logan Capital Inc. and an affiliate of BC Partners Advisors L.P. for U.S. regulatory purposes, to serve as the new investment adviser to the Company (the “Adviser Transition”). The Investment Advisor has entered into a definitive agreement to sell certain assets to Mount Logan in connection with the Adviser Transition. The Adviser Transition is contingent upon approval by the Company’s stockholders at an upcoming special stockholder meeting of a new investment advisory agreement to be entered into by and between the Company and Mount Logan and certain other conditions.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specified, references to “we,” “us,” “our,” “Capitala,” or the “Company”, refer to Capitala Finance Corp.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6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Some of the statements in this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spacing w:after="0" w:line="184" w:lineRule="exact"/>
        <w:rPr>
          <w:sz w:val="20"/>
          <w:szCs w:val="20"/>
          <w:color w:val="auto"/>
        </w:rPr>
      </w:pPr>
    </w:p>
    <w:p>
      <w:pPr>
        <w:ind w:left="540" w:hanging="181"/>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our future operating results and the impact of the COVID-19 pandemic thereon;</w:t>
      </w:r>
    </w:p>
    <w:p>
      <w:pPr>
        <w:spacing w:after="0" w:line="225" w:lineRule="exact"/>
        <w:rPr>
          <w:rFonts w:ascii="Arial" w:cs="Arial" w:eastAsia="Arial" w:hAnsi="Arial"/>
          <w:sz w:val="18"/>
          <w:szCs w:val="18"/>
          <w:color w:val="231F20"/>
        </w:rPr>
      </w:pPr>
    </w:p>
    <w:p>
      <w:pPr>
        <w:ind w:left="540" w:right="20" w:hanging="181"/>
        <w:spacing w:after="0" w:line="277" w:lineRule="auto"/>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our business prospects and the prospects of our portfolio companies, including our and their ability to achieve our respective objectives as a result of the current COVID-19 pandemic;</w:t>
      </w:r>
    </w:p>
    <w:p>
      <w:pPr>
        <w:spacing w:after="0" w:line="170" w:lineRule="exact"/>
        <w:rPr>
          <w:rFonts w:ascii="Arial" w:cs="Arial" w:eastAsia="Arial" w:hAnsi="Arial"/>
          <w:sz w:val="18"/>
          <w:szCs w:val="18"/>
          <w:color w:val="231F20"/>
        </w:rPr>
      </w:pPr>
    </w:p>
    <w:p>
      <w:pPr>
        <w:ind w:left="540" w:hanging="181"/>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impact of investments that we expect to make;</w:t>
      </w:r>
    </w:p>
    <w:p>
      <w:pPr>
        <w:spacing w:after="0" w:line="225" w:lineRule="exact"/>
        <w:rPr>
          <w:rFonts w:ascii="Arial" w:cs="Arial" w:eastAsia="Arial" w:hAnsi="Arial"/>
          <w:sz w:val="18"/>
          <w:szCs w:val="18"/>
          <w:color w:val="231F20"/>
        </w:rPr>
      </w:pPr>
    </w:p>
    <w:p>
      <w:pPr>
        <w:ind w:left="540" w:hanging="181"/>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our contractual arrangements and relationships with third parties;</w:t>
      </w:r>
    </w:p>
    <w:p>
      <w:pPr>
        <w:spacing w:after="0" w:line="225" w:lineRule="exact"/>
        <w:rPr>
          <w:rFonts w:ascii="Arial" w:cs="Arial" w:eastAsia="Arial" w:hAnsi="Arial"/>
          <w:sz w:val="18"/>
          <w:szCs w:val="18"/>
          <w:color w:val="231F20"/>
        </w:rPr>
      </w:pPr>
    </w:p>
    <w:p>
      <w:pPr>
        <w:ind w:left="540" w:hanging="181"/>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dependence of our future success on the general economy and its impact on the industries in which we invest;</w:t>
      </w:r>
    </w:p>
    <w:p>
      <w:pPr>
        <w:spacing w:after="0" w:line="225" w:lineRule="exact"/>
        <w:rPr>
          <w:rFonts w:ascii="Arial" w:cs="Arial" w:eastAsia="Arial" w:hAnsi="Arial"/>
          <w:sz w:val="18"/>
          <w:szCs w:val="18"/>
          <w:color w:val="231F20"/>
        </w:rPr>
      </w:pPr>
    </w:p>
    <w:p>
      <w:pPr>
        <w:ind w:left="540" w:hanging="181"/>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our expected financings and investments;</w:t>
      </w:r>
    </w:p>
    <w:p>
      <w:pPr>
        <w:spacing w:after="0" w:line="225" w:lineRule="exact"/>
        <w:rPr>
          <w:rFonts w:ascii="Arial" w:cs="Arial" w:eastAsia="Arial" w:hAnsi="Arial"/>
          <w:sz w:val="18"/>
          <w:szCs w:val="18"/>
          <w:color w:val="231F20"/>
        </w:rPr>
      </w:pPr>
    </w:p>
    <w:p>
      <w:pPr>
        <w:ind w:left="540" w:hanging="181"/>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adequacy of our cash resources and working capital; and</w:t>
      </w:r>
    </w:p>
    <w:p>
      <w:pPr>
        <w:spacing w:after="0" w:line="225" w:lineRule="exact"/>
        <w:rPr>
          <w:rFonts w:ascii="Arial" w:cs="Arial" w:eastAsia="Arial" w:hAnsi="Arial"/>
          <w:sz w:val="18"/>
          <w:szCs w:val="18"/>
          <w:color w:val="231F20"/>
        </w:rPr>
      </w:pPr>
    </w:p>
    <w:p>
      <w:pPr>
        <w:ind w:left="540" w:hanging="181"/>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timing of cash flows, if any, from the operations of our portfolio companies and the impact of the COVID-19 pandemic thereon.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4" w:lineRule="exact"/>
        <w:rPr>
          <w:sz w:val="20"/>
          <w:szCs w:val="20"/>
          <w:color w:val="auto"/>
        </w:rPr>
      </w:pPr>
    </w:p>
    <w:p>
      <w:pPr>
        <w:ind w:left="540" w:hanging="181"/>
        <w:spacing w:after="0" w:line="277" w:lineRule="auto"/>
        <w:tabs>
          <w:tab w:leader="none" w:pos="5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an economic downturn, due to the COVID-19 pandemic or otherwise, could impair our portfolio companies’ ability to continue to operate or repay their borrowings, which could lead to the loss of some or all of our investments in such portfolio companies;</w:t>
      </w:r>
    </w:p>
    <w:p>
      <w:pPr>
        <w:spacing w:after="0" w:line="170" w:lineRule="exact"/>
        <w:rPr>
          <w:rFonts w:ascii="Arial" w:cs="Arial" w:eastAsia="Arial" w:hAnsi="Arial"/>
          <w:sz w:val="18"/>
          <w:szCs w:val="18"/>
          <w:color w:val="231F20"/>
        </w:rPr>
      </w:pPr>
    </w:p>
    <w:p>
      <w:pPr>
        <w:ind w:left="540" w:right="20" w:hanging="181"/>
        <w:spacing w:after="0" w:line="277" w:lineRule="auto"/>
        <w:tabs>
          <w:tab w:leader="none" w:pos="5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a contraction of available credit and/or an inability to access the equity markets could impair our lending and investment activities and the impact of the COVID-19 pandemic thereon;</w:t>
      </w:r>
    </w:p>
    <w:p>
      <w:pPr>
        <w:spacing w:after="0" w:line="170" w:lineRule="exact"/>
        <w:rPr>
          <w:rFonts w:ascii="Arial" w:cs="Arial" w:eastAsia="Arial" w:hAnsi="Arial"/>
          <w:sz w:val="18"/>
          <w:szCs w:val="18"/>
          <w:color w:val="231F20"/>
        </w:rPr>
      </w:pPr>
    </w:p>
    <w:p>
      <w:pPr>
        <w:ind w:left="540" w:hanging="181"/>
        <w:spacing w:after="0"/>
        <w:tabs>
          <w:tab w:leader="none" w:pos="5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interest rate volatility could adversely affect our results, particularly if we use leverage as part of our investment strategy; and</w:t>
      </w:r>
    </w:p>
    <w:p>
      <w:pPr>
        <w:spacing w:after="0" w:line="225" w:lineRule="exact"/>
        <w:rPr>
          <w:rFonts w:ascii="Arial" w:cs="Arial" w:eastAsia="Arial" w:hAnsi="Arial"/>
          <w:sz w:val="18"/>
          <w:szCs w:val="18"/>
          <w:color w:val="231F20"/>
        </w:rPr>
      </w:pPr>
    </w:p>
    <w:p>
      <w:pPr>
        <w:ind w:left="540" w:hanging="181"/>
        <w:spacing w:after="0"/>
        <w:tabs>
          <w:tab w:leader="none" w:pos="5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the risks, uncertainties and other factors we identify in “Risk Factors” and elsewhere in this Quarterly Report on 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firstLine="648"/>
        <w:spacing w:after="0" w:line="270"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2020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$30.0 million in trailing twelve-month earnings before interest, tax, depreciation, and amortization (‘‘EBITDA’’).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invest in first lien loans and, to a lesser extent, second lien loans and equity securities issued by lower middle-market and traditional middle-market companies.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As of March 31, 2021, our asset coverage ratio was 197.1%.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w:t>
      </w:r>
    </w:p>
    <w:p>
      <w:pPr>
        <w:spacing w:after="0" w:line="2" w:lineRule="exact"/>
        <w:rPr>
          <w:sz w:val="20"/>
          <w:szCs w:val="20"/>
          <w:color w:val="auto"/>
        </w:rPr>
      </w:pPr>
    </w:p>
    <w:p>
      <w:pPr>
        <w:jc w:val="both"/>
        <w:ind w:firstLine="8"/>
        <w:spacing w:after="0" w:line="252" w:lineRule="auto"/>
        <w:tabs>
          <w:tab w:leader="none" w:pos="1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and Fund III retained their small business investment company (“SBIC”) licenses issued by the U.S. Small Business Administration (“SBA”),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(“SBA-guaranteed debentures”) and relinquished its SBIC license.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jc w:val="both"/>
        <w:ind w:firstLine="648"/>
        <w:spacing w:after="0" w:line="301" w:lineRule="auto"/>
        <w:rPr>
          <w:sz w:val="20"/>
          <w:szCs w:val="20"/>
          <w:color w:val="auto"/>
        </w:rPr>
      </w:pPr>
      <w:r>
        <w:rPr>
          <w:rFonts w:ascii="Arial" w:cs="Arial" w:eastAsia="Arial" w:hAnsi="Arial"/>
          <w:sz w:val="16"/>
          <w:szCs w:val="16"/>
          <w:color w:val="auto"/>
        </w:rPr>
        <w:t>At the time of the Formation Transactions, our portfolio consisted of: (1) approximately $326.3 million in investments; (2) an aggregate of approximately $67.1 million in cash, interest receivable and other assets; and (3) liabilities of approximately $202.2 million of SBA-guaranteed debentures payable. Fund III, our subsidiary, is licensed under the Small Business Investment Act, of 1958, as amended, and has elected to be regulated as BDC under the 1940 Act. Fund II, our subsidiary, was licensed under the SBIC Act until March 1, 2019 and has elected to be regulated as a BDC under the 1940 Act.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31F20"/>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See “Financial Condition, Liquidity and Capital Resources” for more details. The financial statements of CBL are consolidated with those of Capitala Finance Corp.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July 30, 2020, the Company’s board of directors (the “Board”) approved a one-for-six reverse stock split of shares of the Company’s common stock. Accordingly, on August 3, 2020, the Company filed Articles of Amendment (the “Articles of Amendment”) to its Articles of Amendment and Restatement with the State Department of Assessments and Taxation of the State of Maryland to effectuate a one-for-six reverse stock split (the “Reverse Stock Split”) of the Company’s shares of common stock, par value $0.01 per share (the “Shares”). The Reverse Stock Split became effective at 5:00 p.m. Eastern Time on August 21, 2020 (the “Effective Time”). At the Effective Time, every six (6) issued and outstanding Shares were converted into one (1) Share. The Articles of Amendment also provided that there was no change in the par value of $0.01 per Share as a result of the Reverse Stock Split.</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fractional shares of common stock were issued in connection with the Reverse Stock Split and fractional shares of common stock were eliminated by paying cash for the fair value of a fractional portion of Shares. The Reverse Stock Split applied to all of the Company’s outstanding Shares and therefore did not affect any shareholder’s relative ownership percentage.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Retroactive Adjustments for Reverse Stock Split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share amount and per share amount of our common stock in the consolidated financial statements and notes have been retroactively adjusted for the Reverse Stock Split effected on August 21, 2020 for the three months ended March 31, 2020. See Note 1 for more information regarding the Reverse Stock Split.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is considered an investment company as defined in Accounting Standards Codification (“ASC”) Topic 946 — </w:t>
      </w:r>
      <w:r>
        <w:rPr>
          <w:rFonts w:ascii="Arial" w:cs="Arial" w:eastAsia="Arial" w:hAnsi="Arial"/>
          <w:sz w:val="17"/>
          <w:szCs w:val="17"/>
          <w:i w:val="1"/>
          <w:iCs w:val="1"/>
          <w:color w:val="auto"/>
        </w:rPr>
        <w:t>Financial Services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Companies </w:t>
      </w:r>
      <w:r>
        <w:rPr>
          <w:rFonts w:ascii="Arial" w:cs="Arial" w:eastAsia="Arial" w:hAnsi="Arial"/>
          <w:sz w:val="17"/>
          <w:szCs w:val="17"/>
          <w:color w:val="auto"/>
        </w:rPr>
        <w:t>(“ASC 946”)</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unaudited consolidated financial statements have been prepared on the accrual basis of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jc w:val="both"/>
        <w:ind w:firstLine="648"/>
        <w:spacing w:after="0" w:line="257" w:lineRule="auto"/>
        <w:rPr>
          <w:sz w:val="20"/>
          <w:szCs w:val="20"/>
          <w:color w:val="auto"/>
        </w:rPr>
      </w:pPr>
      <w:r>
        <w:rPr>
          <w:rFonts w:ascii="Arial" w:cs="Arial" w:eastAsia="Arial" w:hAnsi="Arial"/>
          <w:sz w:val="18"/>
          <w:szCs w:val="18"/>
          <w:color w:val="auto"/>
        </w:rPr>
        <w:t>The Company’s financial statements as of March 31, 2021 and December 31, 2020 and for the three months ended March 31, 2021 and 2020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2020, filed with the SEC on March 8,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 The Company did not consolidate its interest in Capitala Senior Loan Fund II, LLC (‘‘CSLF II’’) during the periods it was in existence because the investment was not considered a substantially wholly owned investment company subsidiary. Further, CSLF II was a joint venture for which shared power existed relating to the decisions that most significantly impact the economic performance of the entity. See Note 4 to the consolidated financial statements for a description of the Company’s investment in CSLF II.</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88" w:lineRule="exact"/>
        <w:rPr>
          <w:sz w:val="20"/>
          <w:szCs w:val="20"/>
          <w:color w:val="auto"/>
        </w:rPr>
      </w:pPr>
    </w:p>
    <w:p>
      <w:pPr>
        <w:ind w:left="840" w:hanging="184"/>
        <w:spacing w:after="0"/>
        <w:tabs>
          <w:tab w:leader="none" w:pos="8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cost of our organization;</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cost of calculating our net asset value, including the cost of any third-party valuation services;</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cost of effecting sales and repurchases of our shares and other securities;</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interest payable on debt, if any, to finance our investments;</w:t>
      </w:r>
    </w:p>
    <w:p>
      <w:pPr>
        <w:spacing w:after="0" w:line="225" w:lineRule="exact"/>
        <w:rPr>
          <w:rFonts w:ascii="Arial" w:cs="Arial" w:eastAsia="Arial" w:hAnsi="Arial"/>
          <w:sz w:val="18"/>
          <w:szCs w:val="18"/>
          <w:color w:val="231F20"/>
        </w:rPr>
      </w:pPr>
    </w:p>
    <w:p>
      <w:pPr>
        <w:jc w:val="both"/>
        <w:ind w:left="840" w:right="20" w:hanging="184"/>
        <w:spacing w:after="0" w:line="263" w:lineRule="auto"/>
        <w:tabs>
          <w:tab w:leader="none" w:pos="8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ind w:left="840" w:hanging="184"/>
        <w:spacing w:after="0"/>
        <w:tabs>
          <w:tab w:leader="none" w:pos="8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transfer agent and custodial fees;</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fees and expenses associated with marketing efforts;</w:t>
      </w:r>
    </w:p>
    <w:p>
      <w:pPr>
        <w:spacing w:after="0" w:line="225" w:lineRule="exact"/>
        <w:rPr>
          <w:rFonts w:ascii="Arial" w:cs="Arial" w:eastAsia="Arial" w:hAnsi="Arial"/>
          <w:sz w:val="18"/>
          <w:szCs w:val="18"/>
          <w:color w:val="231F20"/>
        </w:rPr>
      </w:pPr>
    </w:p>
    <w:p>
      <w:pPr>
        <w:ind w:left="840" w:hanging="184"/>
        <w:spacing w:after="0" w:line="277" w:lineRule="auto"/>
        <w:tabs>
          <w:tab w:leader="none" w:pos="8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costs associated with our reporting and compliance obligations under the 1940 Act, the Securities Exchange Act of 1934, as amended (the “Exchange Act”), other applicable federal and state securities laws and ongoing stock exchange listing fees;</w:t>
      </w:r>
    </w:p>
    <w:p>
      <w:pPr>
        <w:spacing w:after="0" w:line="170" w:lineRule="exact"/>
        <w:rPr>
          <w:rFonts w:ascii="Arial" w:cs="Arial" w:eastAsia="Arial" w:hAnsi="Arial"/>
          <w:sz w:val="18"/>
          <w:szCs w:val="18"/>
          <w:color w:val="231F20"/>
        </w:rPr>
      </w:pPr>
    </w:p>
    <w:p>
      <w:pPr>
        <w:ind w:left="840" w:hanging="184"/>
        <w:spacing w:after="0"/>
        <w:tabs>
          <w:tab w:leader="none" w:pos="8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federal, state and local taxes;</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independent directors’ fees and expenses;</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brokerage commissions;</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costs of proxy statements, stockholders’ reports and other communications with stockholders;</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fidelity bond, directors’ and officers’ liability insurance, errors and omissions liability insurance and other insurance premiums;</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direct costs and expenses of administration, including printing, mailing, telephone and staff;</w:t>
      </w:r>
    </w:p>
    <w:p>
      <w:pPr>
        <w:spacing w:after="0" w:line="225" w:lineRule="exact"/>
        <w:rPr>
          <w:rFonts w:ascii="Arial" w:cs="Arial" w:eastAsia="Arial" w:hAnsi="Arial"/>
          <w:sz w:val="18"/>
          <w:szCs w:val="18"/>
          <w:color w:val="231F20"/>
        </w:rPr>
      </w:pPr>
    </w:p>
    <w:p>
      <w:pPr>
        <w:ind w:left="840" w:hanging="184"/>
        <w:spacing w:after="0"/>
        <w:tabs>
          <w:tab w:leader="none" w:pos="8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fees and expenses associated with independent audits and outside legal costs; and</w:t>
      </w:r>
    </w:p>
    <w:p>
      <w:pPr>
        <w:spacing w:after="0" w:line="225" w:lineRule="exact"/>
        <w:rPr>
          <w:rFonts w:ascii="Arial" w:cs="Arial" w:eastAsia="Arial" w:hAnsi="Arial"/>
          <w:sz w:val="18"/>
          <w:szCs w:val="18"/>
          <w:color w:val="231F20"/>
        </w:rPr>
      </w:pPr>
    </w:p>
    <w:p>
      <w:pPr>
        <w:jc w:val="both"/>
        <w:ind w:left="840" w:hanging="184"/>
        <w:spacing w:after="0" w:line="257" w:lineRule="auto"/>
        <w:tabs>
          <w:tab w:leader="none" w:pos="8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(“ASC 820”). ASC 820 defines fair value, establishes a framework used to measure fair value and requires disclosures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determining fair value,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jc w:val="both"/>
        <w:ind w:firstLine="648"/>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3"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Valuations based on unadjusted quoted prices in active markets for identical assets or liabilities that the Company has the ability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58"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practical expedient, the Company used net asset value (“NAV”) as the fair value for its equity investment in CSLF II. CSLF II recorded its underlying investments at fair value on a quarterly basis in accordance with the 1940 Act and ASC 820.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asset approach values an investment based on the value of the underlying collateral securing the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Interest income and paid-in-kind interest income: </w:t>
      </w:r>
      <w:r>
        <w:rPr>
          <w:rFonts w:ascii="Arial" w:cs="Arial" w:eastAsia="Arial" w:hAnsi="Arial"/>
          <w:sz w:val="17"/>
          <w:szCs w:val="17"/>
          <w:color w:val="auto"/>
        </w:rPr>
        <w:t>Interest income is recorded on the accrual basis to the extent that such amounts are expected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collected. The Company has loans in the portfolio that contain a PIK interest provision.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Non-accrual investments: </w:t>
      </w:r>
      <w:r>
        <w:rPr>
          <w:rFonts w:ascii="Arial" w:cs="Arial" w:eastAsia="Arial" w:hAnsi="Arial"/>
          <w:sz w:val="18"/>
          <w:szCs w:val="18"/>
          <w:color w:val="auto"/>
        </w:rPr>
        <w:t>Management reviews all loans that become 90 days or more past due, or when there is reasonable doubt that principal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interest and continue accruing interest income in cases where a loan is currently paying its interest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investments in portfolio companies are recognized as income when the investment transaction closes. Prepayment penalties received by the Company for debt instruments repaid prior to the maturity date are recorded as income upon receipt.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tax years ended December 31, 2020, 2019, 2018, and 2017 remain subject to examination by U.S. federal, state, and local tax authorities. No interest expense or penalties have been assessed for the three months ended March 31, 2021 and 2020. If the Company was required to recognize interest and penalties, if any, related to unrecognized tax benefits this would be recognized as income tax expense in the consolidated statements of operations.</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Taxable Subsidiaries record deferred tax assets or liabilities related to temporary book versus tax differences on the income or loss generated by the underlying equity investments held by the Taxable Subsidiaries. As of March 31, 2021, and December 31, 2020, the Company recorded a net deferred tax asset of $0.0. For the three months ended March 31, 2021 and 2020, the Company recorded a deferred tax provision of $0.0. As of March 31, 2021 and December 31, 2020, the valuation allowance on the Company’s deferred tax asset was $3.6 million and $4.6 million, respectively. During the three months ended March 31, 2021 and 2020, the Company recognized a (decrease) increase in the valuation allowance of $(1.0) million and $0.8 million, respectively.</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 w:name="page57"/>
    <w:bookmarkEnd w:id="56"/>
    <w:p>
      <w:pPr>
        <w:jc w:val="both"/>
        <w:ind w:firstLine="648"/>
        <w:spacing w:after="0" w:line="273"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U.S. federal income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2021 and December 31, 2020, there were no uncertain tax positions.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March 31, 2021 and December 31, 2020.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primarily in first lien loans, and, to a lesser extent, second lien loans and equity securities issued by lower middle-market companies and traditional middle-market companies. As of March 31, 2021, our portfolio consisted of investments in 35 portfolio companies with a fair value of approximately $258.2 million.</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March 31, 2021, 16.4% of the fair value of our first lien loans consisted of last-out loans. As of December 31, 2020, 14.5% of the fair value of our first lien loans consisted of last-out loans. In some cases, first lien loans may be subordinated, solely with respect to the payment of cash interest, to an asset based revolving credit facility.</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jc w:val="both"/>
        <w:ind w:firstLine="648"/>
        <w:spacing w:after="0" w:line="259" w:lineRule="auto"/>
        <w:rPr>
          <w:sz w:val="20"/>
          <w:szCs w:val="20"/>
          <w:color w:val="auto"/>
        </w:rPr>
      </w:pPr>
      <w:r>
        <w:rPr>
          <w:rFonts w:ascii="Arial" w:cs="Arial" w:eastAsia="Arial" w:hAnsi="Arial"/>
          <w:sz w:val="18"/>
          <w:szCs w:val="18"/>
          <w:color w:val="auto"/>
        </w:rPr>
        <w:t>During the three months ended March 31, 2021, we made no investments and had approximately $29.9 million in repayments and sales, resulting in net repayments and sales of approximately $29.9 million for the period. During the three months ended March 31, 2020, we made approximately $8.3 million of investments and had approximately $7.8 million in repayments and sales, resulting in net investments of approximately $0.5 million for the period.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2021, our debt investment portfolio, which represented 68.7% of the fair value of our total portfolio, had a weighted average annualized yield of approximately 9.5%. As of March 31, 2021, 46.3% of the fair value of our debt investment portfolio was bearing a fixed rate of interest. As of December 31, 2020, our debt investment portfolio, which represented 75.2% of the fair value of our total portfolio, had a weighted average annualized yield of approximately 10.0%. As of December 31, 2020, 48.9% of the fair value of our debt investment portfolio was bearing a fixed rate of interest.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March 31, 2021, the Board approved the fair value of our investment portfolio of approximately $258.2 million in good faith in accordance with our valuation procedures. The Board approved the fair value of our investment portfolio as of March 31, 2021 with input from a third-party valuation firm and the Investment Advisor based on information known or knowable as of the valuation date, including trailing and forward-looking data. The COVID-19 pandemic is an unprecedented circumstance that materially impacts the fair value of our investments. As a result, the fair value of our portfolio investments may be further negatively impacted after March 31, 2021 by circumstances and events that are not yet known.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COVID-19 pandemic may also impact our portfolio companies’ ability to pay their respective contractual obligations, including principal and interest due to us, and some portfolio companies may require interest or amortization deferrals in order to fulfill short-term liquidity needs in response to the COVID-19 pandemic. We are working with each of our portfolio companies to help them access short-term liquidity through interest deferrals, funding on unused lines of credit, and other sources of liquidity.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2021, we had debt investments in three portfolio companies on non-accrual status with an aggregate amortized cost of $21.3 million and an aggregate fair value of $16.6 million, which represented 9.1% and 6.4% of the investment portfolio, respectively. As of December 31, 2020, we had debt investments in four portfolio companies on non-accrual status with aggregate amortized cost of $37.5 million and an aggregate fair value of $20.8 million, which represented 13.5% and 7.6% of the investment portfolio,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amortized cost and the fair value of investments as of March 31, 2021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Investments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7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Percentage of</w:t>
            </w: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at</w:t>
            </w:r>
          </w:p>
        </w:tc>
        <w:tc>
          <w:tcPr>
            <w:tcW w:w="16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Percentage of</w:t>
            </w:r>
          </w:p>
        </w:tc>
      </w:tr>
      <w:tr>
        <w:trPr>
          <w:trHeight w:val="234"/>
        </w:trPr>
        <w:tc>
          <w:tcPr>
            <w:tcW w:w="46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tcPr>
          <w:p>
            <w:pPr>
              <w:spacing w:after="0"/>
              <w:rPr>
                <w:sz w:val="20"/>
                <w:szCs w:val="20"/>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143,395</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61.3%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138,058</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Second Lien Debt</w:t>
            </w: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39,012</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39,153</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15.2</w:t>
            </w: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51,563</w:t>
            </w:r>
          </w:p>
        </w:tc>
        <w:tc>
          <w:tcPr>
            <w:tcW w:w="1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80,959</w:t>
            </w:r>
          </w:p>
        </w:tc>
        <w:tc>
          <w:tcPr>
            <w:tcW w:w="1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31.3</w:t>
            </w: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233,970</w:t>
            </w:r>
          </w:p>
        </w:tc>
        <w:tc>
          <w:tcPr>
            <w:tcW w:w="2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258,170</w:t>
            </w:r>
          </w:p>
        </w:tc>
        <w:tc>
          <w:tcPr>
            <w:tcW w:w="2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4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58" w:name="page59"/>
    <w:bookmarkEnd w:id="58"/>
    <w:p>
      <w:pPr>
        <w:ind w:left="500"/>
        <w:spacing w:after="0"/>
        <w:rPr>
          <w:sz w:val="20"/>
          <w:szCs w:val="20"/>
          <w:color w:val="auto"/>
        </w:rPr>
      </w:pPr>
      <w:r>
        <w:rPr>
          <w:rFonts w:ascii="Arial" w:cs="Arial" w:eastAsia="Arial" w:hAnsi="Arial"/>
          <w:sz w:val="18"/>
          <w:szCs w:val="18"/>
          <w:color w:val="auto"/>
        </w:rPr>
        <w:t>The following table summarizes the amortized cost and the fair value of investments as of December 31, 2020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Investments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7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Percentage of</w:t>
            </w: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at</w:t>
            </w:r>
          </w:p>
        </w:tc>
        <w:tc>
          <w:tcPr>
            <w:tcW w:w="16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Percentage of</w:t>
            </w:r>
          </w:p>
        </w:tc>
      </w:tr>
      <w:tr>
        <w:trPr>
          <w:trHeight w:val="234"/>
        </w:trPr>
        <w:tc>
          <w:tcPr>
            <w:tcW w:w="46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gridSpan w:val="2"/>
          </w:tcPr>
          <w:p>
            <w:pPr>
              <w:spacing w:after="0"/>
              <w:rPr>
                <w:sz w:val="20"/>
                <w:szCs w:val="20"/>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185,108</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167,418</w:t>
            </w:r>
          </w:p>
        </w:tc>
        <w:tc>
          <w:tcPr>
            <w:tcW w:w="2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Second Lien Debt</w:t>
            </w: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39,026</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39,209</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14.3</w:t>
            </w: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53,518</w:t>
            </w:r>
          </w:p>
        </w:tc>
        <w:tc>
          <w:tcPr>
            <w:tcW w:w="1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68,065</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277,652</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274,692</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shows the portfolio composition by industry grouping at fair value as of March 31, 2021 and December 31, 2020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Pr>
          <w:p>
            <w:pPr>
              <w:spacing w:after="0"/>
              <w:rPr>
                <w:sz w:val="20"/>
                <w:szCs w:val="20"/>
                <w:color w:val="auto"/>
              </w:rPr>
            </w:pPr>
          </w:p>
        </w:tc>
        <w:tc>
          <w:tcPr>
            <w:tcW w:w="27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5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rPr>
              <w:t>Percentage</w:t>
            </w:r>
          </w:p>
        </w:tc>
        <w:tc>
          <w:tcPr>
            <w:tcW w:w="16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5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3"/>
              </w:rPr>
              <w:t>of</w:t>
            </w: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of</w:t>
            </w: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50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34"/>
        </w:trPr>
        <w:tc>
          <w:tcPr>
            <w:tcW w:w="54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Portfolio</w:t>
            </w:r>
          </w:p>
        </w:tc>
        <w:tc>
          <w:tcPr>
            <w:tcW w:w="16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38,406</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36,794</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Healthcare</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24,172</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23,899</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8.7</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 Services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21,954</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20,947</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7.6</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Security System Services</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15,939</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14,727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5.4</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IT Consulting</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14,429</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13,199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Textile Equipment Manufacturer</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12,549</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11,868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4.3</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Government Services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11,929</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11,381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Information Technology</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11,145</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11,154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4.1</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11,051</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15,721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Entertainment</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10,867</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10,241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3.7</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10,621</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15,649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Healthcare Management</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10,531</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10,673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3.9</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Multi-platform media and consumer products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10,045</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Electronic Machine Repair</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8,756</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8,759</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Testing laboratories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5,993</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Wireless Deployment Services</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5,844</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6,948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QSR Franchisor</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5,679</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4,707</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Medical Device Distributor</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4,939</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5,019</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Advertising &amp; Marketing Services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4,442</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Data Services</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4,041</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3,856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1.4</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Online Merchandise Retailer</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3,916</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Home Repair Parts Manufacturer</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2,525</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2,461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Footwear Retail</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2,011</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Automobile Part Manufacturer</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1,709</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14,935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Oil &amp; Gas Engineering and Consulting Services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1,340</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Oil &amp; Gas Services</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1,251</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493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General Industrial</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838</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Household Product Manufacturer</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758</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758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&amp; Digital Marketing</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258,170</w:t>
            </w:r>
          </w:p>
        </w:tc>
        <w:tc>
          <w:tcPr>
            <w:tcW w:w="2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274,692</w:t>
            </w:r>
          </w:p>
        </w:tc>
        <w:tc>
          <w:tcPr>
            <w:tcW w:w="2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5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890"/>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59" w:name="page60"/>
    <w:bookmarkEnd w:id="59"/>
    <w:p>
      <w:pPr>
        <w:jc w:val="both"/>
        <w:ind w:firstLine="648"/>
        <w:spacing w:after="0" w:line="259" w:lineRule="auto"/>
        <w:rPr>
          <w:sz w:val="20"/>
          <w:szCs w:val="20"/>
          <w:color w:val="auto"/>
        </w:rPr>
      </w:pPr>
      <w:r>
        <w:rPr>
          <w:rFonts w:ascii="Arial" w:cs="Arial" w:eastAsia="Arial" w:hAnsi="Arial"/>
          <w:sz w:val="18"/>
          <w:szCs w:val="18"/>
          <w:color w:val="auto"/>
        </w:rPr>
        <w:t>All investments made by the Company as of March 31, 2021 and December 31, 2020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March 31, 2021 and December 31, 2020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Pr>
          <w:p>
            <w:pPr>
              <w:spacing w:after="0"/>
              <w:rPr>
                <w:sz w:val="20"/>
                <w:szCs w:val="20"/>
                <w:color w:val="auto"/>
              </w:rPr>
            </w:pPr>
          </w:p>
        </w:tc>
        <w:tc>
          <w:tcPr>
            <w:tcW w:w="31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46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0"/>
              </w:rPr>
              <w:t>Investments at</w:t>
            </w:r>
          </w:p>
        </w:tc>
        <w:tc>
          <w:tcPr>
            <w:tcW w:w="14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Percentage of</w:t>
            </w: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Investments at</w:t>
            </w:r>
          </w:p>
        </w:tc>
        <w:tc>
          <w:tcPr>
            <w:tcW w:w="14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Percentage of</w:t>
            </w:r>
          </w:p>
        </w:tc>
        <w:tc>
          <w:tcPr>
            <w:tcW w:w="160" w:type="dxa"/>
            <w:vAlign w:val="bottom"/>
          </w:tcPr>
          <w:p>
            <w:pPr>
              <w:spacing w:after="0"/>
              <w:rPr>
                <w:sz w:val="16"/>
                <w:szCs w:val="16"/>
                <w:color w:val="auto"/>
              </w:rPr>
            </w:pPr>
          </w:p>
        </w:tc>
      </w:tr>
      <w:tr>
        <w:trPr>
          <w:trHeight w:val="234"/>
        </w:trPr>
        <w:tc>
          <w:tcPr>
            <w:tcW w:w="4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Total Portfolio</w:t>
            </w: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Total Portfolio</w:t>
            </w:r>
          </w:p>
        </w:tc>
        <w:tc>
          <w:tcPr>
            <w:tcW w:w="160" w:type="dxa"/>
            <w:vAlign w:val="bottom"/>
            <w:tcBorders>
              <w:bottom w:val="single" w:sz="8" w:color="CCEEFF"/>
            </w:tcBorders>
          </w:tcPr>
          <w:p>
            <w:pPr>
              <w:spacing w:after="0"/>
              <w:rPr>
                <w:sz w:val="20"/>
                <w:szCs w:val="20"/>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South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144,946</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140,048</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West</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47,448</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50,212</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18.3</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32,960</w:t>
            </w:r>
          </w:p>
        </w:tc>
        <w:tc>
          <w:tcPr>
            <w:tcW w:w="1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48,255</w:t>
            </w:r>
          </w:p>
        </w:tc>
        <w:tc>
          <w:tcPr>
            <w:tcW w:w="1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Northeast</w:t>
            </w:r>
          </w:p>
        </w:tc>
        <w:tc>
          <w:tcPr>
            <w:tcW w:w="1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32,816</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36,177</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13.1</w:t>
            </w:r>
          </w:p>
        </w:tc>
      </w:tr>
      <w:tr>
        <w:trPr>
          <w:trHeight w:val="223"/>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various risk management tools, our Investment Advisor uses an investment rating system to characterize and monitor our expected level of return on each investment in our portfolio.</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w:t>
      </w:r>
    </w:p>
    <w:p>
      <w:pPr>
        <w:jc w:val="both"/>
        <w:ind w:firstLine="8"/>
        <w:spacing w:after="0" w:line="255" w:lineRule="auto"/>
        <w:tabs>
          <w:tab w:leader="none" w:pos="2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ectPr>
          <w:pgSz w:w="11900" w:h="16838" w:orient="portrait"/>
          <w:cols w:equalWidth="0" w:num="1">
            <w:col w:w="11240"/>
          </w:cols>
          <w:pgMar w:left="320" w:top="692" w:right="339" w:bottom="1440" w:gutter="0" w:footer="0" w:header="0"/>
        </w:sectPr>
      </w:pPr>
    </w:p>
    <w:p>
      <w:pPr>
        <w:spacing w:after="0" w:line="221" w:lineRule="exact"/>
        <w:rPr>
          <w:sz w:val="20"/>
          <w:szCs w:val="20"/>
          <w:color w:val="auto"/>
        </w:rPr>
      </w:pPr>
    </w:p>
    <w:p>
      <w:pPr>
        <w:jc w:val="center"/>
        <w:ind w:right="4000"/>
        <w:spacing w:after="0"/>
        <w:rPr>
          <w:sz w:val="20"/>
          <w:szCs w:val="20"/>
          <w:color w:val="auto"/>
        </w:rPr>
      </w:pPr>
      <w:r>
        <w:rPr>
          <w:rFonts w:ascii="Arial" w:cs="Arial" w:eastAsia="Arial" w:hAnsi="Arial"/>
          <w:sz w:val="16"/>
          <w:szCs w:val="16"/>
          <w:b w:val="1"/>
          <w:bCs w:val="1"/>
          <w:color w:val="auto"/>
        </w:rPr>
        <w:t>Investment</w:t>
      </w:r>
    </w:p>
    <w:p>
      <w:pPr>
        <w:spacing w:after="0" w:line="50" w:lineRule="exact"/>
        <w:rPr>
          <w:sz w:val="20"/>
          <w:szCs w:val="20"/>
          <w:color w:val="auto"/>
        </w:rPr>
      </w:pPr>
    </w:p>
    <w:p>
      <w:pPr>
        <w:jc w:val="center"/>
        <w:ind w:right="4000"/>
        <w:spacing w:after="0"/>
        <w:rPr>
          <w:sz w:val="20"/>
          <w:szCs w:val="20"/>
          <w:color w:val="auto"/>
        </w:rPr>
      </w:pPr>
      <w:r>
        <w:rPr>
          <w:rFonts w:ascii="Arial" w:cs="Arial" w:eastAsia="Arial" w:hAnsi="Arial"/>
          <w:sz w:val="18"/>
          <w:szCs w:val="18"/>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00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600"/>
        <w:spacing w:after="0"/>
        <w:rPr>
          <w:sz w:val="20"/>
          <w:szCs w:val="20"/>
          <w:color w:val="auto"/>
        </w:rPr>
      </w:pPr>
      <w:r>
        <w:rPr>
          <w:rFonts w:ascii="Arial" w:cs="Arial" w:eastAsia="Arial" w:hAnsi="Arial"/>
          <w:sz w:val="16"/>
          <w:szCs w:val="16"/>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31750</wp:posOffset>
            </wp:positionV>
            <wp:extent cx="63436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5140" w:space="720"/>
            <w:col w:w="5380"/>
          </w:cols>
          <w:pgMar w:left="320" w:top="692" w:right="339" w:bottom="1440" w:gutter="0" w:footer="0" w:header="0"/>
          <w:type w:val="continuous"/>
        </w:sectPr>
      </w:pPr>
    </w:p>
    <w:p>
      <w:pPr>
        <w:ind w:left="1260" w:hanging="730"/>
        <w:spacing w:after="0" w:line="276"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general, the investment may be performing above our internal expectations. Full return of principal and interest is expected. Capital gain is expected.</w:t>
      </w:r>
    </w:p>
    <w:p>
      <w:pPr>
        <w:spacing w:after="0" w:line="171" w:lineRule="exact"/>
        <w:rPr>
          <w:sz w:val="20"/>
          <w:szCs w:val="20"/>
          <w:color w:val="auto"/>
        </w:rPr>
      </w:pPr>
    </w:p>
    <w:p>
      <w:pPr>
        <w:jc w:val="both"/>
        <w:ind w:left="1260" w:hanging="730"/>
        <w:spacing w:after="0" w:line="263"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p>
      <w:pPr>
        <w:spacing w:after="0" w:line="184" w:lineRule="exact"/>
        <w:rPr>
          <w:sz w:val="20"/>
          <w:szCs w:val="20"/>
          <w:color w:val="auto"/>
        </w:rPr>
      </w:pPr>
    </w:p>
    <w:p>
      <w:pPr>
        <w:jc w:val="both"/>
        <w:ind w:left="1260" w:hanging="730"/>
        <w:spacing w:after="0" w:line="263"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 financial covenants.</w:t>
      </w:r>
    </w:p>
    <w:p>
      <w:pPr>
        <w:spacing w:after="0" w:line="184" w:lineRule="exact"/>
        <w:rPr>
          <w:sz w:val="20"/>
          <w:szCs w:val="20"/>
          <w:color w:val="auto"/>
        </w:rPr>
      </w:pPr>
    </w:p>
    <w:p>
      <w:pPr>
        <w:ind w:left="1260" w:hanging="730"/>
        <w:spacing w:after="0" w:line="277"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 quantitative or qualitative risks may have increased substantially since the original investment. Loss of some or all principal is expected.</w:t>
      </w:r>
    </w:p>
    <w:p>
      <w:pPr>
        <w:spacing w:after="0" w:line="170" w:lineRule="exact"/>
        <w:rPr>
          <w:sz w:val="20"/>
          <w:szCs w:val="20"/>
          <w:color w:val="auto"/>
        </w:rPr>
      </w:pPr>
    </w:p>
    <w:p>
      <w:pPr>
        <w:ind w:left="1260" w:right="20" w:hanging="730"/>
        <w:spacing w:after="0" w:line="277"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The investment rating of a particular investment should not, however, be deemed to be a guarantee of the investment’s future performance.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60" w:name="page61"/>
    <w:bookmarkEnd w:id="60"/>
    <w:p>
      <w:pPr>
        <w:ind w:left="660"/>
        <w:spacing w:after="0"/>
        <w:rPr>
          <w:sz w:val="20"/>
          <w:szCs w:val="20"/>
          <w:color w:val="auto"/>
        </w:rPr>
      </w:pPr>
      <w:r>
        <w:rPr>
          <w:rFonts w:ascii="Arial" w:cs="Arial" w:eastAsia="Arial" w:hAnsi="Arial"/>
          <w:sz w:val="17"/>
          <w:szCs w:val="17"/>
          <w:color w:val="auto"/>
        </w:rPr>
        <w:t>The following table shows the distribution of our investments on the 1 to 5 investment rating scale at fair value as of March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As of March 31, 2021</w:t>
            </w:r>
          </w:p>
        </w:tc>
        <w:tc>
          <w:tcPr>
            <w:tcW w:w="160" w:type="dxa"/>
            <w:vAlign w:val="bottom"/>
          </w:tcPr>
          <w:p>
            <w:pPr>
              <w:spacing w:after="0"/>
              <w:rPr>
                <w:sz w:val="20"/>
                <w:szCs w:val="20"/>
                <w:color w:val="auto"/>
              </w:rPr>
            </w:pPr>
          </w:p>
        </w:tc>
        <w:tc>
          <w:tcPr>
            <w:tcW w:w="31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As of December 31, 2020</w:t>
            </w:r>
          </w:p>
        </w:tc>
      </w:tr>
      <w:tr>
        <w:trPr>
          <w:trHeight w:val="191"/>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7"/>
              </w:rPr>
              <w:t>Investments</w:t>
            </w:r>
          </w:p>
        </w:tc>
        <w:tc>
          <w:tcPr>
            <w:tcW w:w="14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gridSpan w:val="2"/>
          </w:tcPr>
          <w:p>
            <w:pPr>
              <w:spacing w:after="0"/>
              <w:rPr>
                <w:sz w:val="16"/>
                <w:szCs w:val="16"/>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Investments at</w:t>
            </w:r>
          </w:p>
        </w:tc>
        <w:tc>
          <w:tcPr>
            <w:tcW w:w="17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at</w:t>
            </w: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Rating</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Borders>
              <w:bottom w:val="single" w:sz="8" w:color="CCEEFF"/>
            </w:tcBorders>
            <w:gridSpan w:val="2"/>
          </w:tcPr>
          <w:p>
            <w:pPr>
              <w:spacing w:after="0"/>
              <w:rPr>
                <w:sz w:val="20"/>
                <w:szCs w:val="20"/>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141,889</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96,703</w:t>
            </w:r>
          </w:p>
        </w:tc>
        <w:tc>
          <w:tcPr>
            <w:tcW w:w="2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82,355</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140,111</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51.0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17,316</w:t>
            </w:r>
          </w:p>
        </w:tc>
        <w:tc>
          <w:tcPr>
            <w:tcW w:w="1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17,111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16,610</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20,767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258,170</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274,692</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20, 2018, the Company and Trinity Universal Insurance Company (“Trinity”), a subsidiary of Kemper Corporation, entered into a limited liability company agreement (the “LLC Agreement”) to co-manage CSLF II. The purpose and design of the joint venture was to invest primarily in senior secured first-out loans. The Company and Trinity committed to provide $25.0 million of equity to CSLF II, with the Company providing $20.0 million and Trinity providing $5.0 million. The Company and Trinity each appointed two members to CSLF II’s four-person board of directors and investment committee. All material decisions with respect to CSLF II, including those involving its investment portfolio, required approval of a member on the board of directors and investment committee of at least one member representing the Company and Trinity, respectively.</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May 2020, the Company and Trinity elected to wind-down operations of CSLF II. On June 1, 2020, CSLF II sold its existing assets with the Company and Trinity each purchasing approximately 50% of CSLF II’s debt investments at their par value. On June 12, 2020, CSLF II declared final distributions and returned all remaining capital of $13.1 million and $3.3 million to the Company and Trinity, respectively. The Company’s equity investment in CSLF II was not redeemable. On June 12, 2020, the capital commitments for the Company and Trinity were terminated.</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September 3, 2019, CSLF II entered into a senior secured revolving credit facility (the “CSLF II Credit Facility”) with KeyBank Specialty Finance Lending, an affiliate of KeyCorp. The CSLF II Credit Facility provided for borrowings up to $60.0 million, subject to certain borrowing base restrictions. Borrowings under the CSLF II Credit Facility bore interest at a rate of one-month LIBOR + 2.25%. Prior to the termination of the CSLF II Credit Facility, CSLF II incurred unused fees of .35% when utilization of the CSLF II Credit Facility exceeded 50% and .65% when utilization of the CSLF</w:t>
      </w:r>
    </w:p>
    <w:p>
      <w:pPr>
        <w:spacing w:after="0" w:line="1" w:lineRule="exact"/>
        <w:rPr>
          <w:sz w:val="20"/>
          <w:szCs w:val="20"/>
          <w:color w:val="auto"/>
        </w:rPr>
      </w:pPr>
    </w:p>
    <w:p>
      <w:pPr>
        <w:ind w:firstLine="8"/>
        <w:spacing w:after="0" w:line="260" w:lineRule="auto"/>
        <w:tabs>
          <w:tab w:leader="none" w:pos="1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Credit Facility was less than 50%. On June 5, 2020, CSLF II terminated the CSLF II Credit Facility and repaid all amounts outstanding. For the three months ended March 31, 2021 and 2020, CSLF II incurred interest and financing expenses of $0.0 and $0.2 million, respectively.</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3, 2019, the Company and Trinity committed to provide $25.0 million of subordinated debt (the “Subordinated Notes”) to CSLF II, with the Company providing $5.0 million and Trinity providing $20.0 million. The Subordinated Notes were scheduled to mature on September 3, 2024, however, the Subordinated Notes were terminated on June 12, 2020. For the three months ended March 31, 2021 and 2020, CSLF II did not incur any interest and financing expenses related to the Subordinated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7600" w:type="dxa"/>
            <w:vAlign w:val="bottom"/>
          </w:tcPr>
          <w:p>
            <w:pPr>
              <w:ind w:left="660"/>
              <w:spacing w:after="0"/>
              <w:rPr>
                <w:sz w:val="20"/>
                <w:szCs w:val="20"/>
                <w:color w:val="auto"/>
              </w:rPr>
            </w:pPr>
            <w:r>
              <w:rPr>
                <w:rFonts w:ascii="Arial" w:cs="Arial" w:eastAsia="Arial" w:hAnsi="Arial"/>
                <w:sz w:val="18"/>
                <w:szCs w:val="18"/>
                <w:color w:val="auto"/>
              </w:rPr>
              <w:t>Below are the unaudited statements of operations for CSLF II (dollars in thousands):</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7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7"/>
          </w:tcPr>
          <w:p>
            <w:pPr>
              <w:ind w:left="60"/>
              <w:spacing w:after="0"/>
              <w:rPr>
                <w:sz w:val="20"/>
                <w:szCs w:val="20"/>
                <w:color w:val="auto"/>
              </w:rPr>
            </w:pPr>
            <w:r>
              <w:rPr>
                <w:rFonts w:ascii="Arial" w:cs="Arial" w:eastAsia="Arial" w:hAnsi="Arial"/>
                <w:sz w:val="18"/>
                <w:szCs w:val="18"/>
                <w:b w:val="1"/>
                <w:bCs w:val="1"/>
                <w:color w:val="auto"/>
              </w:rPr>
              <w:t>For the Three Months Ended</w:t>
            </w:r>
          </w:p>
        </w:tc>
      </w:tr>
      <w:tr>
        <w:trPr>
          <w:trHeight w:val="223"/>
        </w:trPr>
        <w:tc>
          <w:tcPr>
            <w:tcW w:w="7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March 31, 2021</w:t>
            </w:r>
          </w:p>
        </w:tc>
        <w:tc>
          <w:tcPr>
            <w:tcW w:w="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March 31, 2020</w:t>
            </w:r>
          </w:p>
        </w:tc>
        <w:tc>
          <w:tcPr>
            <w:tcW w:w="100" w:type="dxa"/>
            <w:vAlign w:val="bottom"/>
            <w:gridSpan w:val="2"/>
          </w:tcPr>
          <w:p>
            <w:pPr>
              <w:spacing w:after="0"/>
              <w:rPr>
                <w:sz w:val="19"/>
                <w:szCs w:val="19"/>
                <w:color w:val="auto"/>
              </w:rPr>
            </w:pPr>
          </w:p>
        </w:tc>
      </w:tr>
      <w:tr>
        <w:trPr>
          <w:trHeight w:val="209"/>
        </w:trPr>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18"/>
                <w:szCs w:val="18"/>
                <w:color w:val="auto"/>
              </w:rPr>
            </w:pPr>
          </w:p>
        </w:tc>
      </w:tr>
      <w:tr>
        <w:trPr>
          <w:trHeight w:val="229"/>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r>
      <w:tr>
        <w:trPr>
          <w:trHeight w:val="210"/>
        </w:trPr>
        <w:tc>
          <w:tcPr>
            <w:tcW w:w="7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 income</w:t>
            </w:r>
          </w:p>
        </w:tc>
        <w:tc>
          <w:tcPr>
            <w:tcW w:w="8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Interest and financing expenses</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r>
      <w:tr>
        <w:trPr>
          <w:trHeight w:val="23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9"/>
                <w:szCs w:val="19"/>
                <w:color w:val="auto"/>
              </w:rPr>
            </w:pPr>
          </w:p>
        </w:tc>
      </w:tr>
      <w:tr>
        <w:trPr>
          <w:trHeight w:val="209"/>
        </w:trPr>
        <w:tc>
          <w:tcPr>
            <w:tcW w:w="7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expenses</w:t>
            </w:r>
          </w:p>
        </w:tc>
        <w:tc>
          <w:tcPr>
            <w:tcW w:w="8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8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results for the three months ended March 31, 2021 and 2020 were as follows (dollars in thousands):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Total expenses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realized (loss)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right="3260"/>
        <w:spacing w:after="0" w:line="341" w:lineRule="auto"/>
        <w:rPr>
          <w:sz w:val="20"/>
          <w:szCs w:val="20"/>
          <w:color w:val="auto"/>
        </w:rPr>
      </w:pPr>
      <w:r>
        <w:rPr>
          <w:rFonts w:ascii="Arial" w:cs="Arial" w:eastAsia="Arial" w:hAnsi="Arial"/>
          <w:sz w:val="16"/>
          <w:szCs w:val="16"/>
          <w:color w:val="auto"/>
        </w:rPr>
        <w:t>Net unrealized appreciation (depreciation) on investments Net increase (decrease) in net assets resulting from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4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March 31, 2021</w:t>
            </w:r>
          </w:p>
        </w:tc>
        <w:tc>
          <w:tcPr>
            <w:tcW w:w="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March 31, 2020</w:t>
            </w:r>
          </w:p>
        </w:tc>
        <w:tc>
          <w:tcPr>
            <w:tcW w:w="60" w:type="dxa"/>
            <w:vAlign w:val="bottom"/>
            <w:gridSpan w:val="3"/>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5,709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7,087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(783)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(13)</w:t>
            </w:r>
          </w:p>
        </w:tc>
        <w:tc>
          <w:tcPr>
            <w:tcW w:w="40" w:type="dxa"/>
            <w:vAlign w:val="bottom"/>
            <w:gridSpan w:val="2"/>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(14,023)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27,160</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(43,395)</w:t>
            </w:r>
          </w:p>
        </w:tc>
      </w:t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(42,440</w:t>
            </w:r>
          </w:p>
        </w:tc>
        <w:tc>
          <w:tcPr>
            <w:tcW w:w="20" w:type="dxa"/>
            <w:vAlign w:val="bottom"/>
          </w:tcPr>
          <w:p>
            <w:pPr>
              <w:jc w:val="right"/>
              <w:spacing w:after="0"/>
              <w:rPr>
                <w:sz w:val="20"/>
                <w:szCs w:val="20"/>
                <w:color w:val="auto"/>
              </w:rPr>
            </w:pPr>
            <w:r>
              <w:rPr>
                <w:rFonts w:ascii="Arial" w:cs="Arial" w:eastAsia="Arial" w:hAnsi="Arial"/>
                <w:sz w:val="1"/>
                <w:szCs w:val="1"/>
                <w:color w:val="auto"/>
                <w:w w:val="4294967281"/>
              </w:rPr>
              <w:t>)</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720" w:space="720"/>
            <w:col w:w="2800"/>
          </w:cols>
          <w:pgMar w:left="320" w:top="692" w:right="3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composition of our investment income for the three months ended March 31, 2021 and 2020 was as follows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7"/>
          </w:tcPr>
          <w:p>
            <w:pPr>
              <w:ind w:left="60"/>
              <w:spacing w:after="0"/>
              <w:rPr>
                <w:sz w:val="20"/>
                <w:szCs w:val="20"/>
                <w:color w:val="auto"/>
              </w:rPr>
            </w:pPr>
            <w:r>
              <w:rPr>
                <w:rFonts w:ascii="Arial" w:cs="Arial" w:eastAsia="Arial" w:hAnsi="Arial"/>
                <w:sz w:val="18"/>
                <w:szCs w:val="18"/>
                <w:b w:val="1"/>
                <w:bCs w:val="1"/>
                <w:color w:val="auto"/>
              </w:rPr>
              <w:t>For the Three Months Ended</w:t>
            </w:r>
          </w:p>
        </w:tc>
      </w:tr>
      <w:tr>
        <w:trPr>
          <w:trHeight w:val="223"/>
        </w:trPr>
        <w:tc>
          <w:tcPr>
            <w:tcW w:w="8440" w:type="dxa"/>
            <w:vAlign w:val="bottom"/>
          </w:tcPr>
          <w:p>
            <w:pPr>
              <w:spacing w:after="0"/>
              <w:rPr>
                <w:sz w:val="19"/>
                <w:szCs w:val="19"/>
                <w:color w:val="auto"/>
              </w:rPr>
            </w:pPr>
          </w:p>
        </w:tc>
        <w:tc>
          <w:tcPr>
            <w:tcW w:w="146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3"/>
              </w:rPr>
              <w:t>March 31, 2021</w:t>
            </w:r>
          </w:p>
        </w:tc>
        <w:tc>
          <w:tcPr>
            <w:tcW w:w="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March 31, 2020</w:t>
            </w:r>
          </w:p>
        </w:tc>
        <w:tc>
          <w:tcPr>
            <w:tcW w:w="100" w:type="dxa"/>
            <w:vAlign w:val="bottom"/>
            <w:gridSpan w:val="2"/>
          </w:tcPr>
          <w:p>
            <w:pPr>
              <w:spacing w:after="0"/>
              <w:rPr>
                <w:sz w:val="19"/>
                <w:szCs w:val="19"/>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Fee income</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319</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Dividend income</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62" w:name="page63"/>
    <w:bookmarkEnd w:id="62"/>
    <w:p>
      <w:pPr>
        <w:jc w:val="both"/>
        <w:ind w:firstLine="648"/>
        <w:spacing w:after="0" w:line="286" w:lineRule="auto"/>
        <w:rPr>
          <w:sz w:val="20"/>
          <w:szCs w:val="20"/>
          <w:color w:val="auto"/>
        </w:rPr>
      </w:pPr>
      <w:r>
        <w:rPr>
          <w:rFonts w:ascii="Arial" w:cs="Arial" w:eastAsia="Arial" w:hAnsi="Arial"/>
          <w:sz w:val="17"/>
          <w:szCs w:val="17"/>
          <w:color w:val="auto"/>
        </w:rPr>
        <w:t>We earn dividends on certain equity investments within our investment portfolio. As noted in our consolidated schedules of investments, some investments are scheduled to pay a periodic dividend, though these recurring dividends do not make up a significant portion of our total investment income. We may receive, and have received, more substantial one-time dividends from our equity investments.</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the three months ended March 31, 2021, total investment income decreased by $2.1 million, or 30.4%, compared to the three months ended March 31, 2020. The decrease from the prior period was driven by a decrease in interest income from $6.2 million for the three months ended March 31, 2020 to $4.6 million for the three months ended March 31, 2021. The decline in interest income is primarily due to lower average outstanding debt investments for the three months ended March 31, 2021 compared to the three months ended March 31, 2020. PIK income declined from $0.5 million for the three months ended March 31, 2020 to $0.2 million for the three months ended March 31, 2021. The decrease in PIK income was due to a decline in investments with a contractual PIK rate. For the three months ended March 31, 2021, we generated $0.0 in origination fees from new deployments and $9 thousand in other fees. Comparatively, for the three months ended March 31, 2020, we generated $0.2 million in origination fees from new deployments and $0.1 million in other fees. Dividend income increased from $25 thousand for the three months ended March 31, 2020 to $0.2 million for the three months ended March 31, 2021, primarily due to $0.1 million in non-recurring dividends received from portfolio companies during the three months ended March 31,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expenses for the three months ended March 31, 2021 and 2020 was as follows (dollars in thousands):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Interest and financing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Base management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service fees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4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March 31, 2021</w:t>
            </w:r>
          </w:p>
        </w:tc>
        <w:tc>
          <w:tcPr>
            <w:tcW w:w="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March 31, 2020</w:t>
            </w:r>
          </w:p>
        </w:tc>
      </w:tr>
      <w:tr>
        <w:trPr>
          <w:trHeight w:val="195"/>
        </w:trPr>
        <w:tc>
          <w:tcPr>
            <w:tcW w:w="20" w:type="dxa"/>
            <w:vAlign w:val="bottom"/>
          </w:tcPr>
          <w:p>
            <w:pPr>
              <w:spacing w:after="0"/>
              <w:rPr>
                <w:sz w:val="16"/>
                <w:szCs w:val="16"/>
                <w:color w:val="auto"/>
              </w:rPr>
            </w:pPr>
          </w:p>
        </w:tc>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3,037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3,826</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1,398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1,757</w:t>
            </w:r>
          </w:p>
        </w:tc>
      </w:tr>
      <w:tr>
        <w:trPr>
          <w:trHeight w:val="23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1,154</w:t>
            </w:r>
          </w:p>
        </w:tc>
      </w:tr>
      <w:tr>
        <w:trPr>
          <w:trHeight w:val="223"/>
        </w:trPr>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7,087</w:t>
            </w: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-744855</wp:posOffset>
            </wp:positionV>
            <wp:extent cx="7132320" cy="145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-462280</wp:posOffset>
            </wp:positionV>
            <wp:extent cx="71323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-179070</wp:posOffset>
            </wp:positionV>
            <wp:extent cx="713232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692" w:right="339" w:bottom="1440" w:gutter="0" w:footer="0" w:header="0"/>
          <w:type w:val="continuous"/>
        </w:sectPr>
      </w:pPr>
    </w:p>
    <w:p>
      <w:pPr>
        <w:spacing w:after="0" w:line="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three months ended March 31, 2021, operating expenses decreased by $1.4 million, or 19.4%, compared to the three months ended March 31, 2020. Interest and financing expenses decreased from $3.8 million for the three months ended March 31, 2020 to $3.0 million for the three months ended March 31, 2021 due primarily to lower average outstanding debt during the three months ended March 31, 2021 compared to the three months ended March 31, 2020. Base management fees declined from $1.8 million for the three months ended March 31, 2020 to $1.4 million for the three months ended March 31, 2021, due to lower average assets under management. General and administrative expenses decreased from $1.2 million for the three months ended March 31, 2020 to $0.9 million for the three months ended March 31, 2021 primarily due to lower legal expenses during the three months ended March 31,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(loss) on sales of investments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2021 and 2020, we recognized $(14.0) million and $1.0 million of net realized (loss) gain on our portfolio investments,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change in unrealized appreciation (depreciation) on investments reflects the net change in the fair value of our investment portfolio. For the three months ended March 31, 2021 and 2020, we had $27.2 million and $(43.4) million of net unrealized appreciation (depreciation) on investments,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the three months ended March 31, 2021 and 2020, we recorded a net increase (decrease) in net assets resulting from operations of $12.4 million and $(42.4) million, respectively. Based on the weighted average shares of common stock outstanding for the three months March 31, 2021 and 2020, our per share net increase (decrease) in net assets resulting from operations was $4.56 and $(15.70), respectively. Per data share has been adjusted for the three months ended March 31, 2020 to reflect the one-for-six reverse stock split effected on August 21, 2020 on a retroactive basis.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and intend to use existing cash primarily to originate investments in new and existing portfolio companies, pay distributions to our stockholders, and repay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our IPO, we have raised approximately $136.0 million in net proceeds from equity offerings through March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 Credit Facility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17, 2014, the Company entered into a senior secured revolving credit agreement (as amended, the “ING Credit Facility”) with ING Capital, LLC, as administrative agent, arranger, and bookrunner, and the lenders party thereto. The ING Credit Facility was set to mature on April 30, 2022; however, on June 19, 2020, the Company unilaterally terminated the ING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KeyBank Credit Facility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231F20"/>
        </w:rPr>
        <w:t>On October 30, 2020, CBL, a direct, wholly owned, consolidated subsidiary of the Company, entered into the KeyBank Credit Facility with the Investment Adviser, as collateral manager, the lenders from time to time parties thereto (each a “Lender”), KeyBank National Association, as administrative agent, and U.S. Bank National Association, as custodian. Under the KeyBank Credit Facility, the Lenders have agreed to extend credit to CBL in an aggregate principal amount of up to $25.0 million as of October 30, 2020. CBL may, on any business day prior to October 28, 2022, request an increase in the aggregate principal amount from $25.0 million to $100.0 million in accordance with the terms and in the manner described in the KeyBank Credit Facility. The period during which the Lenders may make loans to CBL under the KeyBank Credit Facility commenced on October 30, 2020 and will continue through October 28, 2022, unless there is an earlier termination or event of default. The KeyBank Credit Facility matures on October 28, 2023, unless there is an earlier termination or event of default. Borrowings under the KeyBank Credit Facility bear interest at one- month LIBOR plus 3.5%. As of March 31, 2021, the Company had $0 outstanding and $25.0 million available under the KeyBank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Notes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 principal, plus accrued and unpaid interest. Interest on the 2022 Notes is payable quarterly. The 2022 Notes are listed on the NASDAQ Global Select Market under the trading symbol “CPTAL” with a par value of $25.00 per share. As of March 31, 2021, the Company had approximately $72.8 million in aggregate principal amount of 2022 Notes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Convertible Notes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On May 26, 2017, we issued $50.0 million in aggregate principal amount of 5.75% fixed-rate convertible notes due May 31, 2022 (the “2022 Convertible Notes”). On June 26, 2017, we issued an additional $2.1 million in aggregate principal amount of the 2022 Convertible Notes pursuant to a partial exercise of the underwriters’ overallotment option. Interest on the 2022 Convertible Notes is payable quarterly. The 2022 Convertible Notes are listed on the NASDAQ Capital Market under the trading symbol “CPTAG” with a par value of $25.00 per share. </w:t>
      </w:r>
      <w:r>
        <w:rPr>
          <w:rFonts w:ascii="Arial" w:cs="Arial" w:eastAsia="Arial" w:hAnsi="Arial"/>
          <w:sz w:val="17"/>
          <w:szCs w:val="17"/>
          <w:color w:val="231F20"/>
        </w:rPr>
        <w:t>As of March 31, 2021, the Company had</w:t>
      </w:r>
      <w:r>
        <w:rPr>
          <w:rFonts w:ascii="Arial" w:cs="Arial" w:eastAsia="Arial" w:hAnsi="Arial"/>
          <w:sz w:val="17"/>
          <w:szCs w:val="17"/>
          <w:color w:val="auto"/>
        </w:rPr>
        <w:t xml:space="preserve"> </w:t>
      </w:r>
      <w:r>
        <w:rPr>
          <w:rFonts w:ascii="Arial" w:cs="Arial" w:eastAsia="Arial" w:hAnsi="Arial"/>
          <w:sz w:val="17"/>
          <w:szCs w:val="17"/>
          <w:color w:val="231F20"/>
        </w:rPr>
        <w:t>approximately $52.1 million in aggregate principal amount of 2022 Convertible Notes outstanding.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Bond Repurchase Program</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July 30, 2020, the Board approved a bond repurchase program which authorizes the Company to repurchase up to an aggregate of $10.0 million worth of the Company's outstanding 2022 Notes and/or 2022 Convertible Notes (the "Bond Repurchase Program"). The Bond Repurchase Program will terminate upon the earlier of (i) July 30, 2021 or (ii) the repurchase of an aggregate of $10.0 million worth of 2022 Notes and/or 2022 Convertible Notes. During the three months ended March 31, 2021, the Company did not purchase any of the 2022 Notes or the Convertible Notes.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SBA-guaranteed debentures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March 31, 2021, Fund III had $75.0 million in regulatory capital and $71.0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Exchange Act, with respect to Fund II and Fund III. We intend to comply with the conditions of the order.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ATM Program</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On December 31, 2019, we entered into an open market sale agreement</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with Jefferies LLC pursuant to which we may issue and sell up to $50.0 million in aggregate amount of shares of our common stock in amounts, and at times, to be determined by us (the “ATM Program”). Actual sales in this ATM Program will depend on a variety of factors to be determined by us including market conditions, the trading price of our common stock and determinations by us of the appropriate sources of funding. We may issue shares of our common stock at a price below the then current NAV per share pursuant to the ATM Program. There were no sales of shares of our common stock under the ATM Program during the three months ended March 31, 2021 and 2020.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Coverage Ratio</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only allowed to borrow money such that our asset coverage, as defined in the 1940 Act, equals at least 150% if certain requirements are met, after such borrowing, with certain limited exceptions. As of March 31, 2021, our asset coverage ratio was 197.1%. If our asset coverage ratio falls below 150% due a decline in the fair market of our portfolio, including as the result of the economic impact caused by the COVID-19 pandemic, we may be limited in our ability to raise additional debt.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we had $59.7 million in cash and cash equivalents, and our net assets totaled $121.3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both"/>
        <w:ind w:firstLine="648"/>
        <w:spacing w:after="0" w:line="301" w:lineRule="auto"/>
        <w:rPr>
          <w:sz w:val="20"/>
          <w:szCs w:val="20"/>
          <w:color w:val="auto"/>
        </w:rPr>
      </w:pPr>
      <w:r>
        <w:rPr>
          <w:rFonts w:ascii="Arial" w:cs="Arial" w:eastAsia="Arial" w:hAnsi="Arial"/>
          <w:sz w:val="16"/>
          <w:szCs w:val="16"/>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significant contractual payment obligations as of March 31, 2021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8"/>
          </w:tcPr>
          <w:p>
            <w:pPr>
              <w:ind w:left="200"/>
              <w:spacing w:after="0"/>
              <w:rPr>
                <w:sz w:val="20"/>
                <w:szCs w:val="20"/>
                <w:color w:val="auto"/>
              </w:rPr>
            </w:pPr>
            <w:r>
              <w:rPr>
                <w:rFonts w:ascii="Arial" w:cs="Arial" w:eastAsia="Arial" w:hAnsi="Arial"/>
                <w:sz w:val="18"/>
                <w:szCs w:val="18"/>
                <w:b w:val="1"/>
                <w:bCs w:val="1"/>
                <w:color w:val="auto"/>
              </w:rPr>
              <w:t>Contractual Obligations Payments Due by Period</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Less Than</w:t>
            </w:r>
          </w:p>
        </w:tc>
        <w:tc>
          <w:tcPr>
            <w:tcW w:w="280" w:type="dxa"/>
            <w:vAlign w:val="bottom"/>
          </w:tcPr>
          <w:p>
            <w:pPr>
              <w:spacing w:after="0"/>
              <w:rPr>
                <w:sz w:val="16"/>
                <w:szCs w:val="16"/>
                <w:color w:val="auto"/>
              </w:rPr>
            </w:pPr>
          </w:p>
        </w:tc>
        <w:tc>
          <w:tcPr>
            <w:tcW w:w="1420" w:type="dxa"/>
            <w:vAlign w:val="bottom"/>
            <w:gridSpan w:val="2"/>
          </w:tcPr>
          <w:p>
            <w:pPr>
              <w:jc w:val="center"/>
              <w:ind w:right="500"/>
              <w:spacing w:after="0" w:line="191" w:lineRule="exact"/>
              <w:rPr>
                <w:sz w:val="20"/>
                <w:szCs w:val="20"/>
                <w:color w:val="auto"/>
              </w:rPr>
            </w:pPr>
            <w:r>
              <w:rPr>
                <w:rFonts w:ascii="Arial" w:cs="Arial" w:eastAsia="Arial" w:hAnsi="Arial"/>
                <w:sz w:val="18"/>
                <w:szCs w:val="18"/>
                <w:b w:val="1"/>
                <w:bCs w:val="1"/>
                <w:color w:val="auto"/>
                <w:w w:val="89"/>
              </w:rPr>
              <w:t>1 – 3</w:t>
            </w:r>
          </w:p>
        </w:tc>
        <w:tc>
          <w:tcPr>
            <w:tcW w:w="300" w:type="dxa"/>
            <w:vAlign w:val="bottom"/>
          </w:tcPr>
          <w:p>
            <w:pPr>
              <w:spacing w:after="0"/>
              <w:rPr>
                <w:sz w:val="16"/>
                <w:szCs w:val="16"/>
                <w:color w:val="auto"/>
              </w:rPr>
            </w:pPr>
          </w:p>
        </w:tc>
        <w:tc>
          <w:tcPr>
            <w:tcW w:w="1360" w:type="dxa"/>
            <w:vAlign w:val="bottom"/>
            <w:gridSpan w:val="2"/>
          </w:tcPr>
          <w:p>
            <w:pPr>
              <w:ind w:left="240"/>
              <w:spacing w:after="0" w:line="191" w:lineRule="exact"/>
              <w:rPr>
                <w:sz w:val="20"/>
                <w:szCs w:val="20"/>
                <w:color w:val="auto"/>
              </w:rPr>
            </w:pPr>
            <w:r>
              <w:rPr>
                <w:rFonts w:ascii="Arial" w:cs="Arial" w:eastAsia="Arial" w:hAnsi="Arial"/>
                <w:sz w:val="18"/>
                <w:szCs w:val="18"/>
                <w:b w:val="1"/>
                <w:bCs w:val="1"/>
                <w:color w:val="auto"/>
              </w:rPr>
              <w:t>3 – 5</w:t>
            </w:r>
          </w:p>
        </w:tc>
        <w:tc>
          <w:tcPr>
            <w:tcW w:w="200" w:type="dxa"/>
            <w:vAlign w:val="bottom"/>
          </w:tcPr>
          <w:p>
            <w:pPr>
              <w:spacing w:after="0"/>
              <w:rPr>
                <w:sz w:val="16"/>
                <w:szCs w:val="16"/>
                <w:color w:val="auto"/>
              </w:rPr>
            </w:pPr>
          </w:p>
        </w:tc>
        <w:tc>
          <w:tcPr>
            <w:tcW w:w="146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More Than</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 Year</w:t>
            </w:r>
          </w:p>
        </w:tc>
        <w:tc>
          <w:tcPr>
            <w:tcW w:w="280" w:type="dxa"/>
            <w:vAlign w:val="bottom"/>
          </w:tcPr>
          <w:p>
            <w:pPr>
              <w:spacing w:after="0"/>
              <w:rPr>
                <w:sz w:val="20"/>
                <w:szCs w:val="20"/>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Years</w:t>
            </w:r>
          </w:p>
        </w:tc>
        <w:tc>
          <w:tcPr>
            <w:tcW w:w="30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Years</w:t>
            </w:r>
          </w:p>
        </w:tc>
        <w:tc>
          <w:tcPr>
            <w:tcW w:w="200" w:type="dxa"/>
            <w:vAlign w:val="bottom"/>
          </w:tcPr>
          <w:p>
            <w:pPr>
              <w:spacing w:after="0"/>
              <w:rPr>
                <w:sz w:val="20"/>
                <w:szCs w:val="20"/>
                <w:color w:val="auto"/>
              </w:rPr>
            </w:pPr>
          </w:p>
        </w:tc>
        <w:tc>
          <w:tcPr>
            <w:tcW w:w="1460" w:type="dxa"/>
            <w:vAlign w:val="bottom"/>
            <w:gridSpan w:val="2"/>
          </w:tcPr>
          <w:p>
            <w:pPr>
              <w:ind w:left="260"/>
              <w:spacing w:after="0"/>
              <w:rPr>
                <w:sz w:val="20"/>
                <w:szCs w:val="20"/>
                <w:color w:val="auto"/>
              </w:rPr>
            </w:pPr>
            <w:r>
              <w:rPr>
                <w:rFonts w:ascii="Arial" w:cs="Arial" w:eastAsia="Arial" w:hAnsi="Arial"/>
                <w:sz w:val="18"/>
                <w:szCs w:val="18"/>
                <w:b w:val="1"/>
                <w:bCs w:val="1"/>
                <w:color w:val="auto"/>
              </w:rPr>
              <w:t>5 Years</w:t>
            </w: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SBA-guaranteed debentures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2022 Notes</w:t>
            </w: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72,833</w:t>
            </w:r>
          </w:p>
        </w:tc>
        <w:tc>
          <w:tcPr>
            <w:tcW w:w="300" w:type="dxa"/>
            <w:vAlign w:val="bottom"/>
          </w:tcPr>
          <w:p>
            <w:pPr>
              <w:spacing w:after="0"/>
              <w:rPr>
                <w:sz w:val="18"/>
                <w:szCs w:val="18"/>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72,833</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52,088</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52,088</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KeyBank Credit Facility</w:t>
            </w:r>
          </w:p>
        </w:tc>
        <w:tc>
          <w:tcPr>
            <w:tcW w:w="20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order to qualify as a RIC and to avoid corporate-level U.S. federal income tax on the income we timely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that we recognized for preceding years, but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during the second quarter of 2020. Our stockholder distributions, if any, will be determined by our Board on a quarterly basis. Any distributions to our stockholders will be declared out of assets legally available for distribution. On March 4, 2021, the Company’s Board determined not to declare a distribution for the first quarter of 2021 due to the impact of the COVID-19 pandemic on the Company’s expected net investment income.</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color w:val="auto"/>
        </w:rPr>
        <w:t>The following tables summarize our distributions declared from January 1, 2019 through March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r>
      <w:tr>
        <w:trPr>
          <w:trHeight w:val="271"/>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center"/>
              <w:ind w:right="280"/>
              <w:spacing w:after="0" w:line="271" w:lineRule="exact"/>
              <w:rPr>
                <w:sz w:val="20"/>
                <w:szCs w:val="20"/>
                <w:color w:val="auto"/>
              </w:rPr>
            </w:pPr>
            <w:r>
              <w:rPr>
                <w:rFonts w:ascii="Arial" w:cs="Arial" w:eastAsia="Arial" w:hAnsi="Arial"/>
                <w:sz w:val="18"/>
                <w:szCs w:val="18"/>
                <w:b w:val="1"/>
                <w:bCs w:val="1"/>
                <w:color w:val="auto"/>
                <w:w w:val="87"/>
              </w:rPr>
              <w:t>Per Share</w:t>
            </w:r>
            <w:r>
              <w:rPr>
                <w:rFonts w:ascii="Arial" w:cs="Arial" w:eastAsia="Arial" w:hAnsi="Arial"/>
                <w:sz w:val="29"/>
                <w:szCs w:val="29"/>
                <w:b w:val="1"/>
                <w:bCs w:val="1"/>
                <w:color w:val="auto"/>
                <w:w w:val="87"/>
                <w:vertAlign w:val="superscript"/>
              </w:rPr>
              <w:t>(1)</w:t>
            </w:r>
          </w:p>
        </w:tc>
      </w:tr>
      <w:tr>
        <w:trPr>
          <w:trHeight w:val="209"/>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24, 2020</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January 2, 2020</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20, 2020</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27, 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3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2020</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23, 2020</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Total Distributions Declared and Distributed for 2020</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r>
      <w:tr>
        <w:trPr>
          <w:trHeight w:val="271"/>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center"/>
              <w:ind w:right="280"/>
              <w:spacing w:after="0" w:line="271" w:lineRule="exact"/>
              <w:rPr>
                <w:sz w:val="20"/>
                <w:szCs w:val="20"/>
                <w:color w:val="auto"/>
              </w:rPr>
            </w:pPr>
            <w:r>
              <w:rPr>
                <w:rFonts w:ascii="Arial" w:cs="Arial" w:eastAsia="Arial" w:hAnsi="Arial"/>
                <w:sz w:val="18"/>
                <w:szCs w:val="18"/>
                <w:b w:val="1"/>
                <w:bCs w:val="1"/>
                <w:color w:val="auto"/>
                <w:w w:val="87"/>
              </w:rPr>
              <w:t>Per Share</w:t>
            </w:r>
            <w:r>
              <w:rPr>
                <w:rFonts w:ascii="Arial" w:cs="Arial" w:eastAsia="Arial" w:hAnsi="Arial"/>
                <w:sz w:val="29"/>
                <w:szCs w:val="29"/>
                <w:b w:val="1"/>
                <w:bCs w:val="1"/>
                <w:color w:val="auto"/>
                <w:w w:val="87"/>
                <w:vertAlign w:val="superscript"/>
              </w:rPr>
              <w:t>(1)</w:t>
            </w:r>
          </w:p>
        </w:tc>
      </w:tr>
      <w:tr>
        <w:trPr>
          <w:trHeight w:val="210"/>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24, 2019</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January 2, 2019</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20, 2019</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27, 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2019</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21, 2019</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28, 2019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April 1, 2019</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22, 2019</w:t>
            </w: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2019</w:t>
            </w: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23, 2019</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30, 2019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April 1, 2019</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 2019</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June 27, 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2019</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23, 2019</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July 1, 2019</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22, 2019</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August 29, 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2019</w:t>
            </w: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 2019</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27, 2019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October 1, 2019</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22, 2019</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October 29, 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2019</w:t>
            </w: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22, 2019</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r>
        <w:trPr>
          <w:trHeight w:val="229"/>
        </w:trPr>
        <w:tc>
          <w:tcPr>
            <w:tcW w:w="5420" w:type="dxa"/>
            <w:vAlign w:val="bottom"/>
            <w:gridSpan w:val="2"/>
          </w:tcPr>
          <w:p>
            <w:pPr>
              <w:spacing w:after="0"/>
              <w:rPr>
                <w:sz w:val="20"/>
                <w:szCs w:val="20"/>
                <w:color w:val="auto"/>
              </w:rPr>
            </w:pPr>
            <w:r>
              <w:rPr>
                <w:rFonts w:ascii="Arial" w:cs="Arial" w:eastAsia="Arial" w:hAnsi="Arial"/>
                <w:sz w:val="18"/>
                <w:szCs w:val="18"/>
                <w:color w:val="auto"/>
              </w:rPr>
              <w:t>October 1, 2019</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23, 2019</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December 30, 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23"/>
        </w:trPr>
        <w:tc>
          <w:tcPr>
            <w:tcW w:w="5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 for 2019</w:t>
            </w:r>
          </w:p>
        </w:tc>
        <w:tc>
          <w:tcPr>
            <w:tcW w:w="20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980" w:hanging="324"/>
        <w:spacing w:after="0" w:line="308"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Amount per share has been adjusted for the periods shown to reflect the one-for-six reverse stock split effected on August 21, 2020 on a retroactive basis, as described in Note 1 to our consolidated financial statements included in this Quarterly Report on Form 10-Q.</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Tax characteristics of all distributions paid are reported to stockholders on Form 1099 after the end of the calendar year. For the year ended December 31, 2020, total distributions of $4.1 million were comprised of approximately $0.7 million from ordinary income and $3.4 million from return of capital. For the year ended December 31, 2019, total distributions of $16.1 million were comprised of approximately $13.4 million from ordinary income and $2.7 million from return of capital. Distributions may be subject to reclassification based on future dividends and operating results and will not be determined until the end of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the Investment Advisory Agreement with the Investment Advisor. Joseph B. Alala, our chief executive officer and chairman of our Board, is the managing partner and chief investment officer of the Investment Advisor, and M. Hunt Broyhill, a member of our Board, has an indirect controlling interest in the Investment Advisor.</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an affiliate of the Investment Advisor also manages CapitalSouth Partners SBIC Fund IV, L.P. (‘‘Fund IV’’), a private investment limited partnership which provides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and a private investment vehicle (referred to herein as “Capitala Specialty Lending Corp” or “CSLC”), both of which provide financing solutions to lower middle-market and traditional middle-market companies. The Investment Advisor and its affiliates may also manage other funds in the future that may have investment mandates that are similar, in whole and in part, with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expect to make, and have made, co-investments with Fund IV, Fund V, and/or CSLC to the extent their respective investment strategies align with ours.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7" w:name="page68"/>
    <w:bookmarkEnd w:id="67"/>
    <w:p>
      <w:pPr>
        <w:jc w:val="both"/>
        <w:ind w:firstLine="648"/>
        <w:spacing w:after="0" w:line="289" w:lineRule="auto"/>
        <w:rPr>
          <w:sz w:val="20"/>
          <w:szCs w:val="20"/>
          <w:color w:val="auto"/>
        </w:rPr>
      </w:pPr>
      <w:r>
        <w:rPr>
          <w:rFonts w:ascii="Arial" w:cs="Arial" w:eastAsia="Arial" w:hAnsi="Arial"/>
          <w:sz w:val="16"/>
          <w:szCs w:val="16"/>
          <w:color w:val="auto"/>
        </w:rPr>
        <w:t>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(the ‘‘Order’’) permitting this relief. Pursuant to the Order, we are permitted to co-invest in such investment opportunities with our affiliates if a ‘‘required majority’’ (as defined in Section 57(o) of the 1940 Act) of our directors each of which is not considered an “interested person”, as such term is defined under the 1940 Act (the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and chairman of our Board, is the chief executive officer, president, and a director of our Administrator.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2021 and December 31, 2020, the Company had outstanding unfunded commitments related to debt investments in existing portfolio companies of $4.3 million (Rapid Fire Protection, Inc), $3.5 million (J5 Infrastructure Partners, LLC), $1.0 million (Freedom Electronics, LLC), and $1.0 million (U.S. BioTek Laboratories, LLC).</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1, 2021, we exited its investment in Xirgo Technologies, LLC and received $2.8 million for its equity investment.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14, 2021, we exited its investment in CIS Secure Computing, Inc. and received $3.4 million for its equity investment and $8.2 million for its first lien debt investment, repaid at par.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April 21, 2021, we announced that the Board has approved Mount Logan Management LLC (“Mount Logan”), a subsidiary of Mount Logan Capital Inc. and an affiliate of BC Partners Advisors L.P. for U.S. regulatory purposes, to serve as the new investment adviser to the Company (the “Adviser Transition”). Our Investment Advisor has entered into a definitive agreement to sell certain assets to Mount Logan in connection with the Adviser Transition. The Adviser Transition is contingent upon approval by our stockholders at an upcoming special stockholder meeting of a new investment advisory agreement to be entered into by and between us and Mount Logan and certain other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three months ended March 31, 2021, we did not engage in hedging activities.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March 31, 2021, we held 19 securities bearing a variable rate of interest. Our variable rate investments represent approximately 53.7% of the fair value of total debt investments. As of March 31, 2021, 100.0% of variable rate securities were yielding interest at a rate equal to the established interest rate floor. As of March 31, 2021, we had $0.0 outstanding on our KeyBank Credit Facility, which has a variable rate of interest at one-month LIBOR + 3.5%. Our KeyBank Credit Facility is subject to an interest rate floor such that the minimum interest rate is 4.25%. As of March 31, 2021, all of our other interest paying liabilities, consisting of $71.0 million in SBA-guaranteed debentures, $72.8 million in 2022 Notes, and $52.1 million in 2022 Convertible Notes, were bearing interest at a fixed rate.</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Interest rate sensitivity refers to the change in earnings that may result from changes in the level of interest rates. In addition, U.S. and global capital markets and credit markets have experienced a higher level of stress due to the global COVID-19 pandemic, which has resulted in an increase in the level of volatility across such markets and a general decline in value of the securities that we hold.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connection with the COVID-19 pandemic, the U.S. Federal Reserve and other central banks have reduced certain interest rates and LIBOR has decreased.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our March 31, 2021 consolidated statement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Increase</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Increase)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Increase</w:t>
            </w:r>
          </w:p>
        </w:tc>
      </w:tr>
      <w:tr>
        <w:trPr>
          <w:trHeight w:val="216"/>
        </w:trPr>
        <w:tc>
          <w:tcPr>
            <w:tcW w:w="4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(decrease)</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decrease 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r>
      <w:tr>
        <w:trPr>
          <w:trHeight w:val="216"/>
        </w:trPr>
        <w:tc>
          <w:tcPr>
            <w:tcW w:w="4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in interest</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interest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 net</w:t>
            </w:r>
          </w:p>
        </w:tc>
      </w:tr>
      <w:tr>
        <w:trPr>
          <w:trHeight w:val="234"/>
        </w:trPr>
        <w:tc>
          <w:tcPr>
            <w:tcW w:w="4780" w:type="dxa"/>
            <w:vAlign w:val="bottom"/>
          </w:tcPr>
          <w:p>
            <w:pPr>
              <w:ind w:left="2520"/>
              <w:spacing w:after="0"/>
              <w:rPr>
                <w:sz w:val="20"/>
                <w:szCs w:val="20"/>
                <w:color w:val="auto"/>
              </w:rPr>
            </w:pPr>
            <w:r>
              <w:rPr>
                <w:rFonts w:ascii="Arial" w:cs="Arial" w:eastAsia="Arial" w:hAnsi="Arial"/>
                <w:sz w:val="18"/>
                <w:szCs w:val="18"/>
                <w:b w:val="1"/>
                <w:bCs w:val="1"/>
                <w:color w:val="auto"/>
              </w:rPr>
              <w:t>Basis Point Change</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income</w:t>
            </w:r>
          </w:p>
        </w:tc>
        <w:tc>
          <w:tcPr>
            <w:tcW w:w="16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expense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income</w:t>
            </w:r>
          </w:p>
        </w:tc>
      </w:tr>
      <w:tr>
        <w:trPr>
          <w:trHeight w:val="210"/>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Up 200 basis points</w:t>
            </w:r>
          </w:p>
        </w:tc>
        <w:tc>
          <w:tcPr>
            <w:tcW w:w="20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Down 100 basis points</w:t>
            </w:r>
          </w:p>
        </w:tc>
        <w:tc>
          <w:tcPr>
            <w:tcW w:w="20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2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Down 300 basis points</w:t>
            </w:r>
          </w:p>
        </w:tc>
        <w:tc>
          <w:tcPr>
            <w:tcW w:w="20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8"/>
        </w:trPr>
        <w:tc>
          <w:tcPr>
            <w:tcW w:w="47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of March 31, 2021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Management has not identified any change in the Company’s internal control over financial reporting that occurred during the first quarter of 2021 that has materially affected, or is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December 31, 2020 (the “Annual Report on Form 10-K”), which could materially affect our business, financial condition and/or operating results, including the Risk Factor titled “Recent legislation may allow us to incur additional leverage”. The risks described in the Annual Report on Form 10-K are not the only risks we face. Additional risks and uncertainties that are not currently known to us or that we currently deem to be immaterial also may materially adversely affect our business, financial condition and/or operating results. Other than the risk factors below, during the three months ended March 31, 2021, there have been no material changes from the risk factors set forth in the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center"/>
        <w:ind w:right="88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Number</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gridSpan w:val="9"/>
          </w:tcPr>
          <w:p>
            <w:pPr>
              <w:ind w:left="1100"/>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142"/>
        </w:trPr>
        <w:tc>
          <w:tcPr>
            <w:tcW w:w="240" w:type="dxa"/>
            <w:vAlign w:val="bottom"/>
            <w:vMerge w:val="restart"/>
          </w:tcPr>
          <w:p>
            <w:pPr>
              <w:spacing w:after="0" w:line="156" w:lineRule="exact"/>
              <w:rPr>
                <w:rFonts w:ascii="Arial" w:cs="Arial" w:eastAsia="Arial" w:hAnsi="Arial"/>
                <w:sz w:val="18"/>
                <w:szCs w:val="18"/>
                <w:color w:val="0000EE"/>
                <w:w w:val="87"/>
              </w:rPr>
            </w:pPr>
            <w:hyperlink r:id="rId18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80" w:type="dxa"/>
            <w:vAlign w:val="bottom"/>
            <w:gridSpan w:val="5"/>
            <w:vMerge w:val="restart"/>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Articles of Amendment and Restatement</w:t>
              </w:r>
            </w:hyperlink>
          </w:p>
        </w:tc>
        <w:tc>
          <w:tcPr>
            <w:tcW w:w="180" w:type="dxa"/>
            <w:vAlign w:val="bottom"/>
            <w:tcBorders>
              <w:bottom w:val="single" w:sz="8" w:color="0000EE"/>
            </w:tcBorders>
          </w:tcPr>
          <w:p>
            <w:pPr>
              <w:jc w:val="right"/>
              <w:spacing w:after="0" w:line="129" w:lineRule="exact"/>
              <w:rPr>
                <w:rFonts w:ascii="Arial" w:cs="Arial" w:eastAsia="Arial" w:hAnsi="Arial"/>
                <w:sz w:val="14"/>
                <w:szCs w:val="14"/>
                <w:color w:val="0000EE"/>
                <w:w w:val="93"/>
              </w:rPr>
            </w:pPr>
            <w:hyperlink r:id="rId185">
              <w:r>
                <w:rPr>
                  <w:rFonts w:ascii="Arial" w:cs="Arial" w:eastAsia="Arial" w:hAnsi="Arial"/>
                  <w:sz w:val="14"/>
                  <w:szCs w:val="14"/>
                  <w:color w:val="0000EE"/>
                  <w:w w:val="93"/>
                </w:rPr>
                <w:t>(1)</w:t>
              </w:r>
            </w:hyperlink>
          </w:p>
        </w:tc>
        <w:tc>
          <w:tcPr>
            <w:tcW w:w="26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4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6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7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gridSpan w:val="5"/>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6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vMerge w:val="restart"/>
          </w:tcPr>
          <w:p>
            <w:pPr>
              <w:spacing w:after="0"/>
              <w:rPr>
                <w:rFonts w:ascii="Arial" w:cs="Arial" w:eastAsia="Arial" w:hAnsi="Arial"/>
                <w:sz w:val="18"/>
                <w:szCs w:val="18"/>
                <w:color w:val="0000EE"/>
                <w:w w:val="87"/>
              </w:rPr>
            </w:pPr>
            <w:hyperlink r:id="rId18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Borders>
              <w:bottom w:val="single" w:sz="8" w:color="0000EE"/>
            </w:tcBorders>
            <w:gridSpan w:val="5"/>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6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1740" w:type="dxa"/>
            <w:vAlign w:val="bottom"/>
            <w:gridSpan w:val="3"/>
            <w:vMerge w:val="restart"/>
          </w:tcPr>
          <w:p>
            <w:pPr>
              <w:spacing w:after="0"/>
              <w:rPr>
                <w:rFonts w:ascii="Arial" w:cs="Arial" w:eastAsia="Arial" w:hAnsi="Arial"/>
                <w:sz w:val="18"/>
                <w:szCs w:val="18"/>
                <w:color w:val="0000EE"/>
                <w:w w:val="94"/>
              </w:rPr>
            </w:pPr>
            <w:hyperlink r:id="rId186">
              <w:r>
                <w:rPr>
                  <w:rFonts w:ascii="Arial" w:cs="Arial" w:eastAsia="Arial" w:hAnsi="Arial"/>
                  <w:sz w:val="18"/>
                  <w:szCs w:val="18"/>
                  <w:color w:val="0000EE"/>
                  <w:w w:val="94"/>
                </w:rPr>
                <w:t>Articles of Amendment</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7"/>
              </w:rPr>
              <w:t>(4)</w:t>
            </w:r>
          </w:p>
        </w:tc>
        <w:tc>
          <w:tcPr>
            <w:tcW w:w="3840" w:type="dxa"/>
            <w:vAlign w:val="bottom"/>
            <w:gridSpan w:val="3"/>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44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60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24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7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40" w:type="dxa"/>
            <w:vAlign w:val="bottom"/>
            <w:gridSpan w:val="3"/>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vMerge w:val="restart"/>
          </w:tcPr>
          <w:p>
            <w:pPr>
              <w:spacing w:after="0"/>
              <w:rPr>
                <w:rFonts w:ascii="Arial" w:cs="Arial" w:eastAsia="Arial" w:hAnsi="Arial"/>
                <w:sz w:val="18"/>
                <w:szCs w:val="18"/>
                <w:color w:val="0000EE"/>
                <w:w w:val="87"/>
              </w:rPr>
            </w:pPr>
            <w:hyperlink r:id="rId18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4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740" w:type="dxa"/>
            <w:vAlign w:val="bottom"/>
            <w:tcBorders>
              <w:bottom w:val="single" w:sz="8" w:color="0000EE"/>
            </w:tcBorders>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3840" w:type="dxa"/>
            <w:vAlign w:val="bottom"/>
            <w:gridSpan w:val="3"/>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0000EE"/>
                <w:w w:val="87"/>
              </w:rPr>
              <w:t>(2)</w:t>
            </w:r>
          </w:p>
        </w:tc>
        <w:tc>
          <w:tcPr>
            <w:tcW w:w="16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6360" w:type="dxa"/>
            <w:vAlign w:val="bottom"/>
            <w:gridSpan w:val="9"/>
            <w:vMerge w:val="restart"/>
          </w:tcPr>
          <w:p>
            <w:pPr>
              <w:spacing w:after="0"/>
              <w:rPr>
                <w:rFonts w:ascii="Arial" w:cs="Arial" w:eastAsia="Arial" w:hAnsi="Arial"/>
                <w:sz w:val="18"/>
                <w:szCs w:val="18"/>
                <w:color w:val="0000EE"/>
                <w:w w:val="92"/>
              </w:rPr>
            </w:pPr>
            <w:hyperlink r:id="rId187">
              <w:r>
                <w:rPr>
                  <w:rFonts w:ascii="Arial" w:cs="Arial" w:eastAsia="Arial" w:hAnsi="Arial"/>
                  <w:sz w:val="18"/>
                  <w:szCs w:val="18"/>
                  <w:color w:val="0000EE"/>
                  <w:w w:val="92"/>
                </w:rPr>
                <w:t>Certificate of Limited Partnership of CapitalSouth Partners Fund II Limited Partnership</w:t>
              </w:r>
            </w:hyperlink>
          </w:p>
        </w:tc>
        <w:tc>
          <w:tcPr>
            <w:tcW w:w="180" w:type="dxa"/>
            <w:vAlign w:val="bottom"/>
            <w:tcBorders>
              <w:bottom w:val="single" w:sz="8" w:color="0000EE"/>
            </w:tcBorders>
            <w:vMerge w:val="continue"/>
          </w:tcPr>
          <w:p>
            <w:pPr>
              <w:spacing w:after="0"/>
              <w:rPr>
                <w:sz w:val="24"/>
                <w:szCs w:val="24"/>
                <w:color w:val="auto"/>
              </w:rPr>
            </w:pPr>
          </w:p>
        </w:tc>
        <w:tc>
          <w:tcPr>
            <w:tcW w:w="160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24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7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360" w:type="dxa"/>
            <w:vAlign w:val="bottom"/>
            <w:gridSpan w:val="9"/>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vMerge w:val="restart"/>
          </w:tcPr>
          <w:p>
            <w:pPr>
              <w:spacing w:after="0"/>
              <w:rPr>
                <w:rFonts w:ascii="Arial" w:cs="Arial" w:eastAsia="Arial" w:hAnsi="Arial"/>
                <w:sz w:val="18"/>
                <w:szCs w:val="18"/>
                <w:color w:val="0000EE"/>
                <w:w w:val="87"/>
              </w:rPr>
            </w:pPr>
            <w:hyperlink r:id="rId18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4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360" w:type="dxa"/>
            <w:vAlign w:val="bottom"/>
            <w:tcBorders>
              <w:bottom w:val="single" w:sz="8" w:color="0000EE"/>
            </w:tcBorders>
            <w:gridSpan w:val="9"/>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5760" w:type="dxa"/>
            <w:vAlign w:val="bottom"/>
            <w:gridSpan w:val="7"/>
            <w:vMerge w:val="restart"/>
          </w:tcPr>
          <w:p>
            <w:pPr>
              <w:spacing w:after="0"/>
              <w:rPr>
                <w:rFonts w:ascii="Arial" w:cs="Arial" w:eastAsia="Arial" w:hAnsi="Arial"/>
                <w:sz w:val="18"/>
                <w:szCs w:val="18"/>
                <w:color w:val="0000EE"/>
                <w:w w:val="92"/>
              </w:rPr>
            </w:pPr>
            <w:hyperlink r:id="rId188">
              <w:r>
                <w:rPr>
                  <w:rFonts w:ascii="Arial" w:cs="Arial" w:eastAsia="Arial" w:hAnsi="Arial"/>
                  <w:sz w:val="18"/>
                  <w:szCs w:val="18"/>
                  <w:color w:val="0000EE"/>
                  <w:w w:val="92"/>
                </w:rPr>
                <w:t>Certificate of Limited Partnership of CapitalSouth Partners SBIC Fund III, L.P.</w:t>
              </w:r>
            </w:hyperlink>
          </w:p>
        </w:tc>
        <w:tc>
          <w:tcPr>
            <w:tcW w:w="16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6"/>
              </w:rPr>
              <w:t>(2)</w:t>
            </w:r>
          </w:p>
        </w:tc>
        <w:tc>
          <w:tcPr>
            <w:tcW w:w="2220" w:type="dxa"/>
            <w:vAlign w:val="bottom"/>
            <w:gridSpan w:val="3"/>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24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7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760" w:type="dxa"/>
            <w:vAlign w:val="bottom"/>
            <w:gridSpan w:val="7"/>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20" w:type="dxa"/>
            <w:vAlign w:val="bottom"/>
            <w:gridSpan w:val="3"/>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vMerge w:val="restart"/>
          </w:tcPr>
          <w:p>
            <w:pPr>
              <w:spacing w:after="0"/>
              <w:rPr>
                <w:rFonts w:ascii="Arial" w:cs="Arial" w:eastAsia="Arial" w:hAnsi="Arial"/>
                <w:sz w:val="18"/>
                <w:szCs w:val="18"/>
                <w:color w:val="0000EE"/>
                <w:w w:val="87"/>
              </w:rPr>
            </w:pPr>
            <w:hyperlink r:id="rId18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5</w:t>
              </w:r>
            </w:hyperlink>
          </w:p>
        </w:tc>
        <w:tc>
          <w:tcPr>
            <w:tcW w:w="4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760" w:type="dxa"/>
            <w:vAlign w:val="bottom"/>
            <w:tcBorders>
              <w:bottom w:val="single" w:sz="8" w:color="0000EE"/>
            </w:tcBorders>
            <w:gridSpan w:val="7"/>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220" w:type="dxa"/>
            <w:vAlign w:val="bottom"/>
            <w:gridSpan w:val="3"/>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580" w:type="dxa"/>
            <w:vAlign w:val="bottom"/>
            <w:vMerge w:val="restart"/>
          </w:tcPr>
          <w:p>
            <w:pPr>
              <w:spacing w:after="0"/>
              <w:rPr>
                <w:rFonts w:ascii="Arial" w:cs="Arial" w:eastAsia="Arial" w:hAnsi="Arial"/>
                <w:sz w:val="18"/>
                <w:szCs w:val="18"/>
                <w:color w:val="0000EE"/>
                <w:w w:val="98"/>
              </w:rPr>
            </w:pPr>
            <w:hyperlink r:id="rId189">
              <w:r>
                <w:rPr>
                  <w:rFonts w:ascii="Arial" w:cs="Arial" w:eastAsia="Arial" w:hAnsi="Arial"/>
                  <w:sz w:val="18"/>
                  <w:szCs w:val="18"/>
                  <w:color w:val="0000EE"/>
                  <w:w w:val="98"/>
                </w:rPr>
                <w:t>Bylaws</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7"/>
              </w:rPr>
              <w:t>(1)</w:t>
            </w:r>
          </w:p>
        </w:tc>
        <w:tc>
          <w:tcPr>
            <w:tcW w:w="7380" w:type="dxa"/>
            <w:vAlign w:val="bottom"/>
            <w:gridSpan w:val="9"/>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24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7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380" w:type="dxa"/>
            <w:vAlign w:val="bottom"/>
            <w:gridSpan w:val="9"/>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vMerge w:val="restart"/>
          </w:tcPr>
          <w:p>
            <w:pPr>
              <w:spacing w:after="0"/>
              <w:rPr>
                <w:rFonts w:ascii="Arial" w:cs="Arial" w:eastAsia="Arial" w:hAnsi="Arial"/>
                <w:sz w:val="18"/>
                <w:szCs w:val="18"/>
                <w:color w:val="0000EE"/>
                <w:w w:val="87"/>
              </w:rPr>
            </w:pPr>
            <w:hyperlink r:id="rId19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6</w:t>
              </w:r>
            </w:hyperlink>
          </w:p>
        </w:tc>
        <w:tc>
          <w:tcPr>
            <w:tcW w:w="4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80" w:type="dxa"/>
            <w:vAlign w:val="bottom"/>
            <w:tcBorders>
              <w:bottom w:val="single" w:sz="8" w:color="0000EE"/>
            </w:tcBorders>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7380" w:type="dxa"/>
            <w:vAlign w:val="bottom"/>
            <w:gridSpan w:val="9"/>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0000EE"/>
                <w:w w:val="87"/>
              </w:rPr>
              <w:t>(3)</w:t>
            </w: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8540" w:type="dxa"/>
            <w:vAlign w:val="bottom"/>
            <w:gridSpan w:val="13"/>
            <w:vMerge w:val="restart"/>
          </w:tcPr>
          <w:p>
            <w:pPr>
              <w:spacing w:after="0"/>
              <w:rPr>
                <w:rFonts w:ascii="Arial" w:cs="Arial" w:eastAsia="Arial" w:hAnsi="Arial"/>
                <w:sz w:val="18"/>
                <w:szCs w:val="18"/>
                <w:color w:val="0000EE"/>
                <w:w w:val="91"/>
              </w:rPr>
            </w:pPr>
            <w:hyperlink r:id="rId190">
              <w:r>
                <w:rPr>
                  <w:rFonts w:ascii="Arial" w:cs="Arial" w:eastAsia="Arial" w:hAnsi="Arial"/>
                  <w:sz w:val="18"/>
                  <w:szCs w:val="18"/>
                  <w:color w:val="0000EE"/>
                  <w:w w:val="91"/>
                </w:rPr>
                <w:t>Form of Amended and Restated Limited Partnership Agreement of CapitalSouth Partners Fund II Limited Partnership</w:t>
              </w:r>
            </w:hyperlink>
          </w:p>
        </w:tc>
        <w:tc>
          <w:tcPr>
            <w:tcW w:w="180" w:type="dxa"/>
            <w:vAlign w:val="bottom"/>
            <w:tcBorders>
              <w:bottom w:val="single" w:sz="8" w:color="0000EE"/>
            </w:tcBorders>
            <w:vMerge w:val="continue"/>
          </w:tcPr>
          <w:p>
            <w:pPr>
              <w:spacing w:after="0"/>
              <w:rPr>
                <w:sz w:val="24"/>
                <w:szCs w:val="24"/>
                <w:color w:val="auto"/>
              </w:rPr>
            </w:pPr>
          </w:p>
        </w:tc>
        <w:tc>
          <w:tcPr>
            <w:tcW w:w="17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540" w:type="dxa"/>
            <w:vAlign w:val="bottom"/>
            <w:gridSpan w:val="13"/>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vMerge w:val="restart"/>
          </w:tcPr>
          <w:p>
            <w:pPr>
              <w:spacing w:after="0"/>
              <w:rPr>
                <w:rFonts w:ascii="Arial" w:cs="Arial" w:eastAsia="Arial" w:hAnsi="Arial"/>
                <w:sz w:val="18"/>
                <w:szCs w:val="18"/>
                <w:color w:val="0000EE"/>
                <w:w w:val="87"/>
              </w:rPr>
            </w:pPr>
            <w:hyperlink r:id="rId19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7</w:t>
              </w:r>
            </w:hyperlink>
          </w:p>
        </w:tc>
        <w:tc>
          <w:tcPr>
            <w:tcW w:w="4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540" w:type="dxa"/>
            <w:vAlign w:val="bottom"/>
            <w:tcBorders>
              <w:bottom w:val="single" w:sz="8" w:color="0000EE"/>
            </w:tcBorders>
            <w:gridSpan w:val="1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8140" w:type="dxa"/>
            <w:vAlign w:val="bottom"/>
            <w:gridSpan w:val="11"/>
            <w:vMerge w:val="restart"/>
          </w:tcPr>
          <w:p>
            <w:pPr>
              <w:spacing w:after="0"/>
              <w:rPr>
                <w:rFonts w:ascii="Arial" w:cs="Arial" w:eastAsia="Arial" w:hAnsi="Arial"/>
                <w:sz w:val="18"/>
                <w:szCs w:val="18"/>
                <w:color w:val="0000EE"/>
                <w:w w:val="91"/>
              </w:rPr>
            </w:pPr>
            <w:hyperlink r:id="rId191">
              <w:r>
                <w:rPr>
                  <w:rFonts w:ascii="Arial" w:cs="Arial" w:eastAsia="Arial" w:hAnsi="Arial"/>
                  <w:sz w:val="18"/>
                  <w:szCs w:val="18"/>
                  <w:color w:val="0000EE"/>
                  <w:w w:val="91"/>
                </w:rPr>
                <w:t>Form of Amended and Restated Agreement of Limited Partnership of CapitalSouth Partners SBIC Fund III, L.P.</w:t>
              </w:r>
            </w:hyperlink>
          </w:p>
        </w:tc>
        <w:tc>
          <w:tcPr>
            <w:tcW w:w="16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6"/>
              </w:rPr>
              <w:t>(3)</w:t>
            </w:r>
          </w:p>
        </w:tc>
        <w:tc>
          <w:tcPr>
            <w:tcW w:w="214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140" w:type="dxa"/>
            <w:vAlign w:val="bottom"/>
            <w:gridSpan w:val="11"/>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1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140" w:type="dxa"/>
            <w:vAlign w:val="bottom"/>
            <w:tcBorders>
              <w:bottom w:val="single" w:sz="8" w:color="0000EE"/>
            </w:tcBorders>
            <w:gridSpan w:val="11"/>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1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88" w:right="339" w:bottom="1440" w:gutter="0" w:footer="0" w:header="0"/>
        </w:sectPr>
      </w:pPr>
    </w:p>
    <w:p>
      <w:pPr>
        <w:spacing w:after="0" w:line="29" w:lineRule="exact"/>
        <w:rPr>
          <w:sz w:val="20"/>
          <w:szCs w:val="20"/>
          <w:color w:val="auto"/>
        </w:rPr>
      </w:pPr>
    </w:p>
    <w:p>
      <w:pPr>
        <w:spacing w:after="0"/>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4.1</w:t>
        </w:r>
      </w:hyperlink>
    </w:p>
    <w:p>
      <w:pPr>
        <w:spacing w:after="0" w:line="266" w:lineRule="exact"/>
        <w:rPr>
          <w:sz w:val="20"/>
          <w:szCs w:val="20"/>
          <w:color w:val="auto"/>
        </w:rPr>
      </w:pPr>
    </w:p>
    <w:p>
      <w:pPr>
        <w:spacing w:after="0"/>
        <w:rPr>
          <w:rFonts w:ascii="Arial" w:cs="Arial" w:eastAsia="Arial" w:hAnsi="Arial"/>
          <w:sz w:val="16"/>
          <w:szCs w:val="16"/>
          <w:u w:val="single" w:color="auto"/>
          <w:color w:val="0000EE"/>
        </w:rPr>
      </w:pPr>
      <w:hyperlink r:id="rId193">
        <w:r>
          <w:rPr>
            <w:rFonts w:ascii="Arial" w:cs="Arial" w:eastAsia="Arial" w:hAnsi="Arial"/>
            <w:sz w:val="16"/>
            <w:szCs w:val="16"/>
            <w:u w:val="single" w:color="auto"/>
            <w:color w:val="0000EE"/>
          </w:rPr>
          <w:t>10.1</w:t>
        </w:r>
      </w:hyperlink>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 xml:space="preserve">Form of Common Stock Certificate </w:t>
        </w:r>
      </w:hyperlink>
      <w:r>
        <w:rPr>
          <w:rFonts w:ascii="Arial" w:cs="Arial" w:eastAsia="Arial" w:hAnsi="Arial"/>
          <w:sz w:val="29"/>
          <w:szCs w:val="29"/>
          <w:u w:val="single" w:color="auto"/>
          <w:color w:val="0000EE"/>
          <w:vertAlign w:val="superscript"/>
        </w:rPr>
        <w:t>(1)</w:t>
      </w:r>
    </w:p>
    <w:p>
      <w:pPr>
        <w:spacing w:after="0" w:line="135" w:lineRule="exact"/>
        <w:rPr>
          <w:sz w:val="20"/>
          <w:szCs w:val="20"/>
          <w:color w:val="auto"/>
        </w:rPr>
      </w:pPr>
    </w:p>
    <w:p>
      <w:pPr>
        <w:jc w:val="both"/>
        <w:spacing w:after="0" w:line="274" w:lineRule="auto"/>
        <w:rPr>
          <w:rFonts w:ascii="Arial" w:cs="Arial" w:eastAsia="Arial" w:hAnsi="Arial"/>
          <w:sz w:val="18"/>
          <w:szCs w:val="18"/>
          <w:u w:val="single" w:color="auto"/>
          <w:color w:val="0000EE"/>
        </w:rPr>
      </w:pPr>
      <w:hyperlink r:id="rId193">
        <w:r>
          <w:rPr>
            <w:rFonts w:ascii="Arial" w:cs="Arial" w:eastAsia="Arial" w:hAnsi="Arial"/>
            <w:sz w:val="18"/>
            <w:szCs w:val="18"/>
            <w:u w:val="single" w:color="auto"/>
            <w:color w:val="0000EE"/>
          </w:rPr>
          <w:t>Revolving Credit and Security Agreement, dated as of October 30, 2020, among Capitala Business Lending, LLC, as the borrower, Capitala</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Investment Advisors, LLC, as the collateral manager, the lenders from time to time parties thereto, KeyBank National Association, as the</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 xml:space="preserve">administrative agent, and U.S. Bank National Association, as the custodian </w:t>
        </w:r>
        <w:r>
          <w:rPr>
            <w:rFonts w:ascii="Arial" w:cs="Arial" w:eastAsia="Arial" w:hAnsi="Arial"/>
            <w:sz w:val="29"/>
            <w:szCs w:val="29"/>
            <w:u w:val="single" w:color="auto"/>
            <w:color w:val="0000EE"/>
            <w:vertAlign w:val="superscript"/>
          </w:rPr>
          <w:t>(5)</w:t>
        </w:r>
      </w:hyperlink>
    </w:p>
    <w:p>
      <w:pPr>
        <w:spacing w:after="0" w:line="51" w:lineRule="exact"/>
        <w:rPr>
          <w:rFonts w:ascii="Arial" w:cs="Arial" w:eastAsia="Arial" w:hAnsi="Arial"/>
          <w:sz w:val="18"/>
          <w:szCs w:val="18"/>
          <w:u w:val="single" w:color="auto"/>
          <w:color w:val="0000EE"/>
        </w:rPr>
      </w:pPr>
    </w:p>
    <w:p>
      <w:pPr>
        <w:sectPr>
          <w:pgSz w:w="11900" w:h="16838" w:orient="portrait"/>
          <w:cols w:equalWidth="0" w:num="2">
            <w:col w:w="320" w:space="480"/>
            <w:col w:w="10440"/>
          </w:cols>
          <w:pgMar w:left="320" w:top="688" w:right="339" w:bottom="1440" w:gutter="0" w:footer="0" w:header="0"/>
          <w:type w:val="continuous"/>
        </w:sectPr>
      </w:pPr>
    </w:p>
    <w:p>
      <w:pPr>
        <w:ind w:left="800" w:hanging="795"/>
        <w:spacing w:after="0" w:line="289" w:lineRule="auto"/>
        <w:tabs>
          <w:tab w:leader="none" w:pos="780" w:val="left"/>
        </w:tabs>
        <w:rPr>
          <w:rFonts w:ascii="Arial" w:cs="Arial" w:eastAsia="Arial" w:hAnsi="Arial"/>
          <w:sz w:val="18"/>
          <w:szCs w:val="18"/>
          <w:u w:val="single" w:color="auto"/>
          <w:color w:val="0000EE"/>
        </w:rPr>
      </w:pPr>
      <w:hyperlink r:id="rId194">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r:id="rId194">
        <w:r>
          <w:rPr>
            <w:rFonts w:ascii="Arial" w:cs="Arial" w:eastAsia="Arial" w:hAnsi="Arial"/>
            <w:sz w:val="18"/>
            <w:szCs w:val="18"/>
            <w:u w:val="single" w:color="auto"/>
            <w:color w:val="0000EE"/>
          </w:rPr>
          <w:t>Purchase and Contribution Agreement, dated as of October 30, 2020, by and between Capitala Business Lending, LLC, as the purchaser, and</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 xml:space="preserve">Capitala Finance Corp., as the transferor </w:t>
        </w:r>
        <w:r>
          <w:rPr>
            <w:rFonts w:ascii="Arial" w:cs="Arial" w:eastAsia="Arial" w:hAnsi="Arial"/>
            <w:sz w:val="29"/>
            <w:szCs w:val="29"/>
            <w:u w:val="single" w:color="auto"/>
            <w:color w:val="0000EE"/>
            <w:vertAlign w:val="superscript"/>
          </w:rPr>
          <w:t>(5)</w:t>
        </w:r>
      </w:hyperlink>
    </w:p>
    <w:p>
      <w:pPr>
        <w:spacing w:after="0" w:line="38" w:lineRule="exact"/>
        <w:rPr>
          <w:rFonts w:ascii="Arial" w:cs="Arial" w:eastAsia="Arial" w:hAnsi="Arial"/>
          <w:sz w:val="18"/>
          <w:szCs w:val="18"/>
          <w:u w:val="single" w:color="auto"/>
          <w:color w:val="0000EE"/>
        </w:rPr>
      </w:pPr>
    </w:p>
    <w:p>
      <w:pPr>
        <w:ind w:left="800" w:hanging="795"/>
        <w:spacing w:after="0" w:line="277" w:lineRule="auto"/>
        <w:tabs>
          <w:tab w:leader="none" w:pos="780" w:val="left"/>
        </w:tabs>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74">
        <w:r>
          <w:rPr>
            <w:rFonts w:ascii="Arial" w:cs="Arial" w:eastAsia="Arial" w:hAnsi="Arial"/>
            <w:sz w:val="18"/>
            <w:szCs w:val="18"/>
            <w:u w:val="single" w:color="auto"/>
            <w:color w:val="0000EE"/>
          </w:rPr>
          <w:t>Certification of Chief Executive Officer pursuant to Rule 13a-14 of the Securities Exchange Act of 1934, as adopted pursuant to Section 302 of</w:t>
        </w:r>
      </w:hyperlink>
      <w:r>
        <w:rPr>
          <w:rFonts w:ascii="Arial" w:cs="Arial" w:eastAsia="Arial" w:hAnsi="Arial"/>
          <w:sz w:val="18"/>
          <w:szCs w:val="18"/>
          <w:u w:val="single" w:color="auto"/>
          <w:color w:val="0000EE"/>
        </w:rPr>
        <w:t xml:space="preserve"> </w:t>
      </w:r>
      <w:hyperlink w:anchor="page74">
        <w:r>
          <w:rPr>
            <w:rFonts w:ascii="Arial" w:cs="Arial" w:eastAsia="Arial" w:hAnsi="Arial"/>
            <w:sz w:val="18"/>
            <w:szCs w:val="18"/>
            <w:u w:val="single" w:color="auto"/>
            <w:color w:val="0000EE"/>
          </w:rPr>
          <w:t>the Sarbanes-Oxley Act of 2002 (filed herewith)</w:t>
        </w:r>
      </w:hyperlink>
    </w:p>
    <w:p>
      <w:pPr>
        <w:spacing w:after="0" w:line="170" w:lineRule="exact"/>
        <w:rPr>
          <w:rFonts w:ascii="Arial" w:cs="Arial" w:eastAsia="Arial" w:hAnsi="Arial"/>
          <w:sz w:val="18"/>
          <w:szCs w:val="18"/>
          <w:u w:val="single" w:color="auto"/>
          <w:color w:val="0000EE"/>
        </w:rPr>
      </w:pPr>
    </w:p>
    <w:p>
      <w:pPr>
        <w:ind w:left="800" w:right="20" w:hanging="795"/>
        <w:spacing w:after="0" w:line="277" w:lineRule="auto"/>
        <w:tabs>
          <w:tab w:leader="none" w:pos="780" w:val="left"/>
        </w:tabs>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75">
        <w:r>
          <w:rPr>
            <w:rFonts w:ascii="Arial" w:cs="Arial" w:eastAsia="Arial" w:hAnsi="Arial"/>
            <w:sz w:val="18"/>
            <w:szCs w:val="18"/>
            <w:u w:val="single" w:color="auto"/>
            <w:color w:val="0000EE"/>
          </w:rPr>
          <w:t>Certification of Chief Financial Officer pursuant to Rule 13a-14 of the Securities Exchange Act of 1934, as adopted pursuant to Section 302 of</w:t>
        </w:r>
      </w:hyperlink>
      <w:r>
        <w:rPr>
          <w:rFonts w:ascii="Arial" w:cs="Arial" w:eastAsia="Arial" w:hAnsi="Arial"/>
          <w:sz w:val="18"/>
          <w:szCs w:val="18"/>
          <w:u w:val="single" w:color="auto"/>
          <w:color w:val="0000EE"/>
        </w:rPr>
        <w:t xml:space="preserve"> </w:t>
      </w:r>
      <w:hyperlink w:anchor="page75">
        <w:r>
          <w:rPr>
            <w:rFonts w:ascii="Arial" w:cs="Arial" w:eastAsia="Arial" w:hAnsi="Arial"/>
            <w:sz w:val="18"/>
            <w:szCs w:val="18"/>
            <w:u w:val="single" w:color="auto"/>
            <w:color w:val="0000EE"/>
          </w:rPr>
          <w:t>the Sarbanes-Oxley Act of 2002 (filed herewith)</w:t>
        </w:r>
      </w:hyperlink>
    </w:p>
    <w:p>
      <w:pPr>
        <w:spacing w:after="0" w:line="170" w:lineRule="exact"/>
        <w:rPr>
          <w:rFonts w:ascii="Arial" w:cs="Arial" w:eastAsia="Arial" w:hAnsi="Arial"/>
          <w:sz w:val="18"/>
          <w:szCs w:val="18"/>
          <w:u w:val="single" w:color="auto"/>
          <w:color w:val="0000EE"/>
        </w:rPr>
      </w:pPr>
    </w:p>
    <w:p>
      <w:pPr>
        <w:spacing w:after="0"/>
        <w:tabs>
          <w:tab w:leader="none" w:pos="780" w:val="left"/>
        </w:tabs>
        <w:rPr>
          <w:rFonts w:ascii="Arial" w:cs="Arial" w:eastAsia="Arial" w:hAnsi="Arial"/>
          <w:sz w:val="16"/>
          <w:szCs w:val="16"/>
          <w:u w:val="single" w:color="auto"/>
          <w:color w:val="0000EE"/>
        </w:rPr>
      </w:pPr>
      <w:hyperlink w:anchor="page76">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76">
        <w:r>
          <w:rPr>
            <w:rFonts w:ascii="Arial" w:cs="Arial" w:eastAsia="Arial" w:hAnsi="Arial"/>
            <w:sz w:val="16"/>
            <w:szCs w:val="16"/>
            <w:u w:val="single" w:color="auto"/>
            <w:color w:val="0000EE"/>
          </w:rPr>
          <w:t>Certification of Chief Executive Officer pursuant to 18 U.S.C. Section 1350, as adopted pursuant to section 906 of the Sarbanes-Oxley Act of</w:t>
        </w:r>
      </w:hyperlink>
    </w:p>
    <w:p>
      <w:pPr>
        <w:spacing w:after="0" w:line="23" w:lineRule="exact"/>
        <w:rPr>
          <w:sz w:val="20"/>
          <w:szCs w:val="20"/>
          <w:color w:val="auto"/>
        </w:rPr>
      </w:pPr>
    </w:p>
    <w:p>
      <w:pPr>
        <w:ind w:left="80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2002 (filed herewith)</w:t>
        </w:r>
      </w:hyperlink>
    </w:p>
    <w:p>
      <w:pPr>
        <w:spacing w:after="0" w:line="211"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hyperlink w:anchor="page77">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77">
        <w:r>
          <w:rPr>
            <w:rFonts w:ascii="Arial" w:cs="Arial" w:eastAsia="Arial" w:hAnsi="Arial"/>
            <w:sz w:val="16"/>
            <w:szCs w:val="16"/>
            <w:u w:val="single" w:color="auto"/>
            <w:color w:val="0000EE"/>
          </w:rPr>
          <w:t>Certification of Chief Financial Officer pursuant to 18 U.S.C. Section 1350, as adopted pursuant to section 906 of the Sarbanes-Oxley Act of</w:t>
        </w:r>
      </w:hyperlink>
    </w:p>
    <w:p>
      <w:pPr>
        <w:spacing w:after="0" w:line="23" w:lineRule="exact"/>
        <w:rPr>
          <w:sz w:val="20"/>
          <w:szCs w:val="20"/>
          <w:color w:val="auto"/>
        </w:rPr>
      </w:pPr>
    </w:p>
    <w:p>
      <w:pPr>
        <w:ind w:left="80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2002 (filed herewith)</w:t>
        </w:r>
      </w:hyperlink>
    </w:p>
    <w:p>
      <w:pPr>
        <w:spacing w:after="0" w:line="211" w:lineRule="exact"/>
        <w:rPr>
          <w:sz w:val="20"/>
          <w:szCs w:val="20"/>
          <w:color w:val="auto"/>
        </w:rPr>
      </w:pPr>
    </w:p>
    <w:p>
      <w:pPr>
        <w:ind w:left="800" w:right="20" w:hanging="792"/>
        <w:spacing w:after="0" w:line="194" w:lineRule="auto"/>
        <w:tabs>
          <w:tab w:leader="none" w:pos="80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201" w:lineRule="exact"/>
        <w:rPr>
          <w:rFonts w:ascii="Arial" w:cs="Arial" w:eastAsia="Arial" w:hAnsi="Arial"/>
          <w:sz w:val="30"/>
          <w:szCs w:val="30"/>
          <w:color w:val="auto"/>
          <w:vertAlign w:val="superscript"/>
        </w:rPr>
      </w:pPr>
    </w:p>
    <w:p>
      <w:pPr>
        <w:ind w:left="800" w:hanging="792"/>
        <w:spacing w:after="0" w:line="194" w:lineRule="auto"/>
        <w:tabs>
          <w:tab w:leader="none" w:pos="80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17, 2013.</w:t>
      </w:r>
    </w:p>
    <w:p>
      <w:pPr>
        <w:spacing w:after="0" w:line="201" w:lineRule="exact"/>
        <w:rPr>
          <w:rFonts w:ascii="Arial" w:cs="Arial" w:eastAsia="Arial" w:hAnsi="Arial"/>
          <w:sz w:val="30"/>
          <w:szCs w:val="30"/>
          <w:color w:val="auto"/>
          <w:vertAlign w:val="superscript"/>
        </w:rPr>
      </w:pPr>
    </w:p>
    <w:p>
      <w:pPr>
        <w:ind w:left="800" w:hanging="792"/>
        <w:spacing w:after="0" w:line="194" w:lineRule="auto"/>
        <w:tabs>
          <w:tab w:leader="none" w:pos="80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87" w:lineRule="exact"/>
        <w:rPr>
          <w:rFonts w:ascii="Arial" w:cs="Arial" w:eastAsia="Arial" w:hAnsi="Arial"/>
          <w:sz w:val="30"/>
          <w:szCs w:val="30"/>
          <w:color w:val="auto"/>
          <w:vertAlign w:val="superscript"/>
        </w:rPr>
      </w:pPr>
    </w:p>
    <w:p>
      <w:pPr>
        <w:ind w:left="800" w:hanging="792"/>
        <w:spacing w:after="0"/>
        <w:tabs>
          <w:tab w:leader="none" w:pos="80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Previously filed in connection with Capitala Finance Corp.'s report on Form 8-K on August 4, 2020.</w:t>
      </w:r>
    </w:p>
    <w:p>
      <w:pPr>
        <w:spacing w:after="0" w:line="163" w:lineRule="exact"/>
        <w:rPr>
          <w:rFonts w:ascii="Arial" w:cs="Arial" w:eastAsia="Arial" w:hAnsi="Arial"/>
          <w:sz w:val="30"/>
          <w:szCs w:val="30"/>
          <w:color w:val="auto"/>
          <w:vertAlign w:val="superscript"/>
        </w:rPr>
      </w:pPr>
    </w:p>
    <w:p>
      <w:pPr>
        <w:ind w:left="800" w:hanging="792"/>
        <w:spacing w:after="0" w:line="186" w:lineRule="auto"/>
        <w:tabs>
          <w:tab w:leader="none" w:pos="80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Previously filed in connection with Capitala Finance Corp.'s report on Form 8-K on November 3, 2020.</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Date: May 3, 2021</w:t>
            </w:r>
          </w:p>
        </w:tc>
        <w:tc>
          <w:tcPr>
            <w:tcW w:w="2520" w:type="dxa"/>
            <w:vAlign w:val="bottom"/>
          </w:tcPr>
          <w:p>
            <w:pPr>
              <w:ind w:left="220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3, 2021</w:t>
            </w:r>
          </w:p>
        </w:tc>
        <w:tc>
          <w:tcPr>
            <w:tcW w:w="2520" w:type="dxa"/>
            <w:vAlign w:val="bottom"/>
          </w:tcPr>
          <w:p>
            <w:pPr>
              <w:ind w:left="220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195"/>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230"/>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3, 2021</w:t>
            </w:r>
          </w:p>
        </w:tc>
        <w:tc>
          <w:tcPr>
            <w:tcW w:w="2520" w:type="dxa"/>
            <w:vAlign w:val="bottom"/>
          </w:tcPr>
          <w:p>
            <w:pPr>
              <w:ind w:left="220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A. Koonts</w:t>
            </w:r>
          </w:p>
        </w:tc>
      </w:tr>
      <w:tr>
        <w:trPr>
          <w:trHeight w:val="195"/>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Kevin A. Koonts</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r>
        <w:trPr>
          <w:trHeight w:val="230"/>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4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72</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2" w:name="page73"/>
    <w:bookmarkEnd w:id="7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225" w:lineRule="exact"/>
        <w:rPr>
          <w:sz w:val="20"/>
          <w:szCs w:val="20"/>
          <w:color w:val="auto"/>
        </w:rPr>
      </w:pPr>
    </w:p>
    <w:p>
      <w:pPr>
        <w:ind w:left="420" w:hanging="318"/>
        <w:spacing w:after="0"/>
        <w:tabs>
          <w:tab w:leader="none" w:pos="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52" w:lineRule="exact"/>
        <w:rPr>
          <w:rFonts w:ascii="Arial" w:cs="Arial" w:eastAsia="Arial" w:hAnsi="Arial"/>
          <w:sz w:val="18"/>
          <w:szCs w:val="18"/>
          <w:color w:val="auto"/>
        </w:rPr>
      </w:pPr>
    </w:p>
    <w:p>
      <w:pPr>
        <w:jc w:val="both"/>
        <w:ind w:left="380" w:hanging="318"/>
        <w:spacing w:after="0" w:line="263"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80" w:hanging="318"/>
        <w:spacing w:after="0" w:line="308" w:lineRule="auto"/>
        <w:tabs>
          <w:tab w:leader="none" w:pos="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380" w:hanging="318"/>
        <w:spacing w:after="0" w:line="263"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2"/>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40" w:right="20" w:hanging="671"/>
        <w:spacing w:after="0" w:line="263" w:lineRule="auto"/>
        <w:tabs>
          <w:tab w:leader="none" w:pos="1340" w:val="left"/>
        </w:tabs>
        <w:numPr>
          <w:ilvl w:val="3"/>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40" w:right="20" w:hanging="671"/>
        <w:spacing w:after="0" w:line="342" w:lineRule="auto"/>
        <w:tabs>
          <w:tab w:leader="none" w:pos="1340" w:val="left"/>
        </w:tabs>
        <w:numPr>
          <w:ilvl w:val="3"/>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50" w:lineRule="exact"/>
        <w:rPr>
          <w:rFonts w:ascii="Arial" w:cs="Arial" w:eastAsia="Arial" w:hAnsi="Arial"/>
          <w:sz w:val="16"/>
          <w:szCs w:val="16"/>
          <w:color w:val="auto"/>
        </w:rPr>
      </w:pPr>
    </w:p>
    <w:p>
      <w:pPr>
        <w:jc w:val="both"/>
        <w:ind w:left="1340" w:right="20" w:hanging="671"/>
        <w:spacing w:after="0" w:line="263" w:lineRule="auto"/>
        <w:tabs>
          <w:tab w:leader="none" w:pos="1340" w:val="left"/>
        </w:tabs>
        <w:numPr>
          <w:ilvl w:val="3"/>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80" w:hanging="318"/>
        <w:spacing w:after="0" w:line="308" w:lineRule="auto"/>
        <w:tabs>
          <w:tab w:leader="none" w:pos="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40" w:right="20" w:hanging="671"/>
        <w:spacing w:after="0" w:line="308" w:lineRule="auto"/>
        <w:tabs>
          <w:tab w:leader="none" w:pos="1340" w:val="left"/>
        </w:tabs>
        <w:numPr>
          <w:ilvl w:val="3"/>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40" w:right="20" w:hanging="671"/>
        <w:spacing w:after="0" w:line="277" w:lineRule="auto"/>
        <w:tabs>
          <w:tab w:leader="none" w:pos="1340" w:val="left"/>
        </w:tabs>
        <w:numPr>
          <w:ilvl w:val="3"/>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B. Alala III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22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40" w:right="20" w:hanging="671"/>
        <w:spacing w:after="0" w:line="263" w:lineRule="auto"/>
        <w:tabs>
          <w:tab w:leader="none" w:pos="13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40" w:right="20" w:hanging="671"/>
        <w:spacing w:after="0" w:line="342" w:lineRule="auto"/>
        <w:tabs>
          <w:tab w:leader="none" w:pos="1340" w:val="left"/>
        </w:tabs>
        <w:numPr>
          <w:ilvl w:val="2"/>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50" w:lineRule="exact"/>
        <w:rPr>
          <w:rFonts w:ascii="Arial" w:cs="Arial" w:eastAsia="Arial" w:hAnsi="Arial"/>
          <w:sz w:val="16"/>
          <w:szCs w:val="16"/>
          <w:color w:val="auto"/>
        </w:rPr>
      </w:pPr>
    </w:p>
    <w:p>
      <w:pPr>
        <w:jc w:val="both"/>
        <w:ind w:left="1340" w:right="20" w:hanging="671"/>
        <w:spacing w:after="0" w:line="263" w:lineRule="auto"/>
        <w:tabs>
          <w:tab w:leader="none" w:pos="13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40" w:right="20" w:hanging="671"/>
        <w:spacing w:after="0" w:line="308" w:lineRule="auto"/>
        <w:tabs>
          <w:tab w:leader="none" w:pos="1340" w:val="left"/>
        </w:tabs>
        <w:numPr>
          <w:ilvl w:val="2"/>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40" w:right="20" w:hanging="671"/>
        <w:spacing w:after="0" w:line="277" w:lineRule="auto"/>
        <w:tabs>
          <w:tab w:leader="none" w:pos="134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Stephen A. Arnall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PURSUANT TO 18 U.S.C. SECTION 1350, AS ADOPTED</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 Joseph B. Alala III, Chief Executive Officer, in connection with the Quarterly Report of Capitala Finance Corp. (the “Company”) on Form 10-Q for the quarterly period ended March 31, 2021, as filed with the U.S. Securities and Exchange Commission on the date hereof (the “Quarterly Report”), certify, pursuant to Section 906 of the Sarbanes-Oxley Act of 2002, that:</w:t>
      </w:r>
    </w:p>
    <w:p>
      <w:pPr>
        <w:spacing w:after="0" w:line="184" w:lineRule="exact"/>
        <w:rPr>
          <w:sz w:val="20"/>
          <w:szCs w:val="20"/>
          <w:color w:val="auto"/>
        </w:rPr>
      </w:pPr>
    </w:p>
    <w:p>
      <w:pPr>
        <w:ind w:left="1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1340" w:hanging="671"/>
        <w:spacing w:after="0" w:line="277" w:lineRule="auto"/>
        <w:tabs>
          <w:tab w:leader="none" w:pos="13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B. Alala III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 Stephen A. Arnall, Chief Financial Officer, in connection with the Quarterly Report of Capitala Finance Corp. (the “Company”) on Form 10-Q for the quarterly period ended March 31, 2021, as filed with the U.S. Securities and Exchange Commission on the date hereof (the “Quarterly Report”), certify, pursuant to Section 906 of the Sarbanes-Oxley Act of 2002, that:</w:t>
      </w:r>
    </w:p>
    <w:p>
      <w:pPr>
        <w:spacing w:after="0" w:line="184" w:lineRule="exact"/>
        <w:rPr>
          <w:sz w:val="20"/>
          <w:szCs w:val="20"/>
          <w:color w:val="auto"/>
        </w:rPr>
      </w:pPr>
    </w:p>
    <w:p>
      <w:pPr>
        <w:ind w:left="130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20" w:hanging="671"/>
        <w:spacing w:after="0" w:line="277" w:lineRule="auto"/>
        <w:tabs>
          <w:tab w:leader="none" w:pos="13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Stephen A. Arnall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upperLetter"/>
      <w:start w:val="35"/>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upperLetter"/>
      <w:start w:val="35"/>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7"/>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upperLetter"/>
      <w:start w:val="35"/>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lowerRoman"/>
      <w:start w:val="1"/>
    </w:lvl>
  </w:abstractNum>
  <w:abstractNum w:abstractNumId="27">
    <w:nsid w:val="5577F8E1"/>
    <w:multiLevelType w:val="hybridMultilevel"/>
    <w:lvl w:ilvl="0">
      <w:lvlJc w:val="left"/>
      <w:lvlText w:val="1"/>
      <w:numFmt w:val="bullet"/>
      <w:start w:val="1"/>
    </w:lvl>
  </w:abstractNum>
  <w:abstractNum w:abstractNumId="28">
    <w:nsid w:val="440BADFC"/>
    <w:multiLevelType w:val="hybridMultilevel"/>
    <w:lvl w:ilvl="0">
      <w:lvlJc w:val="left"/>
      <w:lvlText w:val="2"/>
      <w:numFmt w:val="bullet"/>
      <w:start w:val="1"/>
    </w:lvl>
  </w:abstractNum>
  <w:abstractNum w:abstractNumId="29">
    <w:nsid w:val="5072367"/>
    <w:multiLevelType w:val="hybridMultilevel"/>
    <w:lvl w:ilvl="0">
      <w:lvlJc w:val="left"/>
      <w:lvlText w:val="3"/>
      <w:numFmt w:val="bullet"/>
      <w:start w:val="1"/>
    </w:lvl>
  </w:abstractNum>
  <w:abstractNum w:abstractNumId="30">
    <w:nsid w:val="3804823E"/>
    <w:multiLevelType w:val="hybridMultilevel"/>
    <w:lvl w:ilvl="0">
      <w:lvlJc w:val="left"/>
      <w:lvlText w:val="4"/>
      <w:numFmt w:val="bullet"/>
      <w:start w:val="1"/>
    </w:lvl>
  </w:abstractNum>
  <w:abstractNum w:abstractNumId="31">
    <w:nsid w:val="77465F01"/>
    <w:multiLevelType w:val="hybridMultilevel"/>
    <w:lvl w:ilvl="0">
      <w:lvlJc w:val="left"/>
      <w:lvlText w:val="5"/>
      <w:numFmt w:val="bullet"/>
      <w:start w:val="1"/>
    </w:lvl>
  </w:abstractNum>
  <w:abstractNum w:abstractNumId="32">
    <w:nsid w:val="7724C67E"/>
    <w:multiLevelType w:val="hybridMultilevel"/>
    <w:lvl w:ilvl="0">
      <w:lvlJc w:val="left"/>
      <w:lvlText w:val="%1"/>
      <w:numFmt w:val="upperLetter"/>
      <w:start w:val="35"/>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6">
    <w:nsid w:val="51EAD36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37">
    <w:nsid w:val="2D51779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9">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0">
    <w:nsid w:val="3855585C"/>
    <w:multiLevelType w:val="hybridMultilevel"/>
    <w:lvl w:ilvl="0">
      <w:lvlJc w:val="left"/>
      <w:lvlText w:val="%1."/>
      <w:numFmt w:val="decimal"/>
      <w:start w:val="1"/>
    </w:lvl>
    <w:lvl w:ilvl="1">
      <w:lvlJc w:val="left"/>
      <w:lvlText w:val="%2."/>
      <w:numFmt w:val="decimal"/>
      <w:start w:val="2"/>
    </w:lvl>
  </w:abstractNum>
  <w:abstractNum w:abstractNumId="41">
    <w:nsid w:val="70A64E2A"/>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185" Type="http://schemas.openxmlformats.org/officeDocument/2006/relationships/hyperlink" Target="http://www.sec.gov/Archives/edgar/data/1221483/000119312513361263/d505298dex99a1.htm" TargetMode="External"/><Relationship Id="rId186" Type="http://schemas.openxmlformats.org/officeDocument/2006/relationships/hyperlink" Target="http://www.sec.gov/Archives/edgar/data/1571329/000110465920090336/tm2026478d1_ex3-1.htm" TargetMode="External"/><Relationship Id="rId187" Type="http://schemas.openxmlformats.org/officeDocument/2006/relationships/hyperlink" Target="http://www.sec.gov/Archives/edgar/data/1221483/000119312513368161/d505298dex99a2.htm" TargetMode="External"/><Relationship Id="rId188" Type="http://schemas.openxmlformats.org/officeDocument/2006/relationships/hyperlink" Target="http://www.sec.gov/Archives/edgar/data/1221483/000119312513368161/d505298dex99a3.htm" TargetMode="External"/><Relationship Id="rId189" Type="http://schemas.openxmlformats.org/officeDocument/2006/relationships/hyperlink" Target="http://www.sec.gov/Archives/edgar/data/1221483/000119312513361263/d505298dex99b1.htm" TargetMode="External"/><Relationship Id="rId190" Type="http://schemas.openxmlformats.org/officeDocument/2006/relationships/hyperlink" Target="http://www.sec.gov/Archives/edgar/data/1571329/000119312513376445/d505298dex99b2.htm" TargetMode="External"/><Relationship Id="rId191" Type="http://schemas.openxmlformats.org/officeDocument/2006/relationships/hyperlink" Target="http://www.sec.gov/Archives/edgar/data/1571329/000119312513376445/d505298dex99b3.htm" TargetMode="External"/><Relationship Id="rId192" Type="http://schemas.openxmlformats.org/officeDocument/2006/relationships/hyperlink" Target="http://www.sec.gov/Archives/edgar/data/1221483/000119312513361263/d505298dex99d1.htm" TargetMode="External"/><Relationship Id="rId193" Type="http://schemas.openxmlformats.org/officeDocument/2006/relationships/hyperlink" Target="http://www.sec.gov/Archives/edgar/data/1571329/000110465920120973/tm2034828d1_ex10-1.htm" TargetMode="External"/><Relationship Id="rId194" Type="http://schemas.openxmlformats.org/officeDocument/2006/relationships/hyperlink" Target="http://www.sec.gov/Archives/edgar/data/1571329/000110465920120973/tm2034828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2021-05-03T15:35:35Z</dcterms:created>
  <dcterms:modified xsi:type="dcterms:W3CDTF">2021-05-03T15:35:35Z</dcterms:modified>
</cp:coreProperties>
</file>